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F0B213" w14:textId="540BBD67" w:rsidR="0072138E" w:rsidRDefault="00C91B0A" w:rsidP="00415219">
      <w:pPr>
        <w:ind w:firstLine="0"/>
        <w:jc w:val="center"/>
        <w:rPr>
          <w:rFonts w:ascii="Times New Roman" w:eastAsia="Times New Roman" w:hAnsi="Times New Roman" w:cs="Times New Roman"/>
          <w:b/>
          <w:sz w:val="24"/>
          <w:szCs w:val="24"/>
          <w:lang w:val="pt-BR"/>
        </w:rPr>
      </w:pPr>
      <w:r>
        <w:rPr>
          <w:noProof/>
          <w:lang w:val="pt-BR" w:eastAsia="pt-BR"/>
        </w:rPr>
        <w:drawing>
          <wp:anchor distT="0" distB="0" distL="114300" distR="114300" simplePos="0" relativeHeight="251659264" behindDoc="1" locked="0" layoutInCell="1" allowOverlap="1" wp14:anchorId="616DF63A" wp14:editId="528BF8CB">
            <wp:simplePos x="0" y="0"/>
            <wp:positionH relativeFrom="margin">
              <wp:posOffset>669290</wp:posOffset>
            </wp:positionH>
            <wp:positionV relativeFrom="paragraph">
              <wp:posOffset>-422910</wp:posOffset>
            </wp:positionV>
            <wp:extent cx="4670425" cy="1297305"/>
            <wp:effectExtent l="0" t="0" r="0" b="0"/>
            <wp:wrapTight wrapText="bothSides">
              <wp:wrapPolygon edited="0">
                <wp:start x="0" y="0"/>
                <wp:lineTo x="0" y="21251"/>
                <wp:lineTo x="21497" y="21251"/>
                <wp:lineTo x="21497" y="0"/>
                <wp:lineTo x="0" y="0"/>
              </wp:wrapPolygon>
            </wp:wrapTight>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4670425" cy="1297305"/>
                    </a:xfrm>
                    <a:prstGeom prst="rect">
                      <a:avLst/>
                    </a:prstGeom>
                    <a:noFill/>
                    <a:ln>
                      <a:noFill/>
                    </a:ln>
                  </pic:spPr>
                </pic:pic>
              </a:graphicData>
            </a:graphic>
          </wp:anchor>
        </w:drawing>
      </w:r>
    </w:p>
    <w:p w14:paraId="5ED468E6" w14:textId="77777777" w:rsidR="00C91B0A" w:rsidRDefault="00C91B0A">
      <w:pPr>
        <w:jc w:val="center"/>
        <w:rPr>
          <w:rFonts w:ascii="Times New Roman" w:eastAsia="Times New Roman" w:hAnsi="Times New Roman" w:cs="Times New Roman"/>
          <w:b/>
          <w:sz w:val="24"/>
          <w:szCs w:val="24"/>
          <w:lang w:val="pt-BR"/>
        </w:rPr>
      </w:pPr>
    </w:p>
    <w:p w14:paraId="15C921A4" w14:textId="77777777" w:rsidR="00C91B0A" w:rsidRDefault="00C91B0A">
      <w:pPr>
        <w:jc w:val="center"/>
        <w:rPr>
          <w:rFonts w:ascii="Times New Roman" w:eastAsia="Times New Roman" w:hAnsi="Times New Roman" w:cs="Times New Roman"/>
          <w:b/>
          <w:sz w:val="24"/>
          <w:szCs w:val="24"/>
          <w:lang w:val="pt-BR"/>
        </w:rPr>
      </w:pPr>
    </w:p>
    <w:p w14:paraId="76BF7140" w14:textId="77777777" w:rsidR="00C4417E" w:rsidRDefault="00C4417E" w:rsidP="00C4417E">
      <w:pPr>
        <w:ind w:firstLine="0"/>
        <w:jc w:val="center"/>
        <w:rPr>
          <w:rFonts w:ascii="Arial" w:eastAsia="Times New Roman" w:hAnsi="Arial" w:cs="Arial"/>
          <w:b/>
          <w:sz w:val="24"/>
          <w:szCs w:val="24"/>
          <w:lang w:val="pt-BR"/>
        </w:rPr>
      </w:pPr>
    </w:p>
    <w:p w14:paraId="71DAD3AF" w14:textId="77777777" w:rsidR="00C4417E" w:rsidRPr="00C4417E" w:rsidRDefault="00C4417E" w:rsidP="00C4417E">
      <w:pPr>
        <w:ind w:firstLine="0"/>
        <w:jc w:val="center"/>
        <w:rPr>
          <w:rFonts w:ascii="Times New Roman" w:eastAsia="Times New Roman" w:hAnsi="Times New Roman" w:cs="Times New Roman"/>
          <w:b/>
          <w:sz w:val="24"/>
          <w:szCs w:val="24"/>
          <w:lang w:val="pt-BR"/>
        </w:rPr>
      </w:pPr>
      <w:r w:rsidRPr="00C4417E">
        <w:rPr>
          <w:rFonts w:ascii="Times New Roman" w:eastAsia="Times New Roman" w:hAnsi="Times New Roman" w:cs="Times New Roman"/>
          <w:b/>
          <w:sz w:val="24"/>
          <w:szCs w:val="24"/>
          <w:lang w:val="pt-BR"/>
        </w:rPr>
        <w:t>Eixo Temático: GT2</w:t>
      </w:r>
    </w:p>
    <w:p w14:paraId="72F7CC9E" w14:textId="77777777" w:rsidR="00C4417E" w:rsidRPr="00C4417E" w:rsidRDefault="00C4417E" w:rsidP="00C4417E">
      <w:pPr>
        <w:ind w:firstLine="0"/>
        <w:jc w:val="center"/>
        <w:rPr>
          <w:rFonts w:ascii="Arial" w:eastAsia="Times New Roman" w:hAnsi="Arial" w:cs="Arial"/>
          <w:b/>
          <w:sz w:val="24"/>
          <w:szCs w:val="24"/>
          <w:lang w:val="pt-BR"/>
        </w:rPr>
      </w:pPr>
    </w:p>
    <w:p w14:paraId="2771C6E8" w14:textId="7ED041BB" w:rsidR="00C4417E" w:rsidRPr="00C4417E" w:rsidRDefault="009A47F7" w:rsidP="00C4417E">
      <w:pPr>
        <w:ind w:firstLine="0"/>
        <w:jc w:val="center"/>
        <w:rPr>
          <w:rFonts w:ascii="Times New Roman" w:eastAsia="Times New Roman" w:hAnsi="Times New Roman" w:cs="Times New Roman"/>
          <w:b/>
          <w:sz w:val="28"/>
          <w:szCs w:val="28"/>
          <w:lang w:val="pt-BR"/>
        </w:rPr>
      </w:pPr>
      <w:r w:rsidRPr="00BF42C9">
        <w:rPr>
          <w:rFonts w:ascii="Times New Roman" w:eastAsia="Times New Roman" w:hAnsi="Times New Roman" w:cs="Times New Roman"/>
          <w:b/>
          <w:sz w:val="28"/>
          <w:szCs w:val="28"/>
          <w:lang w:val="pt-BR"/>
        </w:rPr>
        <w:t>A Dinâmica Econômica</w:t>
      </w:r>
      <w:r w:rsidR="00A707CF" w:rsidRPr="00BF42C9">
        <w:rPr>
          <w:rFonts w:ascii="Times New Roman" w:eastAsia="Times New Roman" w:hAnsi="Times New Roman" w:cs="Times New Roman"/>
          <w:b/>
          <w:sz w:val="28"/>
          <w:szCs w:val="28"/>
          <w:lang w:val="pt-BR"/>
        </w:rPr>
        <w:t xml:space="preserve"> como Fator do D</w:t>
      </w:r>
      <w:r w:rsidRPr="00BF42C9">
        <w:rPr>
          <w:rFonts w:ascii="Times New Roman" w:eastAsia="Times New Roman" w:hAnsi="Times New Roman" w:cs="Times New Roman"/>
          <w:b/>
          <w:sz w:val="28"/>
          <w:szCs w:val="28"/>
          <w:lang w:val="pt-BR"/>
        </w:rPr>
        <w:t xml:space="preserve">esenvolvimento Local </w:t>
      </w:r>
    </w:p>
    <w:p w14:paraId="52E86F59" w14:textId="77777777" w:rsidR="00C4417E" w:rsidRPr="00C4417E" w:rsidRDefault="00C4417E" w:rsidP="00C4417E">
      <w:pPr>
        <w:ind w:firstLine="0"/>
        <w:jc w:val="center"/>
        <w:rPr>
          <w:rFonts w:ascii="Times New Roman" w:eastAsia="Times New Roman" w:hAnsi="Times New Roman" w:cs="Times New Roman"/>
          <w:b/>
          <w:sz w:val="24"/>
          <w:szCs w:val="24"/>
          <w:lang w:val="pt-BR"/>
        </w:rPr>
      </w:pPr>
    </w:p>
    <w:p w14:paraId="3A048498" w14:textId="6C4A2273" w:rsidR="00C4417E" w:rsidRPr="00C4417E" w:rsidRDefault="004B36A2" w:rsidP="00C4417E">
      <w:pPr>
        <w:ind w:firstLine="0"/>
        <w:jc w:val="center"/>
        <w:rPr>
          <w:rFonts w:ascii="Times New Roman" w:eastAsia="Times New Roman" w:hAnsi="Times New Roman" w:cs="Times New Roman"/>
          <w:b/>
          <w:i/>
          <w:sz w:val="24"/>
          <w:szCs w:val="24"/>
        </w:rPr>
      </w:pPr>
      <w:r w:rsidRPr="00BF42C9">
        <w:rPr>
          <w:rFonts w:ascii="Times New Roman" w:eastAsia="Times New Roman" w:hAnsi="Times New Roman" w:cs="Times New Roman"/>
          <w:b/>
          <w:i/>
          <w:sz w:val="24"/>
          <w:szCs w:val="24"/>
        </w:rPr>
        <w:t>Economic Dynamics as a Factor of Local Development</w:t>
      </w:r>
    </w:p>
    <w:p w14:paraId="5A5F9E33" w14:textId="77777777" w:rsidR="00C4417E" w:rsidRDefault="00C4417E" w:rsidP="00C4417E">
      <w:pPr>
        <w:ind w:firstLine="0"/>
        <w:jc w:val="center"/>
        <w:rPr>
          <w:rFonts w:ascii="Arial" w:eastAsia="Times New Roman" w:hAnsi="Arial" w:cs="Arial"/>
          <w:b/>
          <w:sz w:val="24"/>
          <w:szCs w:val="24"/>
        </w:rPr>
      </w:pPr>
    </w:p>
    <w:p w14:paraId="34FC0D4D" w14:textId="473A7A2E" w:rsidR="00692294" w:rsidRPr="00A1255B" w:rsidRDefault="00692294" w:rsidP="00C4417E">
      <w:pPr>
        <w:ind w:firstLine="0"/>
        <w:jc w:val="center"/>
        <w:rPr>
          <w:rFonts w:ascii="Times New Roman" w:eastAsia="Times New Roman" w:hAnsi="Times New Roman" w:cs="Times New Roman"/>
          <w:b/>
          <w:sz w:val="18"/>
          <w:szCs w:val="18"/>
          <w:lang w:val="pt-BR"/>
        </w:rPr>
      </w:pP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r>
      <w:r w:rsidRPr="00A1255B">
        <w:rPr>
          <w:rFonts w:ascii="Times New Roman" w:eastAsia="Times New Roman" w:hAnsi="Times New Roman" w:cs="Times New Roman"/>
          <w:b/>
          <w:sz w:val="18"/>
          <w:szCs w:val="18"/>
          <w:lang w:val="pt-BR"/>
        </w:rPr>
        <w:t>Alcimar das Chagas Ribeiro</w:t>
      </w:r>
      <w:r w:rsidR="00DC65DB">
        <w:rPr>
          <w:rStyle w:val="Refdenotaderodap"/>
          <w:rFonts w:ascii="Times New Roman" w:eastAsia="Times New Roman" w:hAnsi="Times New Roman" w:cs="Times New Roman"/>
          <w:b/>
          <w:sz w:val="18"/>
          <w:szCs w:val="18"/>
        </w:rPr>
        <w:footnoteReference w:id="1"/>
      </w:r>
    </w:p>
    <w:p w14:paraId="6903BAF3" w14:textId="77777777" w:rsidR="00192476" w:rsidRPr="00A1255B" w:rsidRDefault="00192476" w:rsidP="00C4417E">
      <w:pPr>
        <w:ind w:firstLine="0"/>
        <w:jc w:val="center"/>
        <w:rPr>
          <w:rFonts w:ascii="Arial" w:eastAsia="Times New Roman" w:hAnsi="Arial" w:cs="Arial"/>
          <w:b/>
          <w:sz w:val="24"/>
          <w:szCs w:val="24"/>
          <w:lang w:val="pt-BR"/>
        </w:rPr>
      </w:pPr>
    </w:p>
    <w:p w14:paraId="2144E258" w14:textId="77777777" w:rsidR="00C4417E" w:rsidRPr="00C4417E" w:rsidRDefault="00C4417E" w:rsidP="00C4417E">
      <w:pPr>
        <w:spacing w:line="276" w:lineRule="auto"/>
        <w:ind w:firstLine="0"/>
        <w:jc w:val="left"/>
        <w:rPr>
          <w:rFonts w:ascii="Times New Roman" w:eastAsia="Times New Roman" w:hAnsi="Times New Roman" w:cs="Times New Roman"/>
          <w:b/>
          <w:lang w:val="pt-BR"/>
        </w:rPr>
      </w:pPr>
      <w:r w:rsidRPr="00C4417E">
        <w:rPr>
          <w:rFonts w:ascii="Times New Roman" w:eastAsia="Times New Roman" w:hAnsi="Times New Roman" w:cs="Times New Roman"/>
          <w:b/>
          <w:lang w:val="pt-BR"/>
        </w:rPr>
        <w:t>RESUMO</w:t>
      </w:r>
    </w:p>
    <w:p w14:paraId="6AAC1F4F" w14:textId="4341363D" w:rsidR="00C4417E" w:rsidRPr="006157E6" w:rsidRDefault="00C4417E" w:rsidP="00C4417E">
      <w:pPr>
        <w:spacing w:line="276" w:lineRule="auto"/>
        <w:ind w:firstLine="0"/>
        <w:rPr>
          <w:rFonts w:ascii="Times New Roman" w:eastAsia="Times New Roman" w:hAnsi="Times New Roman" w:cs="Times New Roman"/>
          <w:lang w:val="pt-BR"/>
        </w:rPr>
      </w:pPr>
      <w:r w:rsidRPr="00C4417E">
        <w:rPr>
          <w:rFonts w:ascii="Times New Roman" w:eastAsia="Times New Roman" w:hAnsi="Times New Roman" w:cs="Times New Roman"/>
          <w:lang w:val="pt-BR"/>
        </w:rPr>
        <w:t>O artigo aplica o Índice de Dinâmica Econômica Local – INDEL como alternativa para melhor entendimento da dinâmica econômica local a partir da percepção do potencial de fixação relativa da riqueza gerada pelo sistema econômico. O esforço é justificado pelo grau de heterogeneidade desses sistemas,</w:t>
      </w:r>
      <w:r w:rsidR="00621707" w:rsidRPr="006157E6">
        <w:rPr>
          <w:rFonts w:ascii="Times New Roman" w:eastAsia="Times New Roman" w:hAnsi="Times New Roman" w:cs="Times New Roman"/>
          <w:lang w:val="pt-BR"/>
        </w:rPr>
        <w:t xml:space="preserve"> especialmente pela natureza do</w:t>
      </w:r>
      <w:r w:rsidRPr="00C4417E">
        <w:rPr>
          <w:rFonts w:ascii="Times New Roman" w:eastAsia="Times New Roman" w:hAnsi="Times New Roman" w:cs="Times New Roman"/>
          <w:lang w:val="pt-BR"/>
        </w:rPr>
        <w:t xml:space="preserve"> </w:t>
      </w:r>
      <w:r w:rsidR="00621707" w:rsidRPr="006157E6">
        <w:rPr>
          <w:rFonts w:ascii="Times New Roman" w:eastAsia="Times New Roman" w:hAnsi="Times New Roman" w:cs="Times New Roman"/>
          <w:lang w:val="pt-BR"/>
        </w:rPr>
        <w:t>a</w:t>
      </w:r>
      <w:r w:rsidRPr="00C4417E">
        <w:rPr>
          <w:rFonts w:ascii="Times New Roman" w:eastAsia="Times New Roman" w:hAnsi="Times New Roman" w:cs="Times New Roman"/>
          <w:lang w:val="pt-BR"/>
        </w:rPr>
        <w:t>flux</w:t>
      </w:r>
      <w:r w:rsidR="00621707" w:rsidRPr="006157E6">
        <w:rPr>
          <w:rFonts w:ascii="Times New Roman" w:eastAsia="Times New Roman" w:hAnsi="Times New Roman" w:cs="Times New Roman"/>
          <w:lang w:val="pt-BR"/>
        </w:rPr>
        <w:t>o</w:t>
      </w:r>
      <w:r w:rsidRPr="00C4417E">
        <w:rPr>
          <w:rFonts w:ascii="Times New Roman" w:eastAsia="Times New Roman" w:hAnsi="Times New Roman" w:cs="Times New Roman"/>
          <w:lang w:val="pt-BR"/>
        </w:rPr>
        <w:t xml:space="preserve"> de capital. Sistemas econômicos beneficiários de investimentos de base em recursos naturais tendem a permitir consistente fuga de riqueza pela frágil capacidade de absorção das externalidades positivas. </w:t>
      </w:r>
      <w:r w:rsidR="007B346E">
        <w:rPr>
          <w:rFonts w:ascii="Times New Roman" w:eastAsia="Times New Roman" w:hAnsi="Times New Roman" w:cs="Times New Roman"/>
          <w:lang w:val="pt-BR"/>
        </w:rPr>
        <w:t xml:space="preserve">Para </w:t>
      </w:r>
      <w:r w:rsidR="008F3C72" w:rsidRPr="006157E6">
        <w:rPr>
          <w:rFonts w:ascii="Times New Roman" w:eastAsia="Times New Roman" w:hAnsi="Times New Roman" w:cs="Times New Roman"/>
          <w:lang w:val="pt-BR"/>
        </w:rPr>
        <w:t>investi</w:t>
      </w:r>
      <w:r w:rsidR="00960EF0">
        <w:rPr>
          <w:rFonts w:ascii="Times New Roman" w:eastAsia="Times New Roman" w:hAnsi="Times New Roman" w:cs="Times New Roman"/>
          <w:lang w:val="pt-BR"/>
        </w:rPr>
        <w:t>gação sobre o padrão da</w:t>
      </w:r>
      <w:r w:rsidR="008F3C72" w:rsidRPr="006157E6">
        <w:rPr>
          <w:rFonts w:ascii="Times New Roman" w:eastAsia="Times New Roman" w:hAnsi="Times New Roman" w:cs="Times New Roman"/>
          <w:lang w:val="pt-BR"/>
        </w:rPr>
        <w:t xml:space="preserve"> capacidade de absorção da riqueza gerada</w:t>
      </w:r>
      <w:r w:rsidR="00F625DB">
        <w:rPr>
          <w:rFonts w:ascii="Times New Roman" w:eastAsia="Times New Roman" w:hAnsi="Times New Roman" w:cs="Times New Roman"/>
          <w:lang w:val="pt-BR"/>
        </w:rPr>
        <w:t xml:space="preserve"> internamente</w:t>
      </w:r>
      <w:r w:rsidR="008F3C72" w:rsidRPr="006157E6">
        <w:rPr>
          <w:rFonts w:ascii="Times New Roman" w:eastAsia="Times New Roman" w:hAnsi="Times New Roman" w:cs="Times New Roman"/>
          <w:lang w:val="pt-BR"/>
        </w:rPr>
        <w:t>, q</w:t>
      </w:r>
      <w:r w:rsidRPr="00C4417E">
        <w:rPr>
          <w:rFonts w:ascii="Times New Roman" w:eastAsia="Times New Roman" w:hAnsi="Times New Roman" w:cs="Times New Roman"/>
          <w:lang w:val="pt-BR"/>
        </w:rPr>
        <w:t xml:space="preserve">uatro unidades </w:t>
      </w:r>
      <w:r w:rsidR="008F3C72" w:rsidRPr="006157E6">
        <w:rPr>
          <w:rFonts w:ascii="Times New Roman" w:eastAsia="Times New Roman" w:hAnsi="Times New Roman" w:cs="Times New Roman"/>
          <w:lang w:val="pt-BR"/>
        </w:rPr>
        <w:t xml:space="preserve">municipais </w:t>
      </w:r>
      <w:r w:rsidR="008721FE">
        <w:rPr>
          <w:rFonts w:ascii="Times New Roman" w:eastAsia="Times New Roman" w:hAnsi="Times New Roman" w:cs="Times New Roman"/>
          <w:lang w:val="pt-BR"/>
        </w:rPr>
        <w:t xml:space="preserve">da mesorregião Norte Fluminense </w:t>
      </w:r>
      <w:r w:rsidRPr="00C4417E">
        <w:rPr>
          <w:rFonts w:ascii="Times New Roman" w:eastAsia="Times New Roman" w:hAnsi="Times New Roman" w:cs="Times New Roman"/>
          <w:lang w:val="pt-BR"/>
        </w:rPr>
        <w:t xml:space="preserve">foram selecionadas </w:t>
      </w:r>
      <w:r w:rsidR="00F14B9D">
        <w:rPr>
          <w:rFonts w:ascii="Times New Roman" w:eastAsia="Times New Roman" w:hAnsi="Times New Roman" w:cs="Times New Roman"/>
          <w:lang w:val="pt-BR"/>
        </w:rPr>
        <w:t>no processo</w:t>
      </w:r>
      <w:r w:rsidR="006D2843">
        <w:rPr>
          <w:rFonts w:ascii="Times New Roman" w:eastAsia="Times New Roman" w:hAnsi="Times New Roman" w:cs="Times New Roman"/>
          <w:lang w:val="pt-BR"/>
        </w:rPr>
        <w:t xml:space="preserve"> de aplicação do INDEL; s</w:t>
      </w:r>
      <w:r w:rsidR="00687794">
        <w:rPr>
          <w:rFonts w:ascii="Times New Roman" w:eastAsia="Times New Roman" w:hAnsi="Times New Roman" w:cs="Times New Roman"/>
          <w:lang w:val="pt-BR"/>
        </w:rPr>
        <w:t xml:space="preserve">ão eles: </w:t>
      </w:r>
      <w:r w:rsidRPr="00C4417E">
        <w:rPr>
          <w:rFonts w:ascii="Times New Roman" w:eastAsia="Times New Roman" w:hAnsi="Times New Roman" w:cs="Times New Roman"/>
          <w:lang w:val="pt-BR"/>
        </w:rPr>
        <w:t xml:space="preserve">Campos dos Goytacazes, Macaé, São João da Barra e São Francisco de Itabapoana, que apresentam contornos de natureza distinta e </w:t>
      </w:r>
      <w:r w:rsidR="008777C2">
        <w:rPr>
          <w:rFonts w:ascii="Times New Roman" w:eastAsia="Times New Roman" w:hAnsi="Times New Roman" w:cs="Times New Roman"/>
          <w:lang w:val="pt-BR"/>
        </w:rPr>
        <w:t xml:space="preserve">oferecem </w:t>
      </w:r>
      <w:r w:rsidRPr="00C4417E">
        <w:rPr>
          <w:rFonts w:ascii="Times New Roman" w:eastAsia="Times New Roman" w:hAnsi="Times New Roman" w:cs="Times New Roman"/>
          <w:lang w:val="pt-BR"/>
        </w:rPr>
        <w:t xml:space="preserve">possibilidades de reflexões relevantes. </w:t>
      </w:r>
    </w:p>
    <w:p w14:paraId="0BF81FAF" w14:textId="77777777" w:rsidR="00BC7BD5" w:rsidRPr="00C4417E" w:rsidRDefault="00BC7BD5" w:rsidP="00C4417E">
      <w:pPr>
        <w:spacing w:line="276" w:lineRule="auto"/>
        <w:ind w:firstLine="0"/>
        <w:rPr>
          <w:rFonts w:ascii="Times New Roman" w:eastAsia="Times New Roman" w:hAnsi="Times New Roman" w:cs="Times New Roman"/>
          <w:sz w:val="24"/>
          <w:szCs w:val="24"/>
          <w:lang w:val="pt-BR"/>
        </w:rPr>
      </w:pPr>
    </w:p>
    <w:p w14:paraId="683A15A1" w14:textId="0C352AEC" w:rsidR="00C4417E" w:rsidRDefault="00661168" w:rsidP="006157E6">
      <w:pPr>
        <w:spacing w:line="276" w:lineRule="auto"/>
        <w:ind w:firstLine="0"/>
        <w:rPr>
          <w:rFonts w:ascii="Times New Roman" w:eastAsia="Times New Roman" w:hAnsi="Times New Roman" w:cs="Times New Roman"/>
          <w:lang w:val="pt-BR"/>
        </w:rPr>
      </w:pPr>
      <w:r w:rsidRPr="00BC7BD5">
        <w:rPr>
          <w:rFonts w:ascii="Times New Roman" w:eastAsia="Times New Roman" w:hAnsi="Times New Roman" w:cs="Times New Roman"/>
          <w:b/>
          <w:lang w:val="pt-BR"/>
        </w:rPr>
        <w:t>Palavras-chave</w:t>
      </w:r>
      <w:r w:rsidRPr="00BC7BD5">
        <w:rPr>
          <w:rFonts w:ascii="Times New Roman" w:eastAsia="Times New Roman" w:hAnsi="Times New Roman" w:cs="Times New Roman"/>
          <w:lang w:val="pt-BR"/>
        </w:rPr>
        <w:t xml:space="preserve">: </w:t>
      </w:r>
      <w:r w:rsidR="00BC7BD5" w:rsidRPr="00BC7BD5">
        <w:rPr>
          <w:rFonts w:ascii="Times New Roman" w:eastAsia="Times New Roman" w:hAnsi="Times New Roman" w:cs="Times New Roman"/>
          <w:lang w:val="pt-BR"/>
        </w:rPr>
        <w:t>externalidades positivas;</w:t>
      </w:r>
      <w:r w:rsidR="008F3C72" w:rsidRPr="00BC7BD5">
        <w:rPr>
          <w:rFonts w:ascii="Times New Roman" w:eastAsia="Times New Roman" w:hAnsi="Times New Roman" w:cs="Times New Roman"/>
          <w:lang w:val="pt-BR"/>
        </w:rPr>
        <w:t xml:space="preserve"> dinâmica econômica</w:t>
      </w:r>
      <w:r w:rsidR="00BC7BD5" w:rsidRPr="00BC7BD5">
        <w:rPr>
          <w:rFonts w:ascii="Times New Roman" w:eastAsia="Times New Roman" w:hAnsi="Times New Roman" w:cs="Times New Roman"/>
          <w:lang w:val="pt-BR"/>
        </w:rPr>
        <w:t>; projetos exógenos;</w:t>
      </w:r>
      <w:r w:rsidR="008F3C72" w:rsidRPr="00BC7BD5">
        <w:rPr>
          <w:rFonts w:ascii="Times New Roman" w:eastAsia="Times New Roman" w:hAnsi="Times New Roman" w:cs="Times New Roman"/>
          <w:lang w:val="pt-BR"/>
        </w:rPr>
        <w:t xml:space="preserve"> </w:t>
      </w:r>
      <w:r w:rsidR="00042ED6" w:rsidRPr="00BC7BD5">
        <w:rPr>
          <w:rFonts w:ascii="Times New Roman" w:eastAsia="Times New Roman" w:hAnsi="Times New Roman" w:cs="Times New Roman"/>
          <w:lang w:val="pt-BR"/>
        </w:rPr>
        <w:t xml:space="preserve">economia local/regional, </w:t>
      </w:r>
      <w:r w:rsidR="008F3C72" w:rsidRPr="00BC7BD5">
        <w:rPr>
          <w:rFonts w:ascii="Times New Roman" w:eastAsia="Times New Roman" w:hAnsi="Times New Roman" w:cs="Times New Roman"/>
          <w:lang w:val="pt-BR"/>
        </w:rPr>
        <w:t>INDEL.</w:t>
      </w:r>
    </w:p>
    <w:p w14:paraId="20A845E1" w14:textId="77777777" w:rsidR="006157E6" w:rsidRPr="00C4417E" w:rsidRDefault="006157E6" w:rsidP="006157E6">
      <w:pPr>
        <w:spacing w:line="276" w:lineRule="auto"/>
        <w:ind w:firstLine="0"/>
        <w:rPr>
          <w:rFonts w:ascii="Times New Roman" w:eastAsia="Times New Roman" w:hAnsi="Times New Roman" w:cs="Times New Roman"/>
          <w:lang w:val="pt-BR"/>
        </w:rPr>
      </w:pPr>
    </w:p>
    <w:p w14:paraId="38412712" w14:textId="77777777" w:rsidR="006157E6" w:rsidRPr="007B346E" w:rsidRDefault="006157E6" w:rsidP="006157E6">
      <w:pPr>
        <w:spacing w:line="276" w:lineRule="auto"/>
        <w:ind w:firstLine="0"/>
        <w:rPr>
          <w:rFonts w:ascii="Times New Roman" w:eastAsia="Times New Roman" w:hAnsi="Times New Roman" w:cs="Times New Roman"/>
          <w:b/>
          <w:i/>
        </w:rPr>
      </w:pPr>
      <w:r w:rsidRPr="007B346E">
        <w:rPr>
          <w:rFonts w:ascii="Times New Roman" w:eastAsia="Times New Roman" w:hAnsi="Times New Roman" w:cs="Times New Roman"/>
          <w:b/>
          <w:i/>
        </w:rPr>
        <w:t>ABSTRACT</w:t>
      </w:r>
    </w:p>
    <w:p w14:paraId="00000002" w14:textId="56DC9D8C" w:rsidR="00D413E8" w:rsidRDefault="008D51B1" w:rsidP="006157E6">
      <w:pPr>
        <w:spacing w:line="276" w:lineRule="auto"/>
        <w:ind w:firstLine="0"/>
        <w:rPr>
          <w:rFonts w:ascii="Times New Roman" w:eastAsia="Times New Roman" w:hAnsi="Times New Roman" w:cs="Times New Roman"/>
          <w:i/>
        </w:rPr>
      </w:pPr>
      <w:r w:rsidRPr="008D51B1">
        <w:rPr>
          <w:rFonts w:ascii="Times New Roman" w:eastAsia="Times New Roman" w:hAnsi="Times New Roman" w:cs="Times New Roman"/>
          <w:i/>
        </w:rPr>
        <w:t>This article applies the Local Economic Dynamics Index (INDEL) as an alternative to better understanding local economic dynamics by perceiving the relative potential for retention of wealth generated by the economic system. This effort is justified by the degree of heterogeneity of these systems, especially the nature of capital inflows. Economic systems that benefit from investments based on natural resources tend to allow consistent wealth flight due to their weak capacity to absorb positive externalities. To investigate the pattern of absorption capacity for internally generated wealth, four municipalities in the North Fluminense mesoregion were selected in the INDEL application process: Campos dos Goytacazes, Macaé, São João da Barra, and São Francisco de Itabapoana, which present distinct characteristics and offer opportunities for relevant reflection</w:t>
      </w:r>
    </w:p>
    <w:p w14:paraId="6894F872" w14:textId="77777777" w:rsidR="008D51B1" w:rsidRPr="008D51B1" w:rsidRDefault="008D51B1" w:rsidP="006157E6">
      <w:pPr>
        <w:spacing w:line="276" w:lineRule="auto"/>
        <w:ind w:firstLine="0"/>
        <w:rPr>
          <w:rFonts w:ascii="Times New Roman" w:eastAsia="Times New Roman" w:hAnsi="Times New Roman" w:cs="Times New Roman"/>
          <w:i/>
        </w:rPr>
      </w:pPr>
    </w:p>
    <w:p w14:paraId="73BE0341" w14:textId="09B11512" w:rsidR="00661168" w:rsidRPr="00AD4BE5" w:rsidRDefault="00AD4BE5" w:rsidP="00AD4BE5">
      <w:pPr>
        <w:spacing w:line="276" w:lineRule="auto"/>
        <w:ind w:firstLine="0"/>
        <w:rPr>
          <w:rFonts w:ascii="Times New Roman" w:eastAsia="Times New Roman" w:hAnsi="Times New Roman" w:cs="Times New Roman"/>
          <w:i/>
        </w:rPr>
      </w:pPr>
      <w:r w:rsidRPr="00AD4BE5">
        <w:rPr>
          <w:rFonts w:ascii="Times New Roman" w:eastAsia="Times New Roman" w:hAnsi="Times New Roman" w:cs="Times New Roman"/>
          <w:b/>
          <w:i/>
        </w:rPr>
        <w:t>Keywords:</w:t>
      </w:r>
      <w:r w:rsidRPr="00AD4BE5">
        <w:rPr>
          <w:rFonts w:ascii="Times New Roman" w:eastAsia="Times New Roman" w:hAnsi="Times New Roman" w:cs="Times New Roman"/>
          <w:i/>
        </w:rPr>
        <w:t xml:space="preserve"> positive externalities; economic dynamics; exogenous projects; local/regional economy, INDEL.</w:t>
      </w:r>
    </w:p>
    <w:p w14:paraId="51DF1D0C" w14:textId="77777777" w:rsidR="00B2374D" w:rsidRDefault="00B2374D">
      <w:pPr>
        <w:rPr>
          <w:rFonts w:ascii="Times New Roman" w:eastAsia="Times New Roman" w:hAnsi="Times New Roman" w:cs="Times New Roman"/>
          <w:sz w:val="24"/>
          <w:szCs w:val="24"/>
        </w:rPr>
      </w:pPr>
    </w:p>
    <w:p w14:paraId="46D711CE" w14:textId="77777777" w:rsidR="00D92C50" w:rsidRDefault="00D92C50">
      <w:pPr>
        <w:rPr>
          <w:rFonts w:ascii="Times New Roman" w:eastAsia="Times New Roman" w:hAnsi="Times New Roman" w:cs="Times New Roman"/>
          <w:sz w:val="24"/>
          <w:szCs w:val="24"/>
        </w:rPr>
      </w:pPr>
    </w:p>
    <w:p w14:paraId="630AABE9" w14:textId="77777777" w:rsidR="00B23276" w:rsidRDefault="00B23276" w:rsidP="00B23276">
      <w:pPr>
        <w:ind w:firstLine="0"/>
        <w:rPr>
          <w:rFonts w:ascii="Times New Roman" w:eastAsia="Times New Roman" w:hAnsi="Times New Roman" w:cs="Times New Roman"/>
          <w:sz w:val="24"/>
          <w:szCs w:val="24"/>
        </w:rPr>
      </w:pPr>
    </w:p>
    <w:p w14:paraId="0D6BCAAD" w14:textId="77777777" w:rsidR="00B23276" w:rsidRPr="006157E6" w:rsidRDefault="00B23276" w:rsidP="00B23276">
      <w:pPr>
        <w:ind w:firstLine="0"/>
        <w:rPr>
          <w:rFonts w:ascii="Times New Roman" w:eastAsia="Times New Roman" w:hAnsi="Times New Roman" w:cs="Times New Roman"/>
          <w:sz w:val="24"/>
          <w:szCs w:val="24"/>
        </w:rPr>
      </w:pPr>
    </w:p>
    <w:p w14:paraId="55F93F46" w14:textId="6859C719" w:rsidR="0054100D" w:rsidRPr="00E23664" w:rsidRDefault="006C1CE0" w:rsidP="00B419DE">
      <w:pPr>
        <w:ind w:firstLine="0"/>
        <w:rPr>
          <w:rFonts w:ascii="Times New Roman" w:hAnsi="Times New Roman" w:cs="Times New Roman"/>
          <w:b/>
          <w:sz w:val="24"/>
          <w:szCs w:val="24"/>
          <w:lang w:val="pt-BR"/>
        </w:rPr>
      </w:pPr>
      <w:proofErr w:type="gramStart"/>
      <w:r>
        <w:rPr>
          <w:rFonts w:ascii="Times New Roman" w:hAnsi="Times New Roman" w:cs="Times New Roman"/>
          <w:b/>
          <w:sz w:val="24"/>
          <w:szCs w:val="24"/>
          <w:lang w:val="pt-BR"/>
        </w:rPr>
        <w:lastRenderedPageBreak/>
        <w:t>1</w:t>
      </w:r>
      <w:proofErr w:type="gramEnd"/>
      <w:r>
        <w:rPr>
          <w:rFonts w:ascii="Times New Roman" w:hAnsi="Times New Roman" w:cs="Times New Roman"/>
          <w:b/>
          <w:sz w:val="24"/>
          <w:szCs w:val="24"/>
          <w:lang w:val="pt-BR"/>
        </w:rPr>
        <w:t xml:space="preserve"> </w:t>
      </w:r>
      <w:r w:rsidR="0054100D" w:rsidRPr="0054100D">
        <w:rPr>
          <w:rFonts w:ascii="Times New Roman" w:hAnsi="Times New Roman" w:cs="Times New Roman"/>
          <w:b/>
          <w:sz w:val="24"/>
          <w:szCs w:val="24"/>
          <w:lang w:val="pt-BR"/>
        </w:rPr>
        <w:t>I</w:t>
      </w:r>
      <w:r w:rsidR="00415219">
        <w:rPr>
          <w:rFonts w:ascii="Times New Roman" w:hAnsi="Times New Roman" w:cs="Times New Roman"/>
          <w:b/>
          <w:sz w:val="24"/>
          <w:szCs w:val="24"/>
          <w:lang w:val="pt-BR"/>
        </w:rPr>
        <w:t>NTRODUÇÃO</w:t>
      </w:r>
    </w:p>
    <w:p w14:paraId="37D44741" w14:textId="2E1043F9" w:rsidR="00B2374D" w:rsidRPr="00B2374D" w:rsidRDefault="00B2374D" w:rsidP="00524517">
      <w:pPr>
        <w:rPr>
          <w:rFonts w:ascii="Times New Roman" w:hAnsi="Times New Roman" w:cs="Times New Roman"/>
          <w:sz w:val="24"/>
          <w:szCs w:val="24"/>
          <w:lang w:val="pt-BR"/>
        </w:rPr>
      </w:pPr>
      <w:r w:rsidRPr="00B2374D">
        <w:rPr>
          <w:rFonts w:ascii="Times New Roman" w:hAnsi="Times New Roman" w:cs="Times New Roman"/>
          <w:sz w:val="24"/>
          <w:szCs w:val="24"/>
          <w:lang w:val="pt-BR"/>
        </w:rPr>
        <w:t xml:space="preserve">A </w:t>
      </w:r>
      <w:r>
        <w:rPr>
          <w:rFonts w:ascii="Times New Roman" w:hAnsi="Times New Roman" w:cs="Times New Roman"/>
          <w:sz w:val="24"/>
          <w:szCs w:val="24"/>
          <w:lang w:val="pt-BR"/>
        </w:rPr>
        <w:t xml:space="preserve">identificação do nível de desenvolvimento econômico local </w:t>
      </w:r>
      <w:r w:rsidRPr="00B2374D">
        <w:rPr>
          <w:rFonts w:ascii="Times New Roman" w:hAnsi="Times New Roman" w:cs="Times New Roman"/>
          <w:sz w:val="24"/>
          <w:szCs w:val="24"/>
          <w:lang w:val="pt-BR"/>
        </w:rPr>
        <w:t>é sempre um desafio de elevada complexidade. A consistente heterogeneidade entre as unidades, além da natureza diversa dos investimentos, dificulta uma a</w:t>
      </w:r>
      <w:r>
        <w:rPr>
          <w:rFonts w:ascii="Times New Roman" w:hAnsi="Times New Roman" w:cs="Times New Roman"/>
          <w:sz w:val="24"/>
          <w:szCs w:val="24"/>
          <w:lang w:val="pt-BR"/>
        </w:rPr>
        <w:t xml:space="preserve">nálise mais aprofundada </w:t>
      </w:r>
      <w:r w:rsidR="000501D5">
        <w:rPr>
          <w:rFonts w:ascii="Times New Roman" w:hAnsi="Times New Roman" w:cs="Times New Roman"/>
          <w:sz w:val="24"/>
          <w:szCs w:val="24"/>
          <w:lang w:val="pt-BR"/>
        </w:rPr>
        <w:t xml:space="preserve">somente </w:t>
      </w:r>
      <w:r w:rsidR="001332EA">
        <w:rPr>
          <w:rFonts w:ascii="Times New Roman" w:hAnsi="Times New Roman" w:cs="Times New Roman"/>
          <w:sz w:val="24"/>
          <w:szCs w:val="24"/>
          <w:lang w:val="pt-BR"/>
        </w:rPr>
        <w:t>baseada</w:t>
      </w:r>
      <w:r>
        <w:rPr>
          <w:rFonts w:ascii="Times New Roman" w:hAnsi="Times New Roman" w:cs="Times New Roman"/>
          <w:sz w:val="24"/>
          <w:szCs w:val="24"/>
          <w:lang w:val="pt-BR"/>
        </w:rPr>
        <w:t xml:space="preserve"> nos fundamentos da literatura </w:t>
      </w:r>
      <w:r w:rsidR="003479FE">
        <w:rPr>
          <w:rFonts w:ascii="Times New Roman" w:hAnsi="Times New Roman" w:cs="Times New Roman"/>
          <w:sz w:val="24"/>
          <w:szCs w:val="24"/>
          <w:lang w:val="pt-BR"/>
        </w:rPr>
        <w:t>internacional disponível.</w:t>
      </w:r>
      <w:r>
        <w:rPr>
          <w:rFonts w:ascii="Times New Roman" w:hAnsi="Times New Roman" w:cs="Times New Roman"/>
          <w:sz w:val="24"/>
          <w:szCs w:val="24"/>
          <w:lang w:val="pt-BR"/>
        </w:rPr>
        <w:t xml:space="preserve"> </w:t>
      </w:r>
    </w:p>
    <w:p w14:paraId="101DF722" w14:textId="30B9C389" w:rsidR="00D573E3" w:rsidRDefault="00BC6137" w:rsidP="00524517">
      <w:pPr>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Se</w:t>
      </w:r>
      <w:r w:rsidR="003C19C5">
        <w:rPr>
          <w:rFonts w:ascii="Times New Roman" w:eastAsia="Times New Roman" w:hAnsi="Times New Roman" w:cs="Times New Roman"/>
          <w:sz w:val="24"/>
          <w:szCs w:val="24"/>
          <w:lang w:val="pt-BR"/>
        </w:rPr>
        <w:t>guindo a orientação de</w:t>
      </w:r>
      <w:r w:rsidR="001D6E19">
        <w:rPr>
          <w:rFonts w:ascii="Times New Roman" w:eastAsia="Times New Roman" w:hAnsi="Times New Roman" w:cs="Times New Roman"/>
          <w:sz w:val="24"/>
          <w:szCs w:val="24"/>
          <w:lang w:val="pt-BR"/>
        </w:rPr>
        <w:t xml:space="preserve"> Barquero (1999) de que </w:t>
      </w:r>
      <w:r w:rsidR="000501D5" w:rsidRPr="00054D05">
        <w:rPr>
          <w:rFonts w:ascii="Times New Roman" w:eastAsia="Times New Roman" w:hAnsi="Times New Roman" w:cs="Times New Roman"/>
          <w:sz w:val="24"/>
          <w:szCs w:val="24"/>
          <w:lang w:val="pt-BR"/>
        </w:rPr>
        <w:t>o desenvolvimen</w:t>
      </w:r>
      <w:r w:rsidR="00D573E3">
        <w:rPr>
          <w:rFonts w:ascii="Times New Roman" w:eastAsia="Times New Roman" w:hAnsi="Times New Roman" w:cs="Times New Roman"/>
          <w:sz w:val="24"/>
          <w:szCs w:val="24"/>
          <w:lang w:val="pt-BR"/>
        </w:rPr>
        <w:t>to endógeno é um processo que evolui ao longo das fases: econômica</w:t>
      </w:r>
      <w:r w:rsidR="00E4203F">
        <w:rPr>
          <w:rFonts w:ascii="Times New Roman" w:eastAsia="Times New Roman" w:hAnsi="Times New Roman" w:cs="Times New Roman"/>
          <w:sz w:val="24"/>
          <w:szCs w:val="24"/>
          <w:lang w:val="pt-BR"/>
        </w:rPr>
        <w:t>;</w:t>
      </w:r>
      <w:r w:rsidR="00D573E3">
        <w:rPr>
          <w:rFonts w:ascii="Times New Roman" w:eastAsia="Times New Roman" w:hAnsi="Times New Roman" w:cs="Times New Roman"/>
          <w:sz w:val="24"/>
          <w:szCs w:val="24"/>
          <w:lang w:val="pt-BR"/>
        </w:rPr>
        <w:t xml:space="preserve"> social</w:t>
      </w:r>
      <w:r w:rsidR="00FB59B7">
        <w:rPr>
          <w:rFonts w:ascii="Times New Roman" w:eastAsia="Times New Roman" w:hAnsi="Times New Roman" w:cs="Times New Roman"/>
          <w:sz w:val="24"/>
          <w:szCs w:val="24"/>
          <w:lang w:val="pt-BR"/>
        </w:rPr>
        <w:t>,</w:t>
      </w:r>
      <w:r w:rsidR="00D573E3">
        <w:rPr>
          <w:rFonts w:ascii="Times New Roman" w:eastAsia="Times New Roman" w:hAnsi="Times New Roman" w:cs="Times New Roman"/>
          <w:sz w:val="24"/>
          <w:szCs w:val="24"/>
          <w:lang w:val="pt-BR"/>
        </w:rPr>
        <w:t xml:space="preserve"> cultural e pol</w:t>
      </w:r>
      <w:r w:rsidR="00FB59B7">
        <w:rPr>
          <w:rFonts w:ascii="Times New Roman" w:eastAsia="Times New Roman" w:hAnsi="Times New Roman" w:cs="Times New Roman"/>
          <w:sz w:val="24"/>
          <w:szCs w:val="24"/>
          <w:lang w:val="pt-BR"/>
        </w:rPr>
        <w:t>í</w:t>
      </w:r>
      <w:r>
        <w:rPr>
          <w:rFonts w:ascii="Times New Roman" w:eastAsia="Times New Roman" w:hAnsi="Times New Roman" w:cs="Times New Roman"/>
          <w:sz w:val="24"/>
          <w:szCs w:val="24"/>
          <w:lang w:val="pt-BR"/>
        </w:rPr>
        <w:t>tica</w:t>
      </w:r>
      <w:r w:rsidR="00E4203F">
        <w:rPr>
          <w:rFonts w:ascii="Times New Roman" w:eastAsia="Times New Roman" w:hAnsi="Times New Roman" w:cs="Times New Roman"/>
          <w:sz w:val="24"/>
          <w:szCs w:val="24"/>
          <w:lang w:val="pt-BR"/>
        </w:rPr>
        <w:t>,</w:t>
      </w:r>
      <w:r w:rsidR="00D573E3">
        <w:rPr>
          <w:rFonts w:ascii="Times New Roman" w:eastAsia="Times New Roman" w:hAnsi="Times New Roman" w:cs="Times New Roman"/>
          <w:sz w:val="24"/>
          <w:szCs w:val="24"/>
          <w:lang w:val="pt-BR"/>
        </w:rPr>
        <w:t xml:space="preserve"> </w:t>
      </w:r>
      <w:r>
        <w:rPr>
          <w:rFonts w:ascii="Times New Roman" w:eastAsia="Times New Roman" w:hAnsi="Times New Roman" w:cs="Times New Roman"/>
          <w:sz w:val="24"/>
          <w:szCs w:val="24"/>
          <w:lang w:val="pt-BR"/>
        </w:rPr>
        <w:t xml:space="preserve">entender fundamentalmente a fase econômica é crucial. A identificação do nível de desenvolvimento no contexto da combinação das mesmas fases pode levar a equívocos importantes. </w:t>
      </w:r>
    </w:p>
    <w:p w14:paraId="1B3DE900" w14:textId="56A112B8" w:rsidR="0096145E" w:rsidRPr="00731A3F" w:rsidRDefault="00BC6137" w:rsidP="00524517">
      <w:pPr>
        <w:rPr>
          <w:rFonts w:ascii="Times New Roman" w:hAnsi="Times New Roman" w:cs="Times New Roman"/>
          <w:sz w:val="24"/>
          <w:szCs w:val="24"/>
          <w:lang w:val="pt-BR"/>
        </w:rPr>
      </w:pPr>
      <w:r>
        <w:rPr>
          <w:rFonts w:ascii="Times New Roman" w:eastAsia="Times New Roman" w:hAnsi="Times New Roman" w:cs="Times New Roman"/>
          <w:sz w:val="24"/>
          <w:szCs w:val="24"/>
          <w:lang w:val="pt-BR"/>
        </w:rPr>
        <w:t>Desta for</w:t>
      </w:r>
      <w:r w:rsidR="0096145E">
        <w:rPr>
          <w:rFonts w:ascii="Times New Roman" w:eastAsia="Times New Roman" w:hAnsi="Times New Roman" w:cs="Times New Roman"/>
          <w:sz w:val="24"/>
          <w:szCs w:val="24"/>
          <w:lang w:val="pt-BR"/>
        </w:rPr>
        <w:t>ma a contribuição aqui exposta visa</w:t>
      </w:r>
      <w:r>
        <w:rPr>
          <w:rFonts w:ascii="Times New Roman" w:eastAsia="Times New Roman" w:hAnsi="Times New Roman" w:cs="Times New Roman"/>
          <w:sz w:val="24"/>
          <w:szCs w:val="24"/>
          <w:lang w:val="pt-BR"/>
        </w:rPr>
        <w:t xml:space="preserve"> facilitar um melhor</w:t>
      </w:r>
      <w:r w:rsidR="0096145E">
        <w:rPr>
          <w:rFonts w:ascii="Times New Roman" w:eastAsia="Times New Roman" w:hAnsi="Times New Roman" w:cs="Times New Roman"/>
          <w:sz w:val="24"/>
          <w:szCs w:val="24"/>
          <w:lang w:val="pt-BR"/>
        </w:rPr>
        <w:t xml:space="preserve"> entendimento sobre</w:t>
      </w:r>
      <w:r>
        <w:rPr>
          <w:rFonts w:ascii="Times New Roman" w:eastAsia="Times New Roman" w:hAnsi="Times New Roman" w:cs="Times New Roman"/>
          <w:sz w:val="24"/>
          <w:szCs w:val="24"/>
          <w:lang w:val="pt-BR"/>
        </w:rPr>
        <w:t xml:space="preserve"> a dinâmica econômica</w:t>
      </w:r>
      <w:r w:rsidR="0096145E">
        <w:rPr>
          <w:rFonts w:ascii="Times New Roman" w:eastAsia="Times New Roman" w:hAnsi="Times New Roman" w:cs="Times New Roman"/>
          <w:sz w:val="24"/>
          <w:szCs w:val="24"/>
          <w:lang w:val="pt-BR"/>
        </w:rPr>
        <w:t xml:space="preserve"> local,</w:t>
      </w:r>
      <w:r>
        <w:rPr>
          <w:rFonts w:ascii="Times New Roman" w:eastAsia="Times New Roman" w:hAnsi="Times New Roman" w:cs="Times New Roman"/>
          <w:sz w:val="24"/>
          <w:szCs w:val="24"/>
          <w:lang w:val="pt-BR"/>
        </w:rPr>
        <w:t xml:space="preserve"> </w:t>
      </w:r>
      <w:r w:rsidR="00EF3F22">
        <w:rPr>
          <w:rFonts w:ascii="Times New Roman" w:eastAsia="Times New Roman" w:hAnsi="Times New Roman" w:cs="Times New Roman"/>
          <w:sz w:val="24"/>
          <w:szCs w:val="24"/>
          <w:lang w:val="pt-BR"/>
        </w:rPr>
        <w:t xml:space="preserve">condição estratégica para </w:t>
      </w:r>
      <w:r w:rsidR="0096145E">
        <w:rPr>
          <w:rFonts w:ascii="Times New Roman" w:eastAsia="Times New Roman" w:hAnsi="Times New Roman" w:cs="Times New Roman"/>
          <w:sz w:val="24"/>
          <w:szCs w:val="24"/>
          <w:lang w:val="pt-BR"/>
        </w:rPr>
        <w:t>orient</w:t>
      </w:r>
      <w:r w:rsidR="00EF3F22">
        <w:rPr>
          <w:rFonts w:ascii="Times New Roman" w:eastAsia="Times New Roman" w:hAnsi="Times New Roman" w:cs="Times New Roman"/>
          <w:sz w:val="24"/>
          <w:szCs w:val="24"/>
          <w:lang w:val="pt-BR"/>
        </w:rPr>
        <w:t>ar</w:t>
      </w:r>
      <w:r w:rsidR="0096145E">
        <w:rPr>
          <w:rFonts w:ascii="Times New Roman" w:eastAsia="Times New Roman" w:hAnsi="Times New Roman" w:cs="Times New Roman"/>
          <w:sz w:val="24"/>
          <w:szCs w:val="24"/>
          <w:lang w:val="pt-BR"/>
        </w:rPr>
        <w:t xml:space="preserve"> a formulação de politicas públicas </w:t>
      </w:r>
      <w:r w:rsidR="00CD3691">
        <w:rPr>
          <w:rFonts w:ascii="Times New Roman" w:eastAsia="Times New Roman" w:hAnsi="Times New Roman" w:cs="Times New Roman"/>
          <w:sz w:val="24"/>
          <w:szCs w:val="24"/>
          <w:lang w:val="pt-BR"/>
        </w:rPr>
        <w:t>que contemple</w:t>
      </w:r>
      <w:r w:rsidR="00EF3F22">
        <w:rPr>
          <w:rFonts w:ascii="Times New Roman" w:eastAsia="Times New Roman" w:hAnsi="Times New Roman" w:cs="Times New Roman"/>
          <w:sz w:val="24"/>
          <w:szCs w:val="24"/>
          <w:lang w:val="pt-BR"/>
        </w:rPr>
        <w:t xml:space="preserve"> as fases seguintes de cunho social cultural e político</w:t>
      </w:r>
      <w:r w:rsidR="00EF3F22" w:rsidRPr="00731A3F">
        <w:rPr>
          <w:rFonts w:ascii="Times New Roman" w:eastAsia="Times New Roman" w:hAnsi="Times New Roman" w:cs="Times New Roman"/>
          <w:sz w:val="24"/>
          <w:szCs w:val="24"/>
          <w:lang w:val="pt-BR"/>
        </w:rPr>
        <w:t>.</w:t>
      </w:r>
      <w:r w:rsidR="00F04960" w:rsidRPr="00731A3F">
        <w:rPr>
          <w:rFonts w:ascii="Times New Roman" w:eastAsia="Times New Roman" w:hAnsi="Times New Roman" w:cs="Times New Roman"/>
          <w:sz w:val="24"/>
          <w:szCs w:val="24"/>
          <w:lang w:val="pt-BR"/>
        </w:rPr>
        <w:t xml:space="preserve"> </w:t>
      </w:r>
      <w:r w:rsidR="00F04960" w:rsidRPr="00731A3F">
        <w:rPr>
          <w:rFonts w:ascii="Times New Roman" w:hAnsi="Times New Roman" w:cs="Times New Roman"/>
          <w:sz w:val="24"/>
          <w:szCs w:val="24"/>
          <w:lang w:val="pt-BR"/>
        </w:rPr>
        <w:t>De acordo com F</w:t>
      </w:r>
      <w:r w:rsidR="002A02E1" w:rsidRPr="00731A3F">
        <w:rPr>
          <w:rFonts w:ascii="Times New Roman" w:hAnsi="Times New Roman" w:cs="Times New Roman"/>
          <w:sz w:val="24"/>
          <w:szCs w:val="24"/>
          <w:lang w:val="pt-BR"/>
        </w:rPr>
        <w:t>ur</w:t>
      </w:r>
      <w:r w:rsidR="00F04960" w:rsidRPr="00731A3F">
        <w:rPr>
          <w:rFonts w:ascii="Times New Roman" w:hAnsi="Times New Roman" w:cs="Times New Roman"/>
          <w:sz w:val="24"/>
          <w:szCs w:val="24"/>
          <w:lang w:val="pt-BR"/>
        </w:rPr>
        <w:t>tado (1974) o conhecimento sobre a dinâmica econômica local/regional deve anteceder a condição de desenvolvimento econômico.</w:t>
      </w:r>
    </w:p>
    <w:p w14:paraId="7A21093F" w14:textId="13085405" w:rsidR="00F86A3C" w:rsidRDefault="00F86A3C" w:rsidP="00524517">
      <w:pPr>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A dinâmica econômica local entendida nesse contexto é representada pela capacidade do sistema econômica local de fixar internamente parcela relativa substancial da riqueza gerada em função do afluxo monetário</w:t>
      </w:r>
      <w:r w:rsidR="000F4542">
        <w:rPr>
          <w:rFonts w:ascii="Times New Roman" w:eastAsia="Times New Roman" w:hAnsi="Times New Roman" w:cs="Times New Roman"/>
          <w:sz w:val="24"/>
          <w:szCs w:val="24"/>
          <w:lang w:val="pt-BR"/>
        </w:rPr>
        <w:t xml:space="preserve"> de capital (Ribeiro, et. al. 2024)</w:t>
      </w:r>
      <w:r w:rsidR="005E16F3">
        <w:rPr>
          <w:rFonts w:ascii="Times New Roman" w:eastAsia="Times New Roman" w:hAnsi="Times New Roman" w:cs="Times New Roman"/>
          <w:sz w:val="24"/>
          <w:szCs w:val="24"/>
          <w:lang w:val="pt-BR"/>
        </w:rPr>
        <w:t>.</w:t>
      </w:r>
    </w:p>
    <w:p w14:paraId="7783D562" w14:textId="50955177" w:rsidR="00353105" w:rsidRDefault="00353105" w:rsidP="00524517">
      <w:pPr>
        <w:rPr>
          <w:rFonts w:ascii="Times New Roman" w:hAnsi="Times New Roman" w:cs="Times New Roman"/>
          <w:sz w:val="24"/>
          <w:szCs w:val="24"/>
          <w:lang w:val="pt-BR"/>
        </w:rPr>
      </w:pPr>
      <w:r>
        <w:rPr>
          <w:rFonts w:ascii="Times New Roman" w:eastAsia="Times New Roman" w:hAnsi="Times New Roman" w:cs="Times New Roman"/>
          <w:sz w:val="24"/>
          <w:szCs w:val="24"/>
          <w:lang w:val="pt-BR"/>
        </w:rPr>
        <w:t xml:space="preserve">Para uma melhor visão sobre a questão de fixar riqueza, a discussão </w:t>
      </w:r>
      <w:r w:rsidRPr="00353105">
        <w:rPr>
          <w:rFonts w:ascii="Times New Roman" w:hAnsi="Times New Roman" w:cs="Times New Roman"/>
          <w:sz w:val="24"/>
          <w:szCs w:val="24"/>
          <w:lang w:val="pt-BR"/>
        </w:rPr>
        <w:t xml:space="preserve">proposta por Cohen e Levinthal (1990) </w:t>
      </w:r>
      <w:r>
        <w:rPr>
          <w:rFonts w:ascii="Times New Roman" w:hAnsi="Times New Roman" w:cs="Times New Roman"/>
          <w:sz w:val="24"/>
          <w:szCs w:val="24"/>
          <w:lang w:val="pt-BR"/>
        </w:rPr>
        <w:t>é fundamental. Segundo os autores, na perspectiva de aprendizagem</w:t>
      </w:r>
      <w:r w:rsidR="006C2CCE">
        <w:rPr>
          <w:rFonts w:ascii="Times New Roman" w:hAnsi="Times New Roman" w:cs="Times New Roman"/>
          <w:sz w:val="24"/>
          <w:szCs w:val="24"/>
          <w:lang w:val="pt-BR"/>
        </w:rPr>
        <w:t>,</w:t>
      </w:r>
      <w:r>
        <w:rPr>
          <w:rFonts w:ascii="Times New Roman" w:hAnsi="Times New Roman" w:cs="Times New Roman"/>
          <w:sz w:val="24"/>
          <w:szCs w:val="24"/>
          <w:lang w:val="pt-BR"/>
        </w:rPr>
        <w:t xml:space="preserve"> </w:t>
      </w:r>
      <w:r w:rsidRPr="00353105">
        <w:rPr>
          <w:rFonts w:ascii="Times New Roman" w:hAnsi="Times New Roman" w:cs="Times New Roman"/>
          <w:sz w:val="24"/>
          <w:szCs w:val="24"/>
          <w:lang w:val="pt-BR"/>
        </w:rPr>
        <w:t>reconhecer o valor das novas informações, assimilá-las e apli</w:t>
      </w:r>
      <w:r>
        <w:rPr>
          <w:rFonts w:ascii="Times New Roman" w:hAnsi="Times New Roman" w:cs="Times New Roman"/>
          <w:sz w:val="24"/>
          <w:szCs w:val="24"/>
          <w:lang w:val="pt-BR"/>
        </w:rPr>
        <w:t xml:space="preserve">cá-las para fins comerciais, </w:t>
      </w:r>
      <w:r w:rsidR="006C2CCE">
        <w:rPr>
          <w:rFonts w:ascii="Times New Roman" w:hAnsi="Times New Roman" w:cs="Times New Roman"/>
          <w:sz w:val="24"/>
          <w:szCs w:val="24"/>
          <w:lang w:val="pt-BR"/>
        </w:rPr>
        <w:t>materializam</w:t>
      </w:r>
      <w:r w:rsidRPr="00353105">
        <w:rPr>
          <w:rFonts w:ascii="Times New Roman" w:hAnsi="Times New Roman" w:cs="Times New Roman"/>
          <w:sz w:val="24"/>
          <w:szCs w:val="24"/>
          <w:lang w:val="pt-BR"/>
        </w:rPr>
        <w:t xml:space="preserve"> habilidades que</w:t>
      </w:r>
      <w:r>
        <w:rPr>
          <w:rFonts w:ascii="Times New Roman" w:hAnsi="Times New Roman" w:cs="Times New Roman"/>
          <w:sz w:val="24"/>
          <w:szCs w:val="24"/>
          <w:lang w:val="pt-BR"/>
        </w:rPr>
        <w:t xml:space="preserve"> constituem coletivamente a </w:t>
      </w:r>
      <w:r w:rsidRPr="00353105">
        <w:rPr>
          <w:rFonts w:ascii="Times New Roman" w:hAnsi="Times New Roman" w:cs="Times New Roman"/>
          <w:sz w:val="24"/>
          <w:szCs w:val="24"/>
          <w:lang w:val="pt-BR"/>
        </w:rPr>
        <w:t>capacidade de absorção de uma empresa</w:t>
      </w:r>
      <w:r w:rsidR="001F12F4">
        <w:rPr>
          <w:rFonts w:ascii="Times New Roman" w:hAnsi="Times New Roman" w:cs="Times New Roman"/>
          <w:sz w:val="24"/>
          <w:szCs w:val="24"/>
          <w:lang w:val="pt-BR"/>
        </w:rPr>
        <w:t>, país ou região</w:t>
      </w:r>
      <w:r w:rsidRPr="00353105">
        <w:rPr>
          <w:rFonts w:ascii="Times New Roman" w:hAnsi="Times New Roman" w:cs="Times New Roman"/>
          <w:sz w:val="24"/>
          <w:szCs w:val="24"/>
          <w:lang w:val="pt-BR"/>
        </w:rPr>
        <w:t xml:space="preserve">. </w:t>
      </w:r>
      <w:r w:rsidR="00B905EA">
        <w:rPr>
          <w:rFonts w:ascii="Times New Roman" w:hAnsi="Times New Roman" w:cs="Times New Roman"/>
          <w:sz w:val="24"/>
          <w:szCs w:val="24"/>
          <w:lang w:val="pt-BR"/>
        </w:rPr>
        <w:t xml:space="preserve">Evidentemente a ampliação </w:t>
      </w:r>
      <w:r w:rsidR="006C2CCE">
        <w:rPr>
          <w:rFonts w:ascii="Times New Roman" w:hAnsi="Times New Roman" w:cs="Times New Roman"/>
          <w:sz w:val="24"/>
          <w:szCs w:val="24"/>
          <w:lang w:val="pt-BR"/>
        </w:rPr>
        <w:t>d</w:t>
      </w:r>
      <w:r w:rsidR="00B905EA">
        <w:rPr>
          <w:rFonts w:ascii="Times New Roman" w:hAnsi="Times New Roman" w:cs="Times New Roman"/>
          <w:sz w:val="24"/>
          <w:szCs w:val="24"/>
          <w:lang w:val="pt-BR"/>
        </w:rPr>
        <w:t>o processo permite o avanço d</w:t>
      </w:r>
      <w:r w:rsidR="001F12F4">
        <w:rPr>
          <w:rFonts w:ascii="Times New Roman" w:hAnsi="Times New Roman" w:cs="Times New Roman"/>
          <w:sz w:val="24"/>
          <w:szCs w:val="24"/>
          <w:lang w:val="pt-BR"/>
        </w:rPr>
        <w:t>a competitividade da unidade em análise</w:t>
      </w:r>
      <w:r w:rsidR="00B905EA">
        <w:rPr>
          <w:rFonts w:ascii="Times New Roman" w:hAnsi="Times New Roman" w:cs="Times New Roman"/>
          <w:sz w:val="24"/>
          <w:szCs w:val="24"/>
          <w:lang w:val="pt-BR"/>
        </w:rPr>
        <w:t>.</w:t>
      </w:r>
    </w:p>
    <w:p w14:paraId="0D378753" w14:textId="542A7EA9" w:rsidR="00524517" w:rsidRPr="00731A3F" w:rsidRDefault="006771F7" w:rsidP="006C1CE0">
      <w:pPr>
        <w:rPr>
          <w:rFonts w:ascii="Times New Roman" w:hAnsi="Times New Roman" w:cs="Times New Roman"/>
          <w:sz w:val="24"/>
          <w:szCs w:val="24"/>
          <w:lang w:val="pt-BR"/>
        </w:rPr>
      </w:pPr>
      <w:r w:rsidRPr="00731A3F">
        <w:rPr>
          <w:rFonts w:ascii="Times New Roman" w:hAnsi="Times New Roman" w:cs="Times New Roman"/>
          <w:sz w:val="24"/>
          <w:szCs w:val="24"/>
          <w:lang w:val="pt-BR"/>
        </w:rPr>
        <w:t>Para atender o objetivo proposto de diagnosticar mais assertivamente o sistema econômico local, o artigo considera estratégico o uso do Índice de Dinâmica Econômica Local, desenvolvido pelo Núcleo de Pesquisa Econômica do Rio de Janeiro – NUPERJ</w:t>
      </w:r>
      <w:r w:rsidR="00960732" w:rsidRPr="00731A3F">
        <w:rPr>
          <w:rFonts w:ascii="Times New Roman" w:hAnsi="Times New Roman" w:cs="Times New Roman"/>
          <w:sz w:val="24"/>
          <w:szCs w:val="24"/>
          <w:lang w:val="pt-BR"/>
        </w:rPr>
        <w:t>/UENF</w:t>
      </w:r>
      <w:r w:rsidRPr="00731A3F">
        <w:rPr>
          <w:rFonts w:ascii="Times New Roman" w:hAnsi="Times New Roman" w:cs="Times New Roman"/>
          <w:sz w:val="24"/>
          <w:szCs w:val="24"/>
          <w:lang w:val="pt-BR"/>
        </w:rPr>
        <w:t>.</w:t>
      </w:r>
      <w:r w:rsidR="00FC313B" w:rsidRPr="00731A3F">
        <w:rPr>
          <w:rFonts w:ascii="Times New Roman" w:hAnsi="Times New Roman" w:cs="Times New Roman"/>
          <w:sz w:val="24"/>
          <w:szCs w:val="24"/>
          <w:lang w:val="pt-BR"/>
        </w:rPr>
        <w:t xml:space="preserve"> Aspectos metodológicos serão apresentados posteriormente.</w:t>
      </w:r>
    </w:p>
    <w:p w14:paraId="2C430F77" w14:textId="77777777" w:rsidR="006C1CE0" w:rsidRPr="00524517" w:rsidRDefault="006C1CE0" w:rsidP="006C1CE0">
      <w:pPr>
        <w:rPr>
          <w:rFonts w:ascii="Times New Roman" w:hAnsi="Times New Roman" w:cs="Times New Roman"/>
          <w:color w:val="C45911" w:themeColor="accent2" w:themeShade="BF"/>
          <w:sz w:val="24"/>
          <w:szCs w:val="24"/>
          <w:lang w:val="pt-BR"/>
        </w:rPr>
      </w:pPr>
    </w:p>
    <w:p w14:paraId="24778AA9" w14:textId="0B964681" w:rsidR="008452CC" w:rsidRPr="00E23664" w:rsidRDefault="00D07372" w:rsidP="00524517">
      <w:pPr>
        <w:ind w:firstLine="0"/>
        <w:rPr>
          <w:rFonts w:ascii="Times New Roman" w:eastAsia="Times New Roman" w:hAnsi="Times New Roman" w:cs="Times New Roman"/>
          <w:b/>
          <w:sz w:val="24"/>
          <w:szCs w:val="24"/>
          <w:lang w:val="pt-BR"/>
        </w:rPr>
      </w:pPr>
      <w:proofErr w:type="gramStart"/>
      <w:r>
        <w:rPr>
          <w:rFonts w:ascii="Times New Roman" w:eastAsia="Times New Roman" w:hAnsi="Times New Roman" w:cs="Times New Roman"/>
          <w:b/>
          <w:sz w:val="24"/>
          <w:szCs w:val="24"/>
          <w:lang w:val="pt-BR"/>
        </w:rPr>
        <w:t>2</w:t>
      </w:r>
      <w:proofErr w:type="gramEnd"/>
      <w:r w:rsidR="0054100D">
        <w:rPr>
          <w:rFonts w:ascii="Times New Roman" w:eastAsia="Times New Roman" w:hAnsi="Times New Roman" w:cs="Times New Roman"/>
          <w:b/>
          <w:sz w:val="24"/>
          <w:szCs w:val="24"/>
          <w:lang w:val="pt-BR"/>
        </w:rPr>
        <w:t xml:space="preserve"> </w:t>
      </w:r>
      <w:r w:rsidR="00950967" w:rsidRPr="0054100D">
        <w:rPr>
          <w:rFonts w:ascii="Times New Roman" w:eastAsia="Times New Roman" w:hAnsi="Times New Roman" w:cs="Times New Roman"/>
          <w:b/>
          <w:sz w:val="24"/>
          <w:szCs w:val="24"/>
          <w:lang w:val="pt-BR"/>
        </w:rPr>
        <w:t>T</w:t>
      </w:r>
      <w:r w:rsidR="00894560">
        <w:rPr>
          <w:rFonts w:ascii="Times New Roman" w:eastAsia="Times New Roman" w:hAnsi="Times New Roman" w:cs="Times New Roman"/>
          <w:b/>
          <w:sz w:val="24"/>
          <w:szCs w:val="24"/>
          <w:lang w:val="pt-BR"/>
        </w:rPr>
        <w:t>RAJETÓRIA</w:t>
      </w:r>
      <w:r w:rsidR="00950967" w:rsidRPr="0054100D">
        <w:rPr>
          <w:rFonts w:ascii="Times New Roman" w:eastAsia="Times New Roman" w:hAnsi="Times New Roman" w:cs="Times New Roman"/>
          <w:b/>
          <w:sz w:val="24"/>
          <w:szCs w:val="24"/>
          <w:lang w:val="pt-BR"/>
        </w:rPr>
        <w:t xml:space="preserve"> E</w:t>
      </w:r>
      <w:r w:rsidR="00894560">
        <w:rPr>
          <w:rFonts w:ascii="Times New Roman" w:eastAsia="Times New Roman" w:hAnsi="Times New Roman" w:cs="Times New Roman"/>
          <w:b/>
          <w:sz w:val="24"/>
          <w:szCs w:val="24"/>
          <w:lang w:val="pt-BR"/>
        </w:rPr>
        <w:t>VOLUTIVA</w:t>
      </w:r>
      <w:r w:rsidR="00950967" w:rsidRPr="0054100D">
        <w:rPr>
          <w:rFonts w:ascii="Times New Roman" w:eastAsia="Times New Roman" w:hAnsi="Times New Roman" w:cs="Times New Roman"/>
          <w:b/>
          <w:sz w:val="24"/>
          <w:szCs w:val="24"/>
          <w:lang w:val="pt-BR"/>
        </w:rPr>
        <w:t xml:space="preserve"> </w:t>
      </w:r>
      <w:r w:rsidR="00894560">
        <w:rPr>
          <w:rFonts w:ascii="Times New Roman" w:eastAsia="Times New Roman" w:hAnsi="Times New Roman" w:cs="Times New Roman"/>
          <w:b/>
          <w:sz w:val="24"/>
          <w:szCs w:val="24"/>
          <w:lang w:val="pt-BR"/>
        </w:rPr>
        <w:t>DO DESENVOLVIMENTO ECONÔMICO</w:t>
      </w:r>
      <w:r w:rsidR="00905372" w:rsidRPr="0054100D">
        <w:rPr>
          <w:rFonts w:ascii="Times New Roman" w:eastAsia="Times New Roman" w:hAnsi="Times New Roman" w:cs="Times New Roman"/>
          <w:b/>
          <w:sz w:val="24"/>
          <w:szCs w:val="24"/>
          <w:lang w:val="pt-BR"/>
        </w:rPr>
        <w:t xml:space="preserve"> </w:t>
      </w:r>
    </w:p>
    <w:p w14:paraId="45A40314" w14:textId="015FC5D4" w:rsidR="00FC601B" w:rsidRPr="002811D7" w:rsidRDefault="00FC0CBC" w:rsidP="00524517">
      <w:pPr>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Com o findar da segunda guerra mundial ficou acentuado um rígido processo de desigualdade entre países ricos e pobres.</w:t>
      </w:r>
      <w:r w:rsidR="002811D7">
        <w:rPr>
          <w:rFonts w:ascii="Times New Roman" w:eastAsia="Times New Roman" w:hAnsi="Times New Roman" w:cs="Times New Roman"/>
          <w:sz w:val="24"/>
          <w:szCs w:val="24"/>
          <w:lang w:val="pt-BR"/>
        </w:rPr>
        <w:t xml:space="preserve"> Paralelamente o modelo Keynesiano de maior </w:t>
      </w:r>
      <w:r w:rsidR="00E01896" w:rsidRPr="00054D05">
        <w:rPr>
          <w:rFonts w:ascii="Times New Roman" w:hAnsi="Times New Roman" w:cs="Times New Roman"/>
          <w:sz w:val="24"/>
          <w:szCs w:val="24"/>
          <w:lang w:val="pt-BR"/>
        </w:rPr>
        <w:t xml:space="preserve">participação do </w:t>
      </w:r>
      <w:r w:rsidR="00CC6CA4" w:rsidRPr="00054D05">
        <w:rPr>
          <w:rFonts w:ascii="Times New Roman" w:hAnsi="Times New Roman" w:cs="Times New Roman"/>
          <w:sz w:val="24"/>
          <w:szCs w:val="24"/>
          <w:lang w:val="pt-BR"/>
        </w:rPr>
        <w:t>estado</w:t>
      </w:r>
      <w:r w:rsidR="00E01896" w:rsidRPr="00054D05">
        <w:rPr>
          <w:rFonts w:ascii="Times New Roman" w:hAnsi="Times New Roman" w:cs="Times New Roman"/>
          <w:sz w:val="24"/>
          <w:szCs w:val="24"/>
          <w:lang w:val="pt-BR"/>
        </w:rPr>
        <w:t xml:space="preserve"> na economia</w:t>
      </w:r>
      <w:r w:rsidR="00CC52CF">
        <w:rPr>
          <w:rFonts w:ascii="Times New Roman" w:hAnsi="Times New Roman" w:cs="Times New Roman"/>
          <w:sz w:val="24"/>
          <w:szCs w:val="24"/>
          <w:lang w:val="pt-BR"/>
        </w:rPr>
        <w:t>,</w:t>
      </w:r>
      <w:r w:rsidR="00E01896" w:rsidRPr="00054D05">
        <w:rPr>
          <w:rFonts w:ascii="Times New Roman" w:hAnsi="Times New Roman" w:cs="Times New Roman"/>
          <w:sz w:val="24"/>
          <w:szCs w:val="24"/>
          <w:lang w:val="pt-BR"/>
        </w:rPr>
        <w:t xml:space="preserve"> já apresentava sinais de fraque</w:t>
      </w:r>
      <w:r w:rsidR="009660F0">
        <w:rPr>
          <w:rFonts w:ascii="Times New Roman" w:hAnsi="Times New Roman" w:cs="Times New Roman"/>
          <w:sz w:val="24"/>
          <w:szCs w:val="24"/>
          <w:lang w:val="pt-BR"/>
        </w:rPr>
        <w:t>za e reflexões alternativas se tornaram</w:t>
      </w:r>
      <w:r w:rsidR="00E01896" w:rsidRPr="00054D05">
        <w:rPr>
          <w:rFonts w:ascii="Times New Roman" w:hAnsi="Times New Roman" w:cs="Times New Roman"/>
          <w:sz w:val="24"/>
          <w:szCs w:val="24"/>
          <w:lang w:val="pt-BR"/>
        </w:rPr>
        <w:t xml:space="preserve"> necessárias. </w:t>
      </w:r>
      <w:r w:rsidR="00FC601B" w:rsidRPr="00054D05">
        <w:rPr>
          <w:rFonts w:ascii="Times New Roman" w:hAnsi="Times New Roman" w:cs="Times New Roman"/>
          <w:sz w:val="24"/>
          <w:szCs w:val="24"/>
          <w:lang w:val="pt-BR"/>
        </w:rPr>
        <w:t xml:space="preserve">Este </w:t>
      </w:r>
      <w:r w:rsidR="00E153E3" w:rsidRPr="00054D05">
        <w:rPr>
          <w:rFonts w:ascii="Times New Roman" w:hAnsi="Times New Roman" w:cs="Times New Roman"/>
          <w:sz w:val="24"/>
          <w:szCs w:val="24"/>
          <w:lang w:val="pt-BR"/>
        </w:rPr>
        <w:t>contexto possibilitou o surg</w:t>
      </w:r>
      <w:r w:rsidR="00FC601B" w:rsidRPr="00054D05">
        <w:rPr>
          <w:rFonts w:ascii="Times New Roman" w:hAnsi="Times New Roman" w:cs="Times New Roman"/>
          <w:sz w:val="24"/>
          <w:szCs w:val="24"/>
          <w:lang w:val="pt-BR"/>
        </w:rPr>
        <w:t>i</w:t>
      </w:r>
      <w:r w:rsidR="00CC52CF">
        <w:rPr>
          <w:rFonts w:ascii="Times New Roman" w:hAnsi="Times New Roman" w:cs="Times New Roman"/>
          <w:sz w:val="24"/>
          <w:szCs w:val="24"/>
          <w:lang w:val="pt-BR"/>
        </w:rPr>
        <w:t xml:space="preserve">mento dos modelos neoclássicos para </w:t>
      </w:r>
      <w:r w:rsidR="00FC601B" w:rsidRPr="00054D05">
        <w:rPr>
          <w:rFonts w:ascii="Times New Roman" w:hAnsi="Times New Roman" w:cs="Times New Roman"/>
          <w:sz w:val="24"/>
          <w:szCs w:val="24"/>
          <w:lang w:val="pt-BR"/>
        </w:rPr>
        <w:t>explicar o processo de crescimento econômico (Solow, 1956).</w:t>
      </w:r>
    </w:p>
    <w:p w14:paraId="3C0CE207" w14:textId="18397090" w:rsidR="009B1976" w:rsidRPr="00054D05" w:rsidRDefault="009B1976" w:rsidP="00524517">
      <w:pPr>
        <w:rPr>
          <w:rFonts w:ascii="Times New Roman" w:hAnsi="Times New Roman" w:cs="Times New Roman"/>
          <w:sz w:val="24"/>
          <w:szCs w:val="24"/>
          <w:lang w:val="pt-BR"/>
        </w:rPr>
      </w:pPr>
      <w:r w:rsidRPr="00054D05">
        <w:rPr>
          <w:rFonts w:ascii="Times New Roman" w:hAnsi="Times New Roman" w:cs="Times New Roman"/>
          <w:sz w:val="24"/>
          <w:szCs w:val="24"/>
          <w:lang w:val="pt-BR"/>
        </w:rPr>
        <w:lastRenderedPageBreak/>
        <w:t xml:space="preserve">Entretanto alguns </w:t>
      </w:r>
      <w:r w:rsidR="00807E34" w:rsidRPr="00054D05">
        <w:rPr>
          <w:rFonts w:ascii="Times New Roman" w:hAnsi="Times New Roman" w:cs="Times New Roman"/>
          <w:sz w:val="24"/>
          <w:szCs w:val="24"/>
          <w:lang w:val="pt-BR"/>
        </w:rPr>
        <w:t xml:space="preserve">anos </w:t>
      </w:r>
      <w:r w:rsidRPr="00054D05">
        <w:rPr>
          <w:rFonts w:ascii="Times New Roman" w:hAnsi="Times New Roman" w:cs="Times New Roman"/>
          <w:sz w:val="24"/>
          <w:szCs w:val="24"/>
          <w:lang w:val="pt-BR"/>
        </w:rPr>
        <w:t xml:space="preserve">se passaram e economistas teóricos e pesquisadores empíricos negligenciaram </w:t>
      </w:r>
      <w:r w:rsidR="00E153E3" w:rsidRPr="00054D05">
        <w:rPr>
          <w:rFonts w:ascii="Times New Roman" w:hAnsi="Times New Roman" w:cs="Times New Roman"/>
          <w:sz w:val="24"/>
          <w:szCs w:val="24"/>
          <w:lang w:val="pt-BR"/>
        </w:rPr>
        <w:t>o e</w:t>
      </w:r>
      <w:r w:rsidR="00807E34" w:rsidRPr="00054D05">
        <w:rPr>
          <w:rFonts w:ascii="Times New Roman" w:hAnsi="Times New Roman" w:cs="Times New Roman"/>
          <w:sz w:val="24"/>
          <w:szCs w:val="24"/>
          <w:lang w:val="pt-BR"/>
        </w:rPr>
        <w:t xml:space="preserve">studo do crescimento, </w:t>
      </w:r>
      <w:r w:rsidR="00E153E3" w:rsidRPr="00054D05">
        <w:rPr>
          <w:rFonts w:ascii="Times New Roman" w:hAnsi="Times New Roman" w:cs="Times New Roman"/>
          <w:sz w:val="24"/>
          <w:szCs w:val="24"/>
          <w:lang w:val="pt-BR"/>
        </w:rPr>
        <w:t xml:space="preserve">concentrando suas atenções em outros campos, notadamente, na </w:t>
      </w:r>
      <w:r w:rsidRPr="00054D05">
        <w:rPr>
          <w:rFonts w:ascii="Times New Roman" w:hAnsi="Times New Roman" w:cs="Times New Roman"/>
          <w:sz w:val="24"/>
          <w:szCs w:val="24"/>
          <w:lang w:val="pt-BR"/>
        </w:rPr>
        <w:t>política</w:t>
      </w:r>
      <w:r w:rsidR="00E153E3" w:rsidRPr="00054D05">
        <w:rPr>
          <w:rFonts w:ascii="Times New Roman" w:hAnsi="Times New Roman" w:cs="Times New Roman"/>
          <w:sz w:val="24"/>
          <w:szCs w:val="24"/>
          <w:lang w:val="pt-BR"/>
        </w:rPr>
        <w:t xml:space="preserve"> </w:t>
      </w:r>
      <w:r w:rsidRPr="00054D05">
        <w:rPr>
          <w:rFonts w:ascii="Times New Roman" w:hAnsi="Times New Roman" w:cs="Times New Roman"/>
          <w:sz w:val="24"/>
          <w:szCs w:val="24"/>
          <w:lang w:val="pt-BR"/>
        </w:rPr>
        <w:t>ma</w:t>
      </w:r>
      <w:r w:rsidR="00FE6C32" w:rsidRPr="00054D05">
        <w:rPr>
          <w:rFonts w:ascii="Times New Roman" w:hAnsi="Times New Roman" w:cs="Times New Roman"/>
          <w:sz w:val="24"/>
          <w:szCs w:val="24"/>
          <w:lang w:val="pt-BR"/>
        </w:rPr>
        <w:t>croec</w:t>
      </w:r>
      <w:r w:rsidR="00457274" w:rsidRPr="00054D05">
        <w:rPr>
          <w:rFonts w:ascii="Times New Roman" w:hAnsi="Times New Roman" w:cs="Times New Roman"/>
          <w:sz w:val="24"/>
          <w:szCs w:val="24"/>
          <w:lang w:val="pt-BR"/>
        </w:rPr>
        <w:t>onômica de curto prazo (Ribeiro e Arica</w:t>
      </w:r>
      <w:r w:rsidR="00FE6C32" w:rsidRPr="00054D05">
        <w:rPr>
          <w:rFonts w:ascii="Times New Roman" w:hAnsi="Times New Roman" w:cs="Times New Roman"/>
          <w:sz w:val="24"/>
          <w:szCs w:val="24"/>
          <w:lang w:val="pt-BR"/>
        </w:rPr>
        <w:t xml:space="preserve"> 2004).</w:t>
      </w:r>
    </w:p>
    <w:p w14:paraId="37D71177" w14:textId="525B06AD" w:rsidR="004349A9" w:rsidRPr="00054D05" w:rsidRDefault="004349A9" w:rsidP="00524517">
      <w:pPr>
        <w:rPr>
          <w:rFonts w:ascii="Times New Roman" w:hAnsi="Times New Roman" w:cs="Times New Roman"/>
          <w:sz w:val="24"/>
          <w:szCs w:val="24"/>
          <w:lang w:val="pt-BR"/>
        </w:rPr>
      </w:pPr>
      <w:r w:rsidRPr="00054D05">
        <w:rPr>
          <w:rFonts w:ascii="Times New Roman" w:hAnsi="Times New Roman" w:cs="Times New Roman"/>
          <w:sz w:val="24"/>
          <w:szCs w:val="24"/>
          <w:lang w:val="pt-BR"/>
        </w:rPr>
        <w:t>S</w:t>
      </w:r>
      <w:r w:rsidR="00E153E3" w:rsidRPr="00054D05">
        <w:rPr>
          <w:rFonts w:ascii="Times New Roman" w:hAnsi="Times New Roman" w:cs="Times New Roman"/>
          <w:sz w:val="24"/>
          <w:szCs w:val="24"/>
          <w:lang w:val="pt-BR"/>
        </w:rPr>
        <w:t xml:space="preserve">omente </w:t>
      </w:r>
      <w:r w:rsidR="00B07F23" w:rsidRPr="00054D05">
        <w:rPr>
          <w:rFonts w:ascii="Times New Roman" w:hAnsi="Times New Roman" w:cs="Times New Roman"/>
          <w:sz w:val="24"/>
          <w:szCs w:val="24"/>
          <w:lang w:val="pt-BR"/>
        </w:rPr>
        <w:t>nos anos oitenta</w:t>
      </w:r>
      <w:r w:rsidR="00E153E3" w:rsidRPr="00054D05">
        <w:rPr>
          <w:rFonts w:ascii="Times New Roman" w:hAnsi="Times New Roman" w:cs="Times New Roman"/>
          <w:sz w:val="24"/>
          <w:szCs w:val="24"/>
          <w:lang w:val="pt-BR"/>
        </w:rPr>
        <w:t xml:space="preserve"> </w:t>
      </w:r>
      <w:r w:rsidR="005B65DE" w:rsidRPr="00054D05">
        <w:rPr>
          <w:rFonts w:ascii="Times New Roman" w:hAnsi="Times New Roman" w:cs="Times New Roman"/>
          <w:sz w:val="24"/>
          <w:szCs w:val="24"/>
          <w:lang w:val="pt-BR"/>
        </w:rPr>
        <w:t>ressurgiu</w:t>
      </w:r>
      <w:r w:rsidRPr="00054D05">
        <w:rPr>
          <w:rFonts w:ascii="Times New Roman" w:hAnsi="Times New Roman" w:cs="Times New Roman"/>
          <w:sz w:val="24"/>
          <w:szCs w:val="24"/>
          <w:lang w:val="pt-BR"/>
        </w:rPr>
        <w:t xml:space="preserve"> o interesse pelas ques</w:t>
      </w:r>
      <w:r w:rsidR="00E153E3" w:rsidRPr="00054D05">
        <w:rPr>
          <w:rFonts w:ascii="Times New Roman" w:hAnsi="Times New Roman" w:cs="Times New Roman"/>
          <w:sz w:val="24"/>
          <w:szCs w:val="24"/>
          <w:lang w:val="pt-BR"/>
        </w:rPr>
        <w:t>tões do crescimento econômico, depois de uma real constatação empír</w:t>
      </w:r>
      <w:r w:rsidRPr="00054D05">
        <w:rPr>
          <w:rFonts w:ascii="Times New Roman" w:hAnsi="Times New Roman" w:cs="Times New Roman"/>
          <w:sz w:val="24"/>
          <w:szCs w:val="24"/>
          <w:lang w:val="pt-BR"/>
        </w:rPr>
        <w:t>ica do elevado estágio de desi</w:t>
      </w:r>
      <w:r w:rsidR="00DE73A3" w:rsidRPr="00054D05">
        <w:rPr>
          <w:rFonts w:ascii="Times New Roman" w:hAnsi="Times New Roman" w:cs="Times New Roman"/>
          <w:sz w:val="24"/>
          <w:szCs w:val="24"/>
          <w:lang w:val="pt-BR"/>
        </w:rPr>
        <w:t xml:space="preserve">gualdade entre </w:t>
      </w:r>
      <w:r w:rsidR="00E153E3" w:rsidRPr="00054D05">
        <w:rPr>
          <w:rFonts w:ascii="Times New Roman" w:hAnsi="Times New Roman" w:cs="Times New Roman"/>
          <w:sz w:val="24"/>
          <w:szCs w:val="24"/>
          <w:lang w:val="pt-BR"/>
        </w:rPr>
        <w:t>p</w:t>
      </w:r>
      <w:r w:rsidRPr="00054D05">
        <w:rPr>
          <w:rFonts w:ascii="Times New Roman" w:hAnsi="Times New Roman" w:cs="Times New Roman"/>
          <w:sz w:val="24"/>
          <w:szCs w:val="24"/>
          <w:lang w:val="pt-BR"/>
        </w:rPr>
        <w:t xml:space="preserve">aíses </w:t>
      </w:r>
      <w:r w:rsidR="0073720D" w:rsidRPr="00054D05">
        <w:rPr>
          <w:rFonts w:ascii="Times New Roman" w:hAnsi="Times New Roman" w:cs="Times New Roman"/>
          <w:sz w:val="24"/>
          <w:szCs w:val="24"/>
          <w:lang w:val="pt-BR"/>
        </w:rPr>
        <w:t>pobres e ricos. A nova abordagem</w:t>
      </w:r>
      <w:r w:rsidR="00E153E3" w:rsidRPr="00054D05">
        <w:rPr>
          <w:rFonts w:ascii="Times New Roman" w:hAnsi="Times New Roman" w:cs="Times New Roman"/>
          <w:sz w:val="24"/>
          <w:szCs w:val="24"/>
          <w:lang w:val="pt-BR"/>
        </w:rPr>
        <w:t>, como eleme</w:t>
      </w:r>
      <w:r w:rsidRPr="00054D05">
        <w:rPr>
          <w:rFonts w:ascii="Times New Roman" w:hAnsi="Times New Roman" w:cs="Times New Roman"/>
          <w:sz w:val="24"/>
          <w:szCs w:val="24"/>
          <w:lang w:val="pt-BR"/>
        </w:rPr>
        <w:t>nto ativo do processo de cresci</w:t>
      </w:r>
      <w:r w:rsidR="00E153E3" w:rsidRPr="00054D05">
        <w:rPr>
          <w:rFonts w:ascii="Times New Roman" w:hAnsi="Times New Roman" w:cs="Times New Roman"/>
          <w:sz w:val="24"/>
          <w:szCs w:val="24"/>
          <w:lang w:val="pt-BR"/>
        </w:rPr>
        <w:t>mento, pass</w:t>
      </w:r>
      <w:r w:rsidR="005B65DE" w:rsidRPr="00054D05">
        <w:rPr>
          <w:rFonts w:ascii="Times New Roman" w:hAnsi="Times New Roman" w:cs="Times New Roman"/>
          <w:sz w:val="24"/>
          <w:szCs w:val="24"/>
          <w:lang w:val="pt-BR"/>
        </w:rPr>
        <w:t>ou</w:t>
      </w:r>
      <w:r w:rsidR="00E153E3" w:rsidRPr="00054D05">
        <w:rPr>
          <w:rFonts w:ascii="Times New Roman" w:hAnsi="Times New Roman" w:cs="Times New Roman"/>
          <w:sz w:val="24"/>
          <w:szCs w:val="24"/>
          <w:lang w:val="pt-BR"/>
        </w:rPr>
        <w:t xml:space="preserve"> então a considerar a afirmativa de que </w:t>
      </w:r>
      <w:r w:rsidR="00E153E3" w:rsidRPr="00634906">
        <w:rPr>
          <w:rFonts w:ascii="Times New Roman" w:hAnsi="Times New Roman" w:cs="Times New Roman"/>
          <w:sz w:val="24"/>
          <w:szCs w:val="24"/>
          <w:lang w:val="pt-BR"/>
        </w:rPr>
        <w:t>o progresso técni</w:t>
      </w:r>
      <w:r w:rsidR="005B65DE" w:rsidRPr="00634906">
        <w:rPr>
          <w:rFonts w:ascii="Times New Roman" w:hAnsi="Times New Roman" w:cs="Times New Roman"/>
          <w:sz w:val="24"/>
          <w:szCs w:val="24"/>
          <w:lang w:val="pt-BR"/>
        </w:rPr>
        <w:t>co exercia</w:t>
      </w:r>
      <w:r w:rsidRPr="00634906">
        <w:rPr>
          <w:rFonts w:ascii="Times New Roman" w:hAnsi="Times New Roman" w:cs="Times New Roman"/>
          <w:sz w:val="24"/>
          <w:szCs w:val="24"/>
          <w:lang w:val="pt-BR"/>
        </w:rPr>
        <w:t xml:space="preserve"> efeitos expansivos so</w:t>
      </w:r>
      <w:r w:rsidR="00E153E3" w:rsidRPr="00634906">
        <w:rPr>
          <w:rFonts w:ascii="Times New Roman" w:hAnsi="Times New Roman" w:cs="Times New Roman"/>
          <w:sz w:val="24"/>
          <w:szCs w:val="24"/>
          <w:lang w:val="pt-BR"/>
        </w:rPr>
        <w:t>bre o produto ao elevar a produtividade dos fatores e a retransmitir esse</w:t>
      </w:r>
      <w:r w:rsidR="00C349D7" w:rsidRPr="00634906">
        <w:rPr>
          <w:rFonts w:ascii="Times New Roman" w:hAnsi="Times New Roman" w:cs="Times New Roman"/>
          <w:sz w:val="24"/>
          <w:szCs w:val="24"/>
          <w:lang w:val="pt-BR"/>
        </w:rPr>
        <w:t>s efeitos entre as unidades produtivas (Romer</w:t>
      </w:r>
      <w:r w:rsidR="00E153E3" w:rsidRPr="00634906">
        <w:rPr>
          <w:rFonts w:ascii="Times New Roman" w:hAnsi="Times New Roman" w:cs="Times New Roman"/>
          <w:sz w:val="24"/>
          <w:szCs w:val="24"/>
          <w:lang w:val="pt-BR"/>
        </w:rPr>
        <w:t xml:space="preserve">, </w:t>
      </w:r>
      <w:r w:rsidR="00E153E3" w:rsidRPr="00054D05">
        <w:rPr>
          <w:rFonts w:ascii="Times New Roman" w:hAnsi="Times New Roman" w:cs="Times New Roman"/>
          <w:sz w:val="24"/>
          <w:szCs w:val="24"/>
          <w:lang w:val="pt-BR"/>
        </w:rPr>
        <w:t xml:space="preserve">1986). </w:t>
      </w:r>
    </w:p>
    <w:p w14:paraId="00A82923" w14:textId="6C85BC45" w:rsidR="00C95716" w:rsidRPr="00054D05" w:rsidRDefault="00E153E3" w:rsidP="00524517">
      <w:pPr>
        <w:rPr>
          <w:rFonts w:ascii="Times New Roman" w:hAnsi="Times New Roman" w:cs="Times New Roman"/>
          <w:sz w:val="24"/>
          <w:szCs w:val="24"/>
          <w:lang w:val="pt-BR"/>
        </w:rPr>
      </w:pPr>
      <w:r w:rsidRPr="00054D05">
        <w:rPr>
          <w:rFonts w:ascii="Times New Roman" w:hAnsi="Times New Roman" w:cs="Times New Roman"/>
          <w:sz w:val="24"/>
          <w:szCs w:val="24"/>
          <w:lang w:val="pt-BR"/>
        </w:rPr>
        <w:t xml:space="preserve">Paralelamente aos desdobramentos da teoria neoclássica, </w:t>
      </w:r>
      <w:r w:rsidR="00C53A58" w:rsidRPr="00054D05">
        <w:rPr>
          <w:rFonts w:ascii="Times New Roman" w:hAnsi="Times New Roman" w:cs="Times New Roman"/>
          <w:sz w:val="24"/>
          <w:szCs w:val="24"/>
          <w:lang w:val="pt-BR"/>
        </w:rPr>
        <w:t>outras construç</w:t>
      </w:r>
      <w:r w:rsidR="00C95716" w:rsidRPr="00054D05">
        <w:rPr>
          <w:rFonts w:ascii="Times New Roman" w:hAnsi="Times New Roman" w:cs="Times New Roman"/>
          <w:sz w:val="24"/>
          <w:szCs w:val="24"/>
          <w:lang w:val="pt-BR"/>
        </w:rPr>
        <w:t>ões cientí</w:t>
      </w:r>
      <w:r w:rsidR="00C53A58" w:rsidRPr="00054D05">
        <w:rPr>
          <w:rFonts w:ascii="Times New Roman" w:hAnsi="Times New Roman" w:cs="Times New Roman"/>
          <w:sz w:val="24"/>
          <w:szCs w:val="24"/>
          <w:lang w:val="pt-BR"/>
        </w:rPr>
        <w:t xml:space="preserve">ficas para impulsionar o desenvolvimento </w:t>
      </w:r>
      <w:r w:rsidR="00C95716" w:rsidRPr="00054D05">
        <w:rPr>
          <w:rFonts w:ascii="Times New Roman" w:hAnsi="Times New Roman" w:cs="Times New Roman"/>
          <w:sz w:val="24"/>
          <w:szCs w:val="24"/>
          <w:lang w:val="pt-BR"/>
        </w:rPr>
        <w:t>econômico se cons</w:t>
      </w:r>
      <w:r w:rsidR="005B65DE" w:rsidRPr="00054D05">
        <w:rPr>
          <w:rFonts w:ascii="Times New Roman" w:hAnsi="Times New Roman" w:cs="Times New Roman"/>
          <w:sz w:val="24"/>
          <w:szCs w:val="24"/>
          <w:lang w:val="pt-BR"/>
        </w:rPr>
        <w:t>olidaram</w:t>
      </w:r>
      <w:r w:rsidR="00786B3A" w:rsidRPr="00054D05">
        <w:rPr>
          <w:rFonts w:ascii="Times New Roman" w:hAnsi="Times New Roman" w:cs="Times New Roman"/>
          <w:sz w:val="24"/>
          <w:szCs w:val="24"/>
          <w:lang w:val="pt-BR"/>
        </w:rPr>
        <w:t xml:space="preserve"> com</w:t>
      </w:r>
      <w:r w:rsidR="00C95716" w:rsidRPr="00054D05">
        <w:rPr>
          <w:rFonts w:ascii="Times New Roman" w:hAnsi="Times New Roman" w:cs="Times New Roman"/>
          <w:sz w:val="24"/>
          <w:szCs w:val="24"/>
          <w:lang w:val="pt-BR"/>
        </w:rPr>
        <w:t xml:space="preserve"> a inovação </w:t>
      </w:r>
      <w:r w:rsidR="00786B3A" w:rsidRPr="00054D05">
        <w:rPr>
          <w:rFonts w:ascii="Times New Roman" w:hAnsi="Times New Roman" w:cs="Times New Roman"/>
          <w:sz w:val="24"/>
          <w:szCs w:val="24"/>
          <w:lang w:val="pt-BR"/>
        </w:rPr>
        <w:t>tendo</w:t>
      </w:r>
      <w:r w:rsidR="00C95716" w:rsidRPr="00054D05">
        <w:rPr>
          <w:rFonts w:ascii="Times New Roman" w:hAnsi="Times New Roman" w:cs="Times New Roman"/>
          <w:sz w:val="24"/>
          <w:szCs w:val="24"/>
          <w:lang w:val="pt-BR"/>
        </w:rPr>
        <w:t xml:space="preserve"> um papel fundamental.</w:t>
      </w:r>
    </w:p>
    <w:p w14:paraId="34C98645" w14:textId="69DFF2A8" w:rsidR="00786B3A" w:rsidRPr="00054D05" w:rsidRDefault="00786B3A" w:rsidP="00524517">
      <w:pPr>
        <w:rPr>
          <w:rFonts w:ascii="Times New Roman" w:hAnsi="Times New Roman" w:cs="Times New Roman"/>
          <w:sz w:val="24"/>
          <w:szCs w:val="24"/>
          <w:lang w:val="pt-BR"/>
        </w:rPr>
      </w:pPr>
      <w:r w:rsidRPr="00054D05">
        <w:rPr>
          <w:rFonts w:ascii="Times New Roman" w:hAnsi="Times New Roman" w:cs="Times New Roman"/>
          <w:sz w:val="24"/>
          <w:szCs w:val="24"/>
          <w:lang w:val="pt-BR"/>
        </w:rPr>
        <w:t>Freeman (1994) sistematizou alguns elementos potencializadores dos avanços</w:t>
      </w:r>
      <w:r w:rsidR="008F5DDE">
        <w:rPr>
          <w:rFonts w:ascii="Times New Roman" w:hAnsi="Times New Roman" w:cs="Times New Roman"/>
          <w:sz w:val="24"/>
          <w:szCs w:val="24"/>
          <w:lang w:val="pt-BR"/>
        </w:rPr>
        <w:t>,</w:t>
      </w:r>
      <w:r w:rsidRPr="00054D05">
        <w:rPr>
          <w:rFonts w:ascii="Times New Roman" w:hAnsi="Times New Roman" w:cs="Times New Roman"/>
          <w:sz w:val="24"/>
          <w:szCs w:val="24"/>
          <w:lang w:val="pt-BR"/>
        </w:rPr>
        <w:t xml:space="preserve"> </w:t>
      </w:r>
      <w:r w:rsidR="003D5F14">
        <w:rPr>
          <w:rFonts w:ascii="Times New Roman" w:hAnsi="Times New Roman" w:cs="Times New Roman"/>
          <w:sz w:val="24"/>
          <w:szCs w:val="24"/>
          <w:lang w:val="pt-BR"/>
        </w:rPr>
        <w:t xml:space="preserve">segundo a </w:t>
      </w:r>
      <w:r w:rsidRPr="00054D05">
        <w:rPr>
          <w:rFonts w:ascii="Times New Roman" w:hAnsi="Times New Roman" w:cs="Times New Roman"/>
          <w:sz w:val="24"/>
          <w:szCs w:val="24"/>
          <w:lang w:val="pt-BR"/>
        </w:rPr>
        <w:t xml:space="preserve">teoria neo-schumpeteriana, tais como: </w:t>
      </w:r>
      <w:r w:rsidRPr="00634906">
        <w:rPr>
          <w:rFonts w:ascii="Times New Roman" w:hAnsi="Times New Roman" w:cs="Times New Roman"/>
          <w:sz w:val="24"/>
          <w:szCs w:val="24"/>
          <w:lang w:val="pt-BR"/>
        </w:rPr>
        <w:t xml:space="preserve">as inovações incrementais como responsáveis pela maior parcela de contribuição do desempenho econômico realizado pelas firmas; </w:t>
      </w:r>
      <w:r w:rsidR="00395E6E" w:rsidRPr="00634906">
        <w:rPr>
          <w:rFonts w:ascii="Times New Roman" w:hAnsi="Times New Roman" w:cs="Times New Roman"/>
          <w:sz w:val="24"/>
          <w:szCs w:val="24"/>
          <w:lang w:val="pt-BR"/>
        </w:rPr>
        <w:t>a produtividade transmitida por descober</w:t>
      </w:r>
      <w:r w:rsidR="00BE6AA9" w:rsidRPr="00634906">
        <w:rPr>
          <w:rFonts w:ascii="Times New Roman" w:hAnsi="Times New Roman" w:cs="Times New Roman"/>
          <w:sz w:val="24"/>
          <w:szCs w:val="24"/>
          <w:lang w:val="pt-BR"/>
        </w:rPr>
        <w:t>tas cientifica</w:t>
      </w:r>
      <w:r w:rsidR="00395E6E" w:rsidRPr="00634906">
        <w:rPr>
          <w:rFonts w:ascii="Times New Roman" w:hAnsi="Times New Roman" w:cs="Times New Roman"/>
          <w:sz w:val="24"/>
          <w:szCs w:val="24"/>
          <w:lang w:val="pt-BR"/>
        </w:rPr>
        <w:t xml:space="preserve"> como elemento fundame</w:t>
      </w:r>
      <w:r w:rsidR="00F1065F" w:rsidRPr="00634906">
        <w:rPr>
          <w:rFonts w:ascii="Times New Roman" w:hAnsi="Times New Roman" w:cs="Times New Roman"/>
          <w:sz w:val="24"/>
          <w:szCs w:val="24"/>
          <w:lang w:val="pt-BR"/>
        </w:rPr>
        <w:t>ntal nas firmas originá</w:t>
      </w:r>
      <w:r w:rsidR="00395E6E" w:rsidRPr="00634906">
        <w:rPr>
          <w:rFonts w:ascii="Times New Roman" w:hAnsi="Times New Roman" w:cs="Times New Roman"/>
          <w:sz w:val="24"/>
          <w:szCs w:val="24"/>
          <w:lang w:val="pt-BR"/>
        </w:rPr>
        <w:t xml:space="preserve">rias de universidade e instituto de pesquisa; </w:t>
      </w:r>
      <w:r w:rsidR="00F1065F" w:rsidRPr="00634906">
        <w:rPr>
          <w:rFonts w:ascii="Times New Roman" w:hAnsi="Times New Roman" w:cs="Times New Roman"/>
          <w:sz w:val="24"/>
          <w:szCs w:val="24"/>
          <w:lang w:val="pt-BR"/>
        </w:rPr>
        <w:t>o processo de centralização da</w:t>
      </w:r>
      <w:r w:rsidR="00395E6E" w:rsidRPr="00634906">
        <w:rPr>
          <w:rFonts w:ascii="Times New Roman" w:hAnsi="Times New Roman" w:cs="Times New Roman"/>
          <w:sz w:val="24"/>
          <w:szCs w:val="24"/>
          <w:lang w:val="pt-BR"/>
        </w:rPr>
        <w:t xml:space="preserve"> inovação em firmas bem sucedidas</w:t>
      </w:r>
      <w:r w:rsidR="00BE6AA9" w:rsidRPr="00634906">
        <w:rPr>
          <w:rFonts w:ascii="Times New Roman" w:hAnsi="Times New Roman" w:cs="Times New Roman"/>
          <w:sz w:val="24"/>
          <w:szCs w:val="24"/>
          <w:lang w:val="pt-BR"/>
        </w:rPr>
        <w:t>,</w:t>
      </w:r>
      <w:r w:rsidR="00395E6E" w:rsidRPr="00634906">
        <w:rPr>
          <w:rFonts w:ascii="Times New Roman" w:hAnsi="Times New Roman" w:cs="Times New Roman"/>
          <w:sz w:val="24"/>
          <w:szCs w:val="24"/>
          <w:lang w:val="pt-BR"/>
        </w:rPr>
        <w:t xml:space="preserve"> em função da interação social por redes envolvendo diversos atores de inovação; a</w:t>
      </w:r>
      <w:r w:rsidR="003E7687" w:rsidRPr="00634906">
        <w:rPr>
          <w:rFonts w:ascii="Times New Roman" w:hAnsi="Times New Roman" w:cs="Times New Roman"/>
          <w:sz w:val="24"/>
          <w:szCs w:val="24"/>
          <w:lang w:val="pt-BR"/>
        </w:rPr>
        <w:t xml:space="preserve"> quebra do</w:t>
      </w:r>
      <w:r w:rsidR="00F1065F" w:rsidRPr="00634906">
        <w:rPr>
          <w:rFonts w:ascii="Times New Roman" w:hAnsi="Times New Roman" w:cs="Times New Roman"/>
          <w:sz w:val="24"/>
          <w:szCs w:val="24"/>
          <w:lang w:val="pt-BR"/>
        </w:rPr>
        <w:t xml:space="preserve"> paradigma </w:t>
      </w:r>
      <w:r w:rsidR="00BE6AA9" w:rsidRPr="00634906">
        <w:rPr>
          <w:rFonts w:ascii="Times New Roman" w:hAnsi="Times New Roman" w:cs="Times New Roman"/>
          <w:sz w:val="24"/>
          <w:szCs w:val="24"/>
          <w:lang w:val="pt-BR"/>
        </w:rPr>
        <w:t>relacionado à</w:t>
      </w:r>
      <w:r w:rsidR="00395E6E" w:rsidRPr="00634906">
        <w:rPr>
          <w:rFonts w:ascii="Times New Roman" w:hAnsi="Times New Roman" w:cs="Times New Roman"/>
          <w:sz w:val="24"/>
          <w:szCs w:val="24"/>
          <w:lang w:val="pt-BR"/>
        </w:rPr>
        <w:t xml:space="preserve"> inovação </w:t>
      </w:r>
      <w:r w:rsidR="00F1065F" w:rsidRPr="00634906">
        <w:rPr>
          <w:rFonts w:ascii="Times New Roman" w:hAnsi="Times New Roman" w:cs="Times New Roman"/>
          <w:sz w:val="24"/>
          <w:szCs w:val="24"/>
          <w:lang w:val="pt-BR"/>
        </w:rPr>
        <w:t>como</w:t>
      </w:r>
      <w:r w:rsidR="00395E6E" w:rsidRPr="00634906">
        <w:rPr>
          <w:rFonts w:ascii="Times New Roman" w:hAnsi="Times New Roman" w:cs="Times New Roman"/>
          <w:sz w:val="24"/>
          <w:szCs w:val="24"/>
          <w:lang w:val="pt-BR"/>
        </w:rPr>
        <w:t xml:space="preserve"> um processo linear</w:t>
      </w:r>
      <w:r w:rsidR="0039409A" w:rsidRPr="00634906">
        <w:rPr>
          <w:rFonts w:ascii="Times New Roman" w:hAnsi="Times New Roman" w:cs="Times New Roman"/>
          <w:sz w:val="24"/>
          <w:szCs w:val="24"/>
          <w:lang w:val="pt-BR"/>
        </w:rPr>
        <w:t>,</w:t>
      </w:r>
      <w:r w:rsidR="00395E6E" w:rsidRPr="00634906">
        <w:rPr>
          <w:rFonts w:ascii="Times New Roman" w:hAnsi="Times New Roman" w:cs="Times New Roman"/>
          <w:sz w:val="24"/>
          <w:szCs w:val="24"/>
          <w:lang w:val="pt-BR"/>
        </w:rPr>
        <w:t xml:space="preserve"> segundo a percepção do governo, indústria e academia. </w:t>
      </w:r>
      <w:r w:rsidR="0098339B" w:rsidRPr="00634906">
        <w:rPr>
          <w:rFonts w:ascii="Times New Roman" w:hAnsi="Times New Roman" w:cs="Times New Roman"/>
          <w:sz w:val="24"/>
          <w:szCs w:val="24"/>
          <w:lang w:val="pt-BR"/>
        </w:rPr>
        <w:t>O novo paradigma</w:t>
      </w:r>
      <w:r w:rsidR="003E7687" w:rsidRPr="00634906">
        <w:rPr>
          <w:rFonts w:ascii="Times New Roman" w:hAnsi="Times New Roman" w:cs="Times New Roman"/>
          <w:sz w:val="24"/>
          <w:szCs w:val="24"/>
          <w:lang w:val="pt-BR"/>
        </w:rPr>
        <w:t xml:space="preserve"> </w:t>
      </w:r>
      <w:r w:rsidR="00336141" w:rsidRPr="00054D05">
        <w:rPr>
          <w:rFonts w:ascii="Times New Roman" w:hAnsi="Times New Roman" w:cs="Times New Roman"/>
          <w:sz w:val="24"/>
          <w:szCs w:val="24"/>
          <w:lang w:val="pt-BR"/>
        </w:rPr>
        <w:t>define</w:t>
      </w:r>
      <w:r w:rsidR="0039409A" w:rsidRPr="00054D05">
        <w:rPr>
          <w:rFonts w:ascii="Times New Roman" w:hAnsi="Times New Roman" w:cs="Times New Roman"/>
          <w:sz w:val="24"/>
          <w:szCs w:val="24"/>
          <w:lang w:val="pt-BR"/>
        </w:rPr>
        <w:t xml:space="preserve"> a</w:t>
      </w:r>
      <w:r w:rsidR="00395E6E" w:rsidRPr="00054D05">
        <w:rPr>
          <w:rFonts w:ascii="Times New Roman" w:hAnsi="Times New Roman" w:cs="Times New Roman"/>
          <w:sz w:val="24"/>
          <w:szCs w:val="24"/>
          <w:lang w:val="pt-BR"/>
        </w:rPr>
        <w:t xml:space="preserve"> inovação</w:t>
      </w:r>
      <w:r w:rsidR="00336141" w:rsidRPr="00054D05">
        <w:rPr>
          <w:rFonts w:ascii="Times New Roman" w:hAnsi="Times New Roman" w:cs="Times New Roman"/>
          <w:sz w:val="24"/>
          <w:szCs w:val="24"/>
          <w:lang w:val="pt-BR"/>
        </w:rPr>
        <w:t xml:space="preserve"> como</w:t>
      </w:r>
      <w:r w:rsidR="00395E6E" w:rsidRPr="00054D05">
        <w:rPr>
          <w:rFonts w:ascii="Times New Roman" w:hAnsi="Times New Roman" w:cs="Times New Roman"/>
          <w:sz w:val="24"/>
          <w:szCs w:val="24"/>
          <w:lang w:val="pt-BR"/>
        </w:rPr>
        <w:t xml:space="preserve"> um processo de interação sistêmica entre diversos </w:t>
      </w:r>
      <w:r w:rsidR="00BE3EE5" w:rsidRPr="00054D05">
        <w:rPr>
          <w:rFonts w:ascii="Times New Roman" w:hAnsi="Times New Roman" w:cs="Times New Roman"/>
          <w:sz w:val="24"/>
          <w:szCs w:val="24"/>
          <w:lang w:val="pt-BR"/>
        </w:rPr>
        <w:t xml:space="preserve">agentes </w:t>
      </w:r>
      <w:r w:rsidR="00395E6E" w:rsidRPr="00054D05">
        <w:rPr>
          <w:rFonts w:ascii="Times New Roman" w:hAnsi="Times New Roman" w:cs="Times New Roman"/>
          <w:sz w:val="24"/>
          <w:szCs w:val="24"/>
          <w:lang w:val="pt-BR"/>
        </w:rPr>
        <w:t>inovadores.</w:t>
      </w:r>
    </w:p>
    <w:p w14:paraId="7B72A2D9" w14:textId="2F6E5A04" w:rsidR="00D65416" w:rsidRPr="00224123" w:rsidRDefault="0080159B" w:rsidP="00524517">
      <w:pPr>
        <w:rPr>
          <w:rFonts w:ascii="Times New Roman" w:hAnsi="Times New Roman" w:cs="Times New Roman"/>
          <w:sz w:val="24"/>
          <w:szCs w:val="24"/>
          <w:lang w:val="pt-BR"/>
        </w:rPr>
      </w:pPr>
      <w:r w:rsidRPr="00054D05">
        <w:rPr>
          <w:rFonts w:ascii="Times New Roman" w:hAnsi="Times New Roman" w:cs="Times New Roman"/>
          <w:sz w:val="24"/>
          <w:szCs w:val="24"/>
          <w:lang w:val="pt-BR"/>
        </w:rPr>
        <w:t>A abordagem endógena</w:t>
      </w:r>
      <w:r w:rsidR="007E614F" w:rsidRPr="00054D05">
        <w:rPr>
          <w:rFonts w:ascii="Times New Roman" w:hAnsi="Times New Roman" w:cs="Times New Roman"/>
          <w:sz w:val="24"/>
          <w:szCs w:val="24"/>
          <w:lang w:val="pt-BR"/>
        </w:rPr>
        <w:t xml:space="preserve"> é </w:t>
      </w:r>
      <w:r w:rsidR="00C822E2" w:rsidRPr="00054D05">
        <w:rPr>
          <w:rFonts w:ascii="Times New Roman" w:hAnsi="Times New Roman" w:cs="Times New Roman"/>
          <w:sz w:val="24"/>
          <w:szCs w:val="24"/>
          <w:lang w:val="pt-BR"/>
        </w:rPr>
        <w:t>acentuada</w:t>
      </w:r>
      <w:r w:rsidR="007E614F" w:rsidRPr="00054D05">
        <w:rPr>
          <w:rFonts w:ascii="Times New Roman" w:hAnsi="Times New Roman" w:cs="Times New Roman"/>
          <w:sz w:val="24"/>
          <w:szCs w:val="24"/>
          <w:lang w:val="pt-BR"/>
        </w:rPr>
        <w:t xml:space="preserve"> nesta evolução. Nesse contexto três características fundamentais são apresentadas por Ray (1997): </w:t>
      </w:r>
      <w:r w:rsidRPr="00224123">
        <w:rPr>
          <w:rFonts w:ascii="Times New Roman" w:eastAsia="Times New Roman" w:hAnsi="Times New Roman" w:cs="Times New Roman"/>
          <w:sz w:val="24"/>
          <w:szCs w:val="24"/>
          <w:lang w:val="pt-BR"/>
        </w:rPr>
        <w:t>a de que a atividade de desenvolvimento é definida dentro de um quadro territorial e não setorial, com a escala do território sendo menor do que a nação; a de que a atividade econômica e outras atividades de desenvolvimento são reestruturadas de forma a maximizar a retenção de benefícios dentro do território local, valorizando os recursos locais tanto físico</w:t>
      </w:r>
      <w:r w:rsidR="001C6E3D" w:rsidRPr="00224123">
        <w:rPr>
          <w:rFonts w:ascii="Times New Roman" w:eastAsia="Times New Roman" w:hAnsi="Times New Roman" w:cs="Times New Roman"/>
          <w:sz w:val="24"/>
          <w:szCs w:val="24"/>
          <w:lang w:val="pt-BR"/>
        </w:rPr>
        <w:t>s,</w:t>
      </w:r>
      <w:r w:rsidRPr="00224123">
        <w:rPr>
          <w:rFonts w:ascii="Times New Roman" w:eastAsia="Times New Roman" w:hAnsi="Times New Roman" w:cs="Times New Roman"/>
          <w:sz w:val="24"/>
          <w:szCs w:val="24"/>
          <w:lang w:val="pt-BR"/>
        </w:rPr>
        <w:t xml:space="preserve"> quanto humano</w:t>
      </w:r>
      <w:r w:rsidR="001C6E3D" w:rsidRPr="00224123">
        <w:rPr>
          <w:rFonts w:ascii="Times New Roman" w:eastAsia="Times New Roman" w:hAnsi="Times New Roman" w:cs="Times New Roman"/>
          <w:sz w:val="24"/>
          <w:szCs w:val="24"/>
          <w:lang w:val="pt-BR"/>
        </w:rPr>
        <w:t>s</w:t>
      </w:r>
      <w:r w:rsidRPr="00224123">
        <w:rPr>
          <w:rFonts w:ascii="Times New Roman" w:eastAsia="Times New Roman" w:hAnsi="Times New Roman" w:cs="Times New Roman"/>
          <w:sz w:val="24"/>
          <w:szCs w:val="24"/>
          <w:lang w:val="pt-BR"/>
        </w:rPr>
        <w:t>, e</w:t>
      </w:r>
      <w:r w:rsidR="002B4E97" w:rsidRPr="00224123">
        <w:rPr>
          <w:rFonts w:ascii="Times New Roman" w:eastAsia="Times New Roman" w:hAnsi="Times New Roman" w:cs="Times New Roman"/>
          <w:sz w:val="24"/>
          <w:szCs w:val="24"/>
          <w:lang w:val="pt-BR"/>
        </w:rPr>
        <w:t>,</w:t>
      </w:r>
      <w:r w:rsidRPr="00224123">
        <w:rPr>
          <w:rFonts w:ascii="Times New Roman" w:eastAsia="Times New Roman" w:hAnsi="Times New Roman" w:cs="Times New Roman"/>
          <w:sz w:val="24"/>
          <w:szCs w:val="24"/>
          <w:lang w:val="pt-BR"/>
        </w:rPr>
        <w:t xml:space="preserve"> que o desenvolvimento é conte</w:t>
      </w:r>
      <w:r w:rsidR="00DA1C47" w:rsidRPr="00224123">
        <w:rPr>
          <w:rFonts w:ascii="Times New Roman" w:eastAsia="Times New Roman" w:hAnsi="Times New Roman" w:cs="Times New Roman"/>
          <w:sz w:val="24"/>
          <w:szCs w:val="24"/>
          <w:lang w:val="pt-BR"/>
        </w:rPr>
        <w:t>xtualizado com</w:t>
      </w:r>
      <w:r w:rsidRPr="00224123">
        <w:rPr>
          <w:rFonts w:ascii="Times New Roman" w:eastAsia="Times New Roman" w:hAnsi="Times New Roman" w:cs="Times New Roman"/>
          <w:sz w:val="24"/>
          <w:szCs w:val="24"/>
          <w:lang w:val="pt-BR"/>
        </w:rPr>
        <w:t xml:space="preserve"> foco nas necessidades, capacidades e perspectivas de pessoas locais.</w:t>
      </w:r>
    </w:p>
    <w:p w14:paraId="52ED287E" w14:textId="26A549B3" w:rsidR="00300653" w:rsidRPr="007255F7" w:rsidRDefault="0080159B" w:rsidP="00524517">
      <w:pPr>
        <w:rPr>
          <w:rFonts w:ascii="Times New Roman" w:eastAsia="Times New Roman" w:hAnsi="Times New Roman" w:cs="Times New Roman"/>
          <w:sz w:val="24"/>
          <w:szCs w:val="24"/>
          <w:lang w:val="pt-BR"/>
        </w:rPr>
      </w:pPr>
      <w:r w:rsidRPr="00224123">
        <w:rPr>
          <w:rFonts w:ascii="Times New Roman" w:eastAsia="Times New Roman" w:hAnsi="Times New Roman" w:cs="Times New Roman"/>
          <w:sz w:val="24"/>
          <w:szCs w:val="24"/>
          <w:lang w:val="pt-BR"/>
        </w:rPr>
        <w:t xml:space="preserve">Segundo Barquero (1999) o desenvolvimento endógeno é um processo que passa por diversas fases: a primeira de caráter </w:t>
      </w:r>
      <w:r w:rsidR="007E614F" w:rsidRPr="00224123">
        <w:rPr>
          <w:rFonts w:ascii="Times New Roman" w:eastAsia="Times New Roman" w:hAnsi="Times New Roman" w:cs="Times New Roman"/>
          <w:sz w:val="24"/>
          <w:szCs w:val="24"/>
          <w:lang w:val="pt-BR"/>
        </w:rPr>
        <w:t>econômico. Q</w:t>
      </w:r>
      <w:r w:rsidRPr="00224123">
        <w:rPr>
          <w:rFonts w:ascii="Times New Roman" w:eastAsia="Times New Roman" w:hAnsi="Times New Roman" w:cs="Times New Roman"/>
          <w:sz w:val="24"/>
          <w:szCs w:val="24"/>
          <w:lang w:val="pt-BR"/>
        </w:rPr>
        <w:t xml:space="preserve">uando a iniciativa privada e </w:t>
      </w:r>
      <w:r w:rsidR="007E614F" w:rsidRPr="00224123">
        <w:rPr>
          <w:rFonts w:ascii="Times New Roman" w:eastAsia="Times New Roman" w:hAnsi="Times New Roman" w:cs="Times New Roman"/>
          <w:sz w:val="24"/>
          <w:szCs w:val="24"/>
          <w:lang w:val="pt-BR"/>
        </w:rPr>
        <w:t xml:space="preserve">os </w:t>
      </w:r>
      <w:r w:rsidRPr="00224123">
        <w:rPr>
          <w:rFonts w:ascii="Times New Roman" w:eastAsia="Times New Roman" w:hAnsi="Times New Roman" w:cs="Times New Roman"/>
          <w:sz w:val="24"/>
          <w:szCs w:val="24"/>
          <w:lang w:val="pt-BR"/>
        </w:rPr>
        <w:t>agentes interessados têm acesso à utilização de fatores produtivos e conseguem alcançar padrões de produtividade que os capacitam a ser competitivos nos mercados;</w:t>
      </w:r>
      <w:r w:rsidR="007E614F" w:rsidRPr="00224123">
        <w:rPr>
          <w:rFonts w:ascii="Times New Roman" w:eastAsia="Times New Roman" w:hAnsi="Times New Roman" w:cs="Times New Roman"/>
          <w:sz w:val="24"/>
          <w:szCs w:val="24"/>
          <w:lang w:val="pt-BR"/>
        </w:rPr>
        <w:t xml:space="preserve"> a segunda de cunho social e </w:t>
      </w:r>
      <w:r w:rsidR="007E614F" w:rsidRPr="007255F7">
        <w:rPr>
          <w:rFonts w:ascii="Times New Roman" w:eastAsia="Times New Roman" w:hAnsi="Times New Roman" w:cs="Times New Roman"/>
          <w:sz w:val="24"/>
          <w:szCs w:val="24"/>
          <w:lang w:val="pt-BR"/>
        </w:rPr>
        <w:lastRenderedPageBreak/>
        <w:t>cultural. Quando</w:t>
      </w:r>
      <w:r w:rsidRPr="007255F7">
        <w:rPr>
          <w:rFonts w:ascii="Times New Roman" w:eastAsia="Times New Roman" w:hAnsi="Times New Roman" w:cs="Times New Roman"/>
          <w:sz w:val="24"/>
          <w:szCs w:val="24"/>
          <w:lang w:val="pt-BR"/>
        </w:rPr>
        <w:t xml:space="preserve"> os atores se inserem nas instituições locais forma</w:t>
      </w:r>
      <w:r w:rsidR="007E614F" w:rsidRPr="007255F7">
        <w:rPr>
          <w:rFonts w:ascii="Times New Roman" w:eastAsia="Times New Roman" w:hAnsi="Times New Roman" w:cs="Times New Roman"/>
          <w:sz w:val="24"/>
          <w:szCs w:val="24"/>
          <w:lang w:val="pt-BR"/>
        </w:rPr>
        <w:t>ndo um sistema robusto de inter-relações</w:t>
      </w:r>
      <w:r w:rsidRPr="007255F7">
        <w:rPr>
          <w:rFonts w:ascii="Times New Roman" w:eastAsia="Times New Roman" w:hAnsi="Times New Roman" w:cs="Times New Roman"/>
          <w:sz w:val="24"/>
          <w:szCs w:val="24"/>
          <w:lang w:val="pt-BR"/>
        </w:rPr>
        <w:t xml:space="preserve"> que unem os valores da sociedade no desenvolvimento local de maneira endógena e, a terceira, de caráter político, que aparelha, mediante aos interesses das necessidades locais, permitindo criar uma comunidade local que aguce a produção e promova o desenvolvimento.</w:t>
      </w:r>
    </w:p>
    <w:p w14:paraId="1F84C5C2" w14:textId="0C587124" w:rsidR="00300653" w:rsidRPr="007255F7" w:rsidRDefault="00300653" w:rsidP="00524517">
      <w:pPr>
        <w:rPr>
          <w:rFonts w:ascii="Times New Roman" w:eastAsia="Times New Roman" w:hAnsi="Times New Roman" w:cs="Times New Roman"/>
          <w:sz w:val="24"/>
          <w:szCs w:val="24"/>
          <w:lang w:val="pt-BR"/>
        </w:rPr>
      </w:pPr>
      <w:r w:rsidRPr="007255F7">
        <w:rPr>
          <w:rFonts w:ascii="Times New Roman" w:eastAsia="Times New Roman" w:hAnsi="Times New Roman" w:cs="Times New Roman"/>
          <w:sz w:val="24"/>
          <w:szCs w:val="24"/>
          <w:lang w:val="pt-BR"/>
        </w:rPr>
        <w:t>No entendimento de Pike et. al. (2016) o desenvo</w:t>
      </w:r>
      <w:r w:rsidR="00D2538D" w:rsidRPr="007255F7">
        <w:rPr>
          <w:rFonts w:ascii="Times New Roman" w:eastAsia="Times New Roman" w:hAnsi="Times New Roman" w:cs="Times New Roman"/>
          <w:sz w:val="24"/>
          <w:szCs w:val="24"/>
          <w:lang w:val="pt-BR"/>
        </w:rPr>
        <w:t>lvimento deve ser associado à</w:t>
      </w:r>
      <w:r w:rsidRPr="007255F7">
        <w:rPr>
          <w:rFonts w:ascii="Times New Roman" w:eastAsia="Times New Roman" w:hAnsi="Times New Roman" w:cs="Times New Roman"/>
          <w:sz w:val="24"/>
          <w:szCs w:val="24"/>
          <w:lang w:val="pt-BR"/>
        </w:rPr>
        <w:t xml:space="preserve"> diminuição da desigualdade social na região</w:t>
      </w:r>
      <w:r w:rsidR="00D2538D" w:rsidRPr="007255F7">
        <w:rPr>
          <w:rFonts w:ascii="Times New Roman" w:eastAsia="Times New Roman" w:hAnsi="Times New Roman" w:cs="Times New Roman"/>
          <w:sz w:val="24"/>
          <w:szCs w:val="24"/>
          <w:lang w:val="pt-BR"/>
        </w:rPr>
        <w:t xml:space="preserve">, de forma a </w:t>
      </w:r>
      <w:r w:rsidRPr="007255F7">
        <w:rPr>
          <w:rFonts w:ascii="Times New Roman" w:eastAsia="Times New Roman" w:hAnsi="Times New Roman" w:cs="Times New Roman"/>
          <w:sz w:val="24"/>
          <w:szCs w:val="24"/>
          <w:lang w:val="pt-BR"/>
        </w:rPr>
        <w:t>evitar conflitos e aumentar a qualidade de vida local. Lugares que apresentam maiores níveis de desigualdade apresentam maiores taxas de criminalidade e desconfiança.</w:t>
      </w:r>
    </w:p>
    <w:p w14:paraId="19CF88C9" w14:textId="2E090D01" w:rsidR="00300653" w:rsidRPr="007255F7" w:rsidRDefault="00300653" w:rsidP="00524517">
      <w:pPr>
        <w:rPr>
          <w:rFonts w:ascii="Times New Roman" w:eastAsia="Times New Roman" w:hAnsi="Times New Roman" w:cs="Times New Roman"/>
          <w:sz w:val="24"/>
          <w:szCs w:val="24"/>
          <w:lang w:val="pt-BR"/>
        </w:rPr>
      </w:pPr>
      <w:bookmarkStart w:id="0" w:name="_heading=h.ccy9jj1l63pk" w:colFirst="0" w:colLast="0"/>
      <w:bookmarkEnd w:id="0"/>
      <w:r w:rsidRPr="007255F7">
        <w:rPr>
          <w:rFonts w:ascii="Times New Roman" w:eastAsia="Times New Roman" w:hAnsi="Times New Roman" w:cs="Times New Roman"/>
          <w:sz w:val="24"/>
          <w:szCs w:val="24"/>
          <w:lang w:val="pt-BR"/>
        </w:rPr>
        <w:t xml:space="preserve">Seguindo a mesma linha de raciocínio, Amin (2018) cita como diretriz para o desenvolvimento a mobilização e a expansão da base de conhecimento. Entende que os atores regionais precisam ser inseridos e mobilizados para o crescimento e o aproveitamento de todo o conhecimento gerado na região, seja formal ou informal. </w:t>
      </w:r>
    </w:p>
    <w:p w14:paraId="47E08F8F" w14:textId="6ACBA17A" w:rsidR="00300653" w:rsidRPr="00054D05" w:rsidRDefault="00F13A65" w:rsidP="00524517">
      <w:pPr>
        <w:rPr>
          <w:rFonts w:ascii="Times New Roman" w:eastAsia="Times New Roman" w:hAnsi="Times New Roman" w:cs="Times New Roman"/>
          <w:sz w:val="24"/>
          <w:szCs w:val="24"/>
          <w:lang w:val="pt-BR"/>
        </w:rPr>
      </w:pPr>
      <w:r w:rsidRPr="00054D05">
        <w:rPr>
          <w:rFonts w:ascii="Times New Roman" w:eastAsia="Times New Roman" w:hAnsi="Times New Roman" w:cs="Times New Roman"/>
          <w:sz w:val="24"/>
          <w:szCs w:val="24"/>
          <w:lang w:val="pt-BR"/>
        </w:rPr>
        <w:t>A</w:t>
      </w:r>
      <w:r w:rsidR="00300653" w:rsidRPr="00054D05">
        <w:rPr>
          <w:rFonts w:ascii="Times New Roman" w:eastAsia="Times New Roman" w:hAnsi="Times New Roman" w:cs="Times New Roman"/>
          <w:sz w:val="24"/>
          <w:szCs w:val="24"/>
          <w:lang w:val="pt-BR"/>
        </w:rPr>
        <w:t xml:space="preserve"> ideia de que a região deve criar mecanismos de resiliência com a finalidade de minimizar as vulnerabilidades</w:t>
      </w:r>
      <w:r w:rsidRPr="00054D05">
        <w:rPr>
          <w:rFonts w:ascii="Times New Roman" w:eastAsia="Times New Roman" w:hAnsi="Times New Roman" w:cs="Times New Roman"/>
          <w:sz w:val="24"/>
          <w:szCs w:val="24"/>
          <w:lang w:val="pt-BR"/>
        </w:rPr>
        <w:t xml:space="preserve"> é reforçada por Santos (2009)</w:t>
      </w:r>
      <w:r w:rsidR="00300653" w:rsidRPr="00054D05">
        <w:rPr>
          <w:rFonts w:ascii="Times New Roman" w:eastAsia="Times New Roman" w:hAnsi="Times New Roman" w:cs="Times New Roman"/>
          <w:sz w:val="24"/>
          <w:szCs w:val="24"/>
          <w:lang w:val="pt-BR"/>
        </w:rPr>
        <w:t xml:space="preserve">. O autor realça a condição dos produtores rurais que não podem se acomodar à tradição de trabalhar apenas com monoculturas. O projeto deve evoluir e crescer seu escopo de produção para o desenvolvimento da economia local além do extrativismo. </w:t>
      </w:r>
    </w:p>
    <w:p w14:paraId="0CF03EC3" w14:textId="3100567C" w:rsidR="00300653" w:rsidRPr="00054D05" w:rsidRDefault="009956E2" w:rsidP="00524517">
      <w:pPr>
        <w:rPr>
          <w:rFonts w:ascii="Times New Roman" w:eastAsia="Times New Roman" w:hAnsi="Times New Roman" w:cs="Times New Roman"/>
          <w:sz w:val="24"/>
          <w:szCs w:val="24"/>
          <w:lang w:val="pt-BR"/>
        </w:rPr>
      </w:pPr>
      <w:bookmarkStart w:id="1" w:name="_heading=h.4b1l2mffml9w" w:colFirst="0" w:colLast="0"/>
      <w:bookmarkEnd w:id="1"/>
      <w:r w:rsidRPr="00054D05">
        <w:rPr>
          <w:rFonts w:ascii="Times New Roman" w:eastAsia="Times New Roman" w:hAnsi="Times New Roman" w:cs="Times New Roman"/>
          <w:sz w:val="24"/>
          <w:szCs w:val="24"/>
          <w:lang w:val="pt-BR"/>
        </w:rPr>
        <w:t xml:space="preserve">Conclui, portanto, que o desenvolvimento regional é </w:t>
      </w:r>
      <w:r w:rsidR="00300653" w:rsidRPr="00054D05">
        <w:rPr>
          <w:rFonts w:ascii="Times New Roman" w:eastAsia="Times New Roman" w:hAnsi="Times New Roman" w:cs="Times New Roman"/>
          <w:sz w:val="24"/>
          <w:szCs w:val="24"/>
          <w:lang w:val="pt-BR"/>
        </w:rPr>
        <w:t xml:space="preserve">um processo evolutivo, definido pelos sistemas institucionais e organizacionais onde o coletivo procura manter ou mudar algo que depende do aprendizado social herdado. </w:t>
      </w:r>
    </w:p>
    <w:p w14:paraId="5BD48056" w14:textId="110DD106" w:rsidR="00706DFA" w:rsidRPr="007255F7" w:rsidRDefault="00300653" w:rsidP="002874A6">
      <w:pPr>
        <w:rPr>
          <w:rFonts w:ascii="Times New Roman" w:eastAsia="Times New Roman" w:hAnsi="Times New Roman" w:cs="Times New Roman"/>
          <w:sz w:val="24"/>
          <w:szCs w:val="24"/>
          <w:lang w:val="pt-BR"/>
        </w:rPr>
      </w:pPr>
      <w:r w:rsidRPr="00054D05">
        <w:rPr>
          <w:rFonts w:ascii="Times New Roman" w:eastAsia="Times New Roman" w:hAnsi="Times New Roman" w:cs="Times New Roman"/>
          <w:sz w:val="24"/>
          <w:szCs w:val="24"/>
          <w:lang w:val="pt-BR"/>
        </w:rPr>
        <w:t xml:space="preserve">Em direção ao aspecto coletivo, Amin (1998) identifica a </w:t>
      </w:r>
      <w:r w:rsidRPr="007255F7">
        <w:rPr>
          <w:rFonts w:ascii="Times New Roman" w:eastAsia="Times New Roman" w:hAnsi="Times New Roman" w:cs="Times New Roman"/>
          <w:sz w:val="24"/>
          <w:szCs w:val="24"/>
          <w:lang w:val="pt-BR"/>
        </w:rPr>
        <w:t xml:space="preserve">criação de aglomerados e economias locais associadas como um dos pontos essenciais do desenvolvimento regional. </w:t>
      </w:r>
      <w:r w:rsidR="002874A6" w:rsidRPr="007255F7">
        <w:rPr>
          <w:rFonts w:ascii="Times New Roman" w:eastAsia="Times New Roman" w:hAnsi="Times New Roman" w:cs="Times New Roman"/>
          <w:sz w:val="24"/>
          <w:szCs w:val="24"/>
          <w:lang w:val="pt-BR"/>
        </w:rPr>
        <w:t>O</w:t>
      </w:r>
      <w:r w:rsidR="003320A6" w:rsidRPr="007255F7">
        <w:rPr>
          <w:rFonts w:ascii="Times New Roman" w:eastAsia="Times New Roman" w:hAnsi="Times New Roman" w:cs="Times New Roman"/>
          <w:sz w:val="24"/>
          <w:szCs w:val="24"/>
          <w:lang w:val="pt-BR"/>
        </w:rPr>
        <w:t xml:space="preserve"> modelo endógeno representa uma </w:t>
      </w:r>
      <w:r w:rsidR="00706DFA" w:rsidRPr="007255F7">
        <w:rPr>
          <w:rFonts w:ascii="Times New Roman" w:eastAsia="Times New Roman" w:hAnsi="Times New Roman" w:cs="Times New Roman"/>
          <w:sz w:val="24"/>
          <w:szCs w:val="24"/>
          <w:lang w:val="pt-BR"/>
        </w:rPr>
        <w:t>resposta à inadequação do modelo exógeno para responder à evolução do processo de inovação e avanços tecnológicos. Estes não foram contemplados na experiência pós-keynesiana e liberal em busca do desenvolvimento das regiões menos favorecidas.</w:t>
      </w:r>
    </w:p>
    <w:p w14:paraId="414EC61F" w14:textId="10C0EC7C" w:rsidR="00706DFA" w:rsidRPr="007255F7" w:rsidRDefault="00706DFA" w:rsidP="00524517">
      <w:pPr>
        <w:rPr>
          <w:rFonts w:ascii="Times New Roman" w:eastAsia="Times New Roman" w:hAnsi="Times New Roman" w:cs="Times New Roman"/>
          <w:sz w:val="24"/>
          <w:szCs w:val="24"/>
          <w:lang w:val="pt-BR"/>
        </w:rPr>
      </w:pPr>
      <w:bookmarkStart w:id="2" w:name="_heading=h.30j0zll" w:colFirst="0" w:colLast="0"/>
      <w:bookmarkEnd w:id="2"/>
      <w:r w:rsidRPr="007255F7">
        <w:rPr>
          <w:rFonts w:ascii="Times New Roman" w:eastAsia="Times New Roman" w:hAnsi="Times New Roman" w:cs="Times New Roman"/>
          <w:sz w:val="24"/>
          <w:szCs w:val="24"/>
          <w:lang w:val="pt-BR"/>
        </w:rPr>
        <w:t xml:space="preserve">Todavia, um fundamento essencial no processo de desenvolvimento regional é a dotação de capital social no contexto do território. Nesse aspecto, o desenvolvimento necessita de um padrão aceitável nos níveis de educação formal e informal, de progresso tecnológico, de pesquisa e desenvolvimento e de infraestrutura, que devem compor o crescimento da região e não apenas o espaço físico geográfico. </w:t>
      </w:r>
    </w:p>
    <w:p w14:paraId="5D04872C" w14:textId="7617A3C7" w:rsidR="00BF0A85" w:rsidRPr="00054D05" w:rsidRDefault="00881133" w:rsidP="00524517">
      <w:pPr>
        <w:rPr>
          <w:rFonts w:ascii="Times New Roman" w:eastAsia="Times New Roman" w:hAnsi="Times New Roman" w:cs="Times New Roman"/>
          <w:sz w:val="24"/>
          <w:szCs w:val="24"/>
          <w:lang w:val="pt-BR"/>
        </w:rPr>
      </w:pPr>
      <w:r w:rsidRPr="00054D05">
        <w:rPr>
          <w:rFonts w:ascii="Times New Roman" w:eastAsia="Times New Roman" w:hAnsi="Times New Roman" w:cs="Times New Roman"/>
          <w:sz w:val="24"/>
          <w:szCs w:val="24"/>
          <w:lang w:val="pt-BR"/>
        </w:rPr>
        <w:t xml:space="preserve">O desenvolvimento regional sustentado </w:t>
      </w:r>
      <w:r w:rsidR="00BF0A85" w:rsidRPr="00054D05">
        <w:rPr>
          <w:rFonts w:ascii="Times New Roman" w:eastAsia="Times New Roman" w:hAnsi="Times New Roman" w:cs="Times New Roman"/>
          <w:sz w:val="24"/>
          <w:szCs w:val="24"/>
          <w:lang w:val="pt-BR"/>
        </w:rPr>
        <w:t xml:space="preserve">deve ser focado no estudo de um determinado território, observando as suas características geográficas, sua população e as </w:t>
      </w:r>
      <w:r w:rsidR="00BF0A85" w:rsidRPr="00054D05">
        <w:rPr>
          <w:rFonts w:ascii="Times New Roman" w:eastAsia="Times New Roman" w:hAnsi="Times New Roman" w:cs="Times New Roman"/>
          <w:sz w:val="24"/>
          <w:szCs w:val="24"/>
          <w:lang w:val="pt-BR"/>
        </w:rPr>
        <w:lastRenderedPageBreak/>
        <w:t xml:space="preserve">relações com os outros elementos desse espaço. Este enfoque tem como princípios o planejamento crescente, a participação e autonomia da população local, além da perspectiva de mercado, sempre com o foco na melhoria das condições de vida da população da região. </w:t>
      </w:r>
    </w:p>
    <w:p w14:paraId="15D45674" w14:textId="04645335" w:rsidR="00BF0A85" w:rsidRPr="007255F7" w:rsidRDefault="007B58BD" w:rsidP="00524517">
      <w:pPr>
        <w:rPr>
          <w:rFonts w:ascii="Times New Roman" w:eastAsia="Times New Roman" w:hAnsi="Times New Roman" w:cs="Times New Roman"/>
          <w:sz w:val="24"/>
          <w:szCs w:val="24"/>
          <w:lang w:val="pt-BR"/>
        </w:rPr>
      </w:pPr>
      <w:bookmarkStart w:id="3" w:name="_heading=h.3dksefme4v8a" w:colFirst="0" w:colLast="0"/>
      <w:bookmarkEnd w:id="3"/>
      <w:r w:rsidRPr="00054D05">
        <w:rPr>
          <w:rFonts w:ascii="Times New Roman" w:eastAsia="Times New Roman" w:hAnsi="Times New Roman" w:cs="Times New Roman"/>
          <w:sz w:val="24"/>
          <w:szCs w:val="24"/>
          <w:lang w:val="pt-BR"/>
        </w:rPr>
        <w:t>Na visão de Amaral Filho (2001</w:t>
      </w:r>
      <w:r w:rsidRPr="007255F7">
        <w:rPr>
          <w:rFonts w:ascii="Times New Roman" w:eastAsia="Times New Roman" w:hAnsi="Times New Roman" w:cs="Times New Roman"/>
          <w:sz w:val="24"/>
          <w:szCs w:val="24"/>
          <w:lang w:val="pt-BR"/>
        </w:rPr>
        <w:t xml:space="preserve">) </w:t>
      </w:r>
      <w:r w:rsidR="00BF0A85" w:rsidRPr="007255F7">
        <w:rPr>
          <w:rFonts w:ascii="Times New Roman" w:eastAsia="Times New Roman" w:hAnsi="Times New Roman" w:cs="Times New Roman"/>
          <w:sz w:val="24"/>
          <w:szCs w:val="24"/>
          <w:lang w:val="pt-BR"/>
        </w:rPr>
        <w:t>o des</w:t>
      </w:r>
      <w:r w:rsidRPr="007255F7">
        <w:rPr>
          <w:rFonts w:ascii="Times New Roman" w:eastAsia="Times New Roman" w:hAnsi="Times New Roman" w:cs="Times New Roman"/>
          <w:sz w:val="24"/>
          <w:szCs w:val="24"/>
          <w:lang w:val="pt-BR"/>
        </w:rPr>
        <w:t xml:space="preserve">envolvimento regional endógeno </w:t>
      </w:r>
      <w:r w:rsidR="00BF0A85" w:rsidRPr="007255F7">
        <w:rPr>
          <w:rFonts w:ascii="Times New Roman" w:eastAsia="Times New Roman" w:hAnsi="Times New Roman" w:cs="Times New Roman"/>
          <w:sz w:val="24"/>
          <w:szCs w:val="24"/>
          <w:lang w:val="pt-BR"/>
        </w:rPr>
        <w:t>pode ser compreendido como um processo de expansão econômica que implica um crescimento contínuo e capaz de atribuir valor sobre a produção local. Nesse estágio, se configura o poder de retenção econômica da região, cuja escalada é a absorção do excedente econômico produzido na economia da região e/ou a absorção dos excedentes vindos de outros locais. Essa condição é resultado da ampliação da oferta de emprego, aumento da produção e da renda regional.</w:t>
      </w:r>
    </w:p>
    <w:p w14:paraId="7F84EDA0" w14:textId="77777777" w:rsidR="00BF0A85" w:rsidRPr="00054D05" w:rsidRDefault="00BF0A85" w:rsidP="00524517">
      <w:pPr>
        <w:rPr>
          <w:rFonts w:ascii="Times New Roman" w:eastAsia="Times New Roman" w:hAnsi="Times New Roman" w:cs="Times New Roman"/>
          <w:sz w:val="24"/>
          <w:szCs w:val="24"/>
          <w:lang w:val="pt-BR"/>
        </w:rPr>
      </w:pPr>
      <w:bookmarkStart w:id="4" w:name="_heading=h.gjdgxs" w:colFirst="0" w:colLast="0"/>
      <w:bookmarkEnd w:id="4"/>
      <w:r w:rsidRPr="007255F7">
        <w:rPr>
          <w:rFonts w:ascii="Times New Roman" w:eastAsia="Times New Roman" w:hAnsi="Times New Roman" w:cs="Times New Roman"/>
          <w:sz w:val="24"/>
          <w:szCs w:val="24"/>
          <w:lang w:val="pt-BR"/>
        </w:rPr>
        <w:t xml:space="preserve">O cunho endógeno desse desenvolvimento não tem um sentido voltado apenas no consumo da própria região ou no local. As suas fontes de propulsão </w:t>
      </w:r>
      <w:r w:rsidRPr="00054D05">
        <w:rPr>
          <w:rFonts w:ascii="Times New Roman" w:eastAsia="Times New Roman" w:hAnsi="Times New Roman" w:cs="Times New Roman"/>
          <w:sz w:val="24"/>
          <w:szCs w:val="24"/>
          <w:lang w:val="pt-BR"/>
        </w:rPr>
        <w:t>podem ser observadas tanto pelo lado da endogeneização da economia, ou do sobressalente de capital, mas também pelo lado da agregação do conhecimento, da tecnologia e demais inovações, com consequências sobre a expansão da produtividade.</w:t>
      </w:r>
    </w:p>
    <w:p w14:paraId="33961311" w14:textId="77777777" w:rsidR="00B67120" w:rsidRPr="007255F7" w:rsidRDefault="00BF0A85" w:rsidP="00524517">
      <w:pPr>
        <w:rPr>
          <w:rFonts w:ascii="Times New Roman" w:eastAsia="Times New Roman" w:hAnsi="Times New Roman" w:cs="Times New Roman"/>
          <w:sz w:val="24"/>
          <w:szCs w:val="24"/>
          <w:lang w:val="pt-BR"/>
        </w:rPr>
      </w:pPr>
      <w:bookmarkStart w:id="5" w:name="_heading=h.92jv4t3jsewq" w:colFirst="0" w:colLast="0"/>
      <w:bookmarkStart w:id="6" w:name="_heading=h.njxoi454q3v5" w:colFirst="0" w:colLast="0"/>
      <w:bookmarkEnd w:id="5"/>
      <w:bookmarkEnd w:id="6"/>
      <w:r w:rsidRPr="007255F7">
        <w:rPr>
          <w:rFonts w:ascii="Times New Roman" w:eastAsia="Times New Roman" w:hAnsi="Times New Roman" w:cs="Times New Roman"/>
          <w:sz w:val="24"/>
          <w:szCs w:val="24"/>
          <w:lang w:val="pt-BR"/>
        </w:rPr>
        <w:t>Conforme ex</w:t>
      </w:r>
      <w:r w:rsidR="000C0E50" w:rsidRPr="007255F7">
        <w:rPr>
          <w:rFonts w:ascii="Times New Roman" w:eastAsia="Times New Roman" w:hAnsi="Times New Roman" w:cs="Times New Roman"/>
          <w:sz w:val="24"/>
          <w:szCs w:val="24"/>
          <w:lang w:val="pt-BR"/>
        </w:rPr>
        <w:t>plicitado por Masquietto (2010)</w:t>
      </w:r>
      <w:r w:rsidRPr="007255F7">
        <w:rPr>
          <w:rFonts w:ascii="Times New Roman" w:eastAsia="Times New Roman" w:hAnsi="Times New Roman" w:cs="Times New Roman"/>
          <w:sz w:val="24"/>
          <w:szCs w:val="24"/>
          <w:lang w:val="pt-BR"/>
        </w:rPr>
        <w:t xml:space="preserve"> </w:t>
      </w:r>
      <w:r w:rsidR="009168A7" w:rsidRPr="007255F7">
        <w:rPr>
          <w:rFonts w:ascii="Times New Roman" w:eastAsia="Times New Roman" w:hAnsi="Times New Roman" w:cs="Times New Roman"/>
          <w:sz w:val="24"/>
          <w:szCs w:val="24"/>
          <w:lang w:val="pt-BR"/>
        </w:rPr>
        <w:t>a compreensão sobre</w:t>
      </w:r>
      <w:r w:rsidRPr="007255F7">
        <w:rPr>
          <w:rFonts w:ascii="Times New Roman" w:eastAsia="Times New Roman" w:hAnsi="Times New Roman" w:cs="Times New Roman"/>
          <w:sz w:val="24"/>
          <w:szCs w:val="24"/>
          <w:lang w:val="pt-BR"/>
        </w:rPr>
        <w:t xml:space="preserve"> os </w:t>
      </w:r>
      <w:r w:rsidR="006D3FBF" w:rsidRPr="007255F7">
        <w:rPr>
          <w:rFonts w:ascii="Times New Roman" w:eastAsia="Times New Roman" w:hAnsi="Times New Roman" w:cs="Times New Roman"/>
          <w:sz w:val="24"/>
          <w:szCs w:val="24"/>
          <w:lang w:val="pt-BR"/>
        </w:rPr>
        <w:t>agrupamentos produtivos locais - clusters industriais -</w:t>
      </w:r>
      <w:r w:rsidRPr="007255F7">
        <w:rPr>
          <w:rFonts w:ascii="Times New Roman" w:eastAsia="Times New Roman" w:hAnsi="Times New Roman" w:cs="Times New Roman"/>
          <w:sz w:val="24"/>
          <w:szCs w:val="24"/>
          <w:lang w:val="pt-BR"/>
        </w:rPr>
        <w:t xml:space="preserve"> como uma forma de moldar as economias regionais</w:t>
      </w:r>
      <w:r w:rsidR="00B17FD8" w:rsidRPr="007255F7">
        <w:rPr>
          <w:rFonts w:ascii="Times New Roman" w:eastAsia="Times New Roman" w:hAnsi="Times New Roman" w:cs="Times New Roman"/>
          <w:sz w:val="24"/>
          <w:szCs w:val="24"/>
          <w:lang w:val="pt-BR"/>
        </w:rPr>
        <w:t>,</w:t>
      </w:r>
      <w:r w:rsidRPr="007255F7">
        <w:rPr>
          <w:rFonts w:ascii="Times New Roman" w:eastAsia="Times New Roman" w:hAnsi="Times New Roman" w:cs="Times New Roman"/>
          <w:sz w:val="24"/>
          <w:szCs w:val="24"/>
          <w:lang w:val="pt-BR"/>
        </w:rPr>
        <w:t xml:space="preserve"> vai além da mera concentração geográfica de uma atividade econômica. Trata-se de um conjunto de empresas e organizações </w:t>
      </w:r>
      <w:r w:rsidR="003C5D6B" w:rsidRPr="007255F7">
        <w:rPr>
          <w:rFonts w:ascii="Times New Roman" w:eastAsia="Times New Roman" w:hAnsi="Times New Roman" w:cs="Times New Roman"/>
          <w:sz w:val="24"/>
          <w:szCs w:val="24"/>
          <w:lang w:val="pt-BR"/>
        </w:rPr>
        <w:t>onde</w:t>
      </w:r>
      <w:r w:rsidRPr="007255F7">
        <w:rPr>
          <w:rFonts w:ascii="Times New Roman" w:eastAsia="Times New Roman" w:hAnsi="Times New Roman" w:cs="Times New Roman"/>
          <w:sz w:val="24"/>
          <w:szCs w:val="24"/>
          <w:lang w:val="pt-BR"/>
        </w:rPr>
        <w:t xml:space="preserve"> cada componente desempenha um papel crucial para a competitividade coletiva. As empresas têm dado conta de que a viabilidade econômica da cadeia produtiva é muito vulnerável sem uma a</w:t>
      </w:r>
      <w:r w:rsidR="003C5D6B" w:rsidRPr="007255F7">
        <w:rPr>
          <w:rFonts w:ascii="Times New Roman" w:eastAsia="Times New Roman" w:hAnsi="Times New Roman" w:cs="Times New Roman"/>
          <w:sz w:val="24"/>
          <w:szCs w:val="24"/>
          <w:lang w:val="pt-BR"/>
        </w:rPr>
        <w:t>bordagem mais proativa, o que</w:t>
      </w:r>
      <w:r w:rsidRPr="007255F7">
        <w:rPr>
          <w:rFonts w:ascii="Times New Roman" w:eastAsia="Times New Roman" w:hAnsi="Times New Roman" w:cs="Times New Roman"/>
          <w:sz w:val="24"/>
          <w:szCs w:val="24"/>
          <w:lang w:val="pt-BR"/>
        </w:rPr>
        <w:t xml:space="preserve"> tem levado a adotar práticas de cooperação. </w:t>
      </w:r>
    </w:p>
    <w:p w14:paraId="05229F61" w14:textId="601AF991" w:rsidR="00BF0A85" w:rsidRPr="00054D05" w:rsidRDefault="00BF0A85" w:rsidP="00524517">
      <w:pPr>
        <w:rPr>
          <w:rFonts w:ascii="Times New Roman" w:eastAsia="Times New Roman" w:hAnsi="Times New Roman" w:cs="Times New Roman"/>
          <w:color w:val="C55911"/>
          <w:sz w:val="24"/>
          <w:szCs w:val="24"/>
          <w:lang w:val="pt-BR"/>
        </w:rPr>
      </w:pPr>
      <w:r w:rsidRPr="00054D05">
        <w:rPr>
          <w:rFonts w:ascii="Times New Roman" w:eastAsia="Times New Roman" w:hAnsi="Times New Roman" w:cs="Times New Roman"/>
          <w:sz w:val="24"/>
          <w:szCs w:val="24"/>
          <w:lang w:val="pt-BR"/>
        </w:rPr>
        <w:t>Port</w:t>
      </w:r>
      <w:r w:rsidR="00B67120" w:rsidRPr="00054D05">
        <w:rPr>
          <w:rFonts w:ascii="Times New Roman" w:eastAsia="Times New Roman" w:hAnsi="Times New Roman" w:cs="Times New Roman"/>
          <w:sz w:val="24"/>
          <w:szCs w:val="24"/>
          <w:lang w:val="pt-BR"/>
        </w:rPr>
        <w:t>anto, além da competição</w:t>
      </w:r>
      <w:r w:rsidRPr="00054D05">
        <w:rPr>
          <w:rFonts w:ascii="Times New Roman" w:eastAsia="Times New Roman" w:hAnsi="Times New Roman" w:cs="Times New Roman"/>
          <w:sz w:val="24"/>
          <w:szCs w:val="24"/>
          <w:lang w:val="pt-BR"/>
        </w:rPr>
        <w:t xml:space="preserve"> que tradicionalmente faz parte da definição de cadeia produtiva, é necessário também dar atenção à cooperação. Dessa forma, ao considerar a cadeia produtiva em um nível de parceria estratégica, surge um paradoxo, pois as empresas abrem mão de sua independência e autonomia em prol do fortalecimento de uma área de especialização. Desse modo, elas desenvolvem uma ação conjunta com o objetivo de alcançar uma meta comum, o que requer a adoção de comportamentos específicos.</w:t>
      </w:r>
    </w:p>
    <w:p w14:paraId="4A09A0B9" w14:textId="79368189" w:rsidR="00BF0A85" w:rsidRPr="00054D05" w:rsidRDefault="00BF0A85" w:rsidP="00524517">
      <w:pPr>
        <w:rPr>
          <w:rFonts w:ascii="Times New Roman" w:eastAsia="Times New Roman" w:hAnsi="Times New Roman" w:cs="Times New Roman"/>
          <w:sz w:val="24"/>
          <w:szCs w:val="24"/>
          <w:lang w:val="pt-BR"/>
        </w:rPr>
      </w:pPr>
      <w:r w:rsidRPr="00054D05">
        <w:rPr>
          <w:rFonts w:ascii="Times New Roman" w:eastAsia="Times New Roman" w:hAnsi="Times New Roman" w:cs="Times New Roman"/>
          <w:sz w:val="24"/>
          <w:szCs w:val="24"/>
          <w:lang w:val="pt-BR"/>
        </w:rPr>
        <w:t xml:space="preserve">No entendimento de </w:t>
      </w:r>
      <w:proofErr w:type="spellStart"/>
      <w:r w:rsidRPr="00054D05">
        <w:rPr>
          <w:rFonts w:ascii="Times New Roman" w:eastAsia="Times New Roman" w:hAnsi="Times New Roman" w:cs="Times New Roman"/>
          <w:sz w:val="24"/>
          <w:szCs w:val="24"/>
          <w:lang w:val="pt-BR"/>
        </w:rPr>
        <w:t>Crocco</w:t>
      </w:r>
      <w:proofErr w:type="spellEnd"/>
      <w:r w:rsidRPr="00054D05">
        <w:rPr>
          <w:rFonts w:ascii="Times New Roman" w:eastAsia="Times New Roman" w:hAnsi="Times New Roman" w:cs="Times New Roman"/>
          <w:sz w:val="24"/>
          <w:szCs w:val="24"/>
          <w:lang w:val="pt-BR"/>
        </w:rPr>
        <w:t xml:space="preserve"> (2006) as aglomerações produtivas locais na periferia capitalista apresentam características específicas, d</w:t>
      </w:r>
      <w:r w:rsidR="00121DEF" w:rsidRPr="00054D05">
        <w:rPr>
          <w:rFonts w:ascii="Times New Roman" w:eastAsia="Times New Roman" w:hAnsi="Times New Roman" w:cs="Times New Roman"/>
          <w:sz w:val="24"/>
          <w:szCs w:val="24"/>
          <w:lang w:val="pt-BR"/>
        </w:rPr>
        <w:t xml:space="preserve">evido aos seguintes aspectos: </w:t>
      </w:r>
    </w:p>
    <w:p w14:paraId="6E67B79D" w14:textId="201D9712" w:rsidR="00BF0A85" w:rsidRPr="00054D05" w:rsidRDefault="00DD2303" w:rsidP="00524517">
      <w:pPr>
        <w:rPr>
          <w:rFonts w:ascii="Times New Roman" w:eastAsia="Times New Roman" w:hAnsi="Times New Roman" w:cs="Times New Roman"/>
          <w:sz w:val="24"/>
          <w:szCs w:val="24"/>
          <w:lang w:val="pt-BR"/>
        </w:rPr>
      </w:pPr>
      <w:bookmarkStart w:id="7" w:name="_heading=h.fu3qt194wz8g" w:colFirst="0" w:colLast="0"/>
      <w:bookmarkEnd w:id="7"/>
      <w:r w:rsidRPr="00054D05">
        <w:rPr>
          <w:rFonts w:ascii="Times New Roman" w:eastAsia="Times New Roman" w:hAnsi="Times New Roman" w:cs="Times New Roman"/>
          <w:sz w:val="24"/>
          <w:szCs w:val="24"/>
          <w:lang w:val="pt-BR"/>
        </w:rPr>
        <w:t>Em geral, as capacidades inovativas</w:t>
      </w:r>
      <w:r w:rsidR="00BF0A85" w:rsidRPr="00054D05">
        <w:rPr>
          <w:rFonts w:ascii="Times New Roman" w:eastAsia="Times New Roman" w:hAnsi="Times New Roman" w:cs="Times New Roman"/>
          <w:sz w:val="24"/>
          <w:szCs w:val="24"/>
          <w:lang w:val="pt-BR"/>
        </w:rPr>
        <w:t xml:space="preserve"> são inferiores às dos países desenvolvidos. </w:t>
      </w:r>
    </w:p>
    <w:p w14:paraId="1BFBFD25" w14:textId="77777777" w:rsidR="00BF0A85" w:rsidRPr="00054D05" w:rsidRDefault="00BF0A85" w:rsidP="00524517">
      <w:pPr>
        <w:numPr>
          <w:ilvl w:val="0"/>
          <w:numId w:val="2"/>
        </w:numPr>
        <w:rPr>
          <w:rFonts w:ascii="Times New Roman" w:eastAsia="Times New Roman" w:hAnsi="Times New Roman" w:cs="Times New Roman"/>
          <w:sz w:val="24"/>
          <w:szCs w:val="24"/>
          <w:lang w:val="pt-BR"/>
        </w:rPr>
      </w:pPr>
      <w:bookmarkStart w:id="8" w:name="_heading=h.j0v63u6s22o3" w:colFirst="0" w:colLast="0"/>
      <w:bookmarkEnd w:id="8"/>
      <w:r w:rsidRPr="00054D05">
        <w:rPr>
          <w:rFonts w:ascii="Times New Roman" w:eastAsia="Times New Roman" w:hAnsi="Times New Roman" w:cs="Times New Roman"/>
          <w:sz w:val="24"/>
          <w:szCs w:val="24"/>
          <w:lang w:val="pt-BR"/>
        </w:rPr>
        <w:t xml:space="preserve">O ambiente organizacional é aberto e passivo, ou seja, as funções estratégicas principais são realizadas externamente ao sistema, prevalecendo localmente uma mentalidade quase exclusivamente produtiva. </w:t>
      </w:r>
    </w:p>
    <w:p w14:paraId="2D2B38B4" w14:textId="77777777" w:rsidR="00BF0A85" w:rsidRPr="00054D05" w:rsidRDefault="00BF0A85" w:rsidP="00524517">
      <w:pPr>
        <w:numPr>
          <w:ilvl w:val="0"/>
          <w:numId w:val="2"/>
        </w:numPr>
        <w:rPr>
          <w:rFonts w:ascii="Times New Roman" w:eastAsia="Times New Roman" w:hAnsi="Times New Roman" w:cs="Times New Roman"/>
          <w:sz w:val="24"/>
          <w:szCs w:val="24"/>
          <w:lang w:val="pt-BR"/>
        </w:rPr>
      </w:pPr>
      <w:bookmarkStart w:id="9" w:name="_heading=h.8n0gcmgc7bm7" w:colFirst="0" w:colLast="0"/>
      <w:bookmarkEnd w:id="9"/>
      <w:r w:rsidRPr="00054D05">
        <w:rPr>
          <w:rFonts w:ascii="Times New Roman" w:eastAsia="Times New Roman" w:hAnsi="Times New Roman" w:cs="Times New Roman"/>
          <w:sz w:val="24"/>
          <w:szCs w:val="24"/>
          <w:lang w:val="pt-BR"/>
        </w:rPr>
        <w:lastRenderedPageBreak/>
        <w:t xml:space="preserve">O ambiente institucional e macroeconômico é mais volátil e sujeito a restrições estruturais. </w:t>
      </w:r>
    </w:p>
    <w:p w14:paraId="6E2B1712" w14:textId="77777777" w:rsidR="00BF0A85" w:rsidRPr="00054D05" w:rsidRDefault="00BF0A85" w:rsidP="00524517">
      <w:pPr>
        <w:numPr>
          <w:ilvl w:val="0"/>
          <w:numId w:val="2"/>
        </w:numPr>
        <w:rPr>
          <w:rFonts w:ascii="Times New Roman" w:eastAsia="Times New Roman" w:hAnsi="Times New Roman" w:cs="Times New Roman"/>
          <w:sz w:val="24"/>
          <w:szCs w:val="24"/>
          <w:lang w:val="pt-BR"/>
        </w:rPr>
      </w:pPr>
      <w:bookmarkStart w:id="10" w:name="_heading=h.50204uuzsnj8" w:colFirst="0" w:colLast="0"/>
      <w:bookmarkEnd w:id="10"/>
      <w:r w:rsidRPr="00054D05">
        <w:rPr>
          <w:rFonts w:ascii="Times New Roman" w:eastAsia="Times New Roman" w:hAnsi="Times New Roman" w:cs="Times New Roman"/>
          <w:sz w:val="24"/>
          <w:szCs w:val="24"/>
          <w:lang w:val="pt-BR"/>
        </w:rPr>
        <w:t>Os sistemas locais são predominantemente voltados para a subsistência, com baixa densidade urbana, baixa renda per capita, baixos níveis educacionais, pouca complementaridade produtiva e de serviços com o centro urbano, e frágil integração social.</w:t>
      </w:r>
    </w:p>
    <w:p w14:paraId="1B4F0289" w14:textId="16F084E8" w:rsidR="00E6369E" w:rsidRDefault="009D0E06" w:rsidP="005B10BB">
      <w:pPr>
        <w:rPr>
          <w:rFonts w:ascii="Times New Roman" w:eastAsia="Times New Roman" w:hAnsi="Times New Roman" w:cs="Times New Roman"/>
          <w:sz w:val="24"/>
          <w:szCs w:val="24"/>
          <w:lang w:val="pt-BR"/>
        </w:rPr>
      </w:pPr>
      <w:bookmarkStart w:id="11" w:name="_heading=h.f999o5umk1a3" w:colFirst="0" w:colLast="0"/>
      <w:bookmarkEnd w:id="11"/>
      <w:r w:rsidRPr="00054D05">
        <w:rPr>
          <w:rFonts w:ascii="Times New Roman" w:eastAsia="Times New Roman" w:hAnsi="Times New Roman" w:cs="Times New Roman"/>
          <w:sz w:val="24"/>
          <w:szCs w:val="24"/>
          <w:lang w:val="pt-BR"/>
        </w:rPr>
        <w:t>Neste ambiente a</w:t>
      </w:r>
      <w:r w:rsidR="00BF0A85" w:rsidRPr="00054D05">
        <w:rPr>
          <w:rFonts w:ascii="Times New Roman" w:eastAsia="Times New Roman" w:hAnsi="Times New Roman" w:cs="Times New Roman"/>
          <w:sz w:val="24"/>
          <w:szCs w:val="24"/>
          <w:lang w:val="pt-BR"/>
        </w:rPr>
        <w:t xml:space="preserve">s formas de coordenação, redes e conexões entre as empresas dentro do aglomerado são pouco desenvolvidas, prevalecendo </w:t>
      </w:r>
      <w:r w:rsidR="005C1755" w:rsidRPr="00054D05">
        <w:rPr>
          <w:rFonts w:ascii="Times New Roman" w:eastAsia="Times New Roman" w:hAnsi="Times New Roman" w:cs="Times New Roman"/>
          <w:sz w:val="24"/>
          <w:szCs w:val="24"/>
          <w:lang w:val="pt-BR"/>
        </w:rPr>
        <w:t>à</w:t>
      </w:r>
      <w:r w:rsidR="00BF0A85" w:rsidRPr="00054D05">
        <w:rPr>
          <w:rFonts w:ascii="Times New Roman" w:eastAsia="Times New Roman" w:hAnsi="Times New Roman" w:cs="Times New Roman"/>
          <w:sz w:val="24"/>
          <w:szCs w:val="24"/>
          <w:lang w:val="pt-BR"/>
        </w:rPr>
        <w:t xml:space="preserve"> competição predatória, baixo nível de confiança entre os agentes e compartilhamento limitado de informações. A infraestrutura do aglomerado é precária, faltando serviços básicos de apoio ao desenvolvimento sustentável, como serviços financeiros, centros de produtividade e treinamento. Em alguns casos, a dificuldade de integração vertical e o fortalecimento da cadeia produtiva do aglomerado resultam em conjuntos de empresas monoproduto, com baixo nível de intercâmbio e cooperação intra-aglomeração.</w:t>
      </w:r>
      <w:bookmarkStart w:id="12" w:name="_heading=h.sc6gorcu5722" w:colFirst="0" w:colLast="0"/>
      <w:bookmarkEnd w:id="12"/>
    </w:p>
    <w:p w14:paraId="7D025EAE" w14:textId="77777777" w:rsidR="005B10BB" w:rsidRPr="00497F1E" w:rsidRDefault="005B10BB" w:rsidP="005B10BB">
      <w:pPr>
        <w:rPr>
          <w:rFonts w:ascii="Times New Roman" w:eastAsia="Times New Roman" w:hAnsi="Times New Roman" w:cs="Times New Roman"/>
          <w:sz w:val="24"/>
          <w:szCs w:val="24"/>
          <w:lang w:val="pt-BR"/>
        </w:rPr>
      </w:pPr>
    </w:p>
    <w:p w14:paraId="21DE0846" w14:textId="14151A69" w:rsidR="00D04260" w:rsidRPr="00497F1E" w:rsidRDefault="00D07372" w:rsidP="005B10BB">
      <w:pPr>
        <w:ind w:firstLine="0"/>
        <w:rPr>
          <w:rFonts w:ascii="Times New Roman" w:eastAsia="Times New Roman" w:hAnsi="Times New Roman" w:cs="Times New Roman"/>
          <w:b/>
          <w:sz w:val="24"/>
          <w:szCs w:val="24"/>
          <w:lang w:val="pt-BR"/>
        </w:rPr>
      </w:pPr>
      <w:proofErr w:type="gramStart"/>
      <w:r>
        <w:rPr>
          <w:rFonts w:ascii="Times New Roman" w:eastAsia="Times New Roman" w:hAnsi="Times New Roman" w:cs="Times New Roman"/>
          <w:b/>
          <w:sz w:val="24"/>
          <w:szCs w:val="24"/>
          <w:lang w:val="pt-BR"/>
        </w:rPr>
        <w:t>3</w:t>
      </w:r>
      <w:proofErr w:type="gramEnd"/>
      <w:r w:rsidR="00D04260" w:rsidRPr="00497F1E">
        <w:rPr>
          <w:rFonts w:ascii="Times New Roman" w:eastAsia="Times New Roman" w:hAnsi="Times New Roman" w:cs="Times New Roman"/>
          <w:b/>
          <w:sz w:val="24"/>
          <w:szCs w:val="24"/>
          <w:lang w:val="pt-BR"/>
        </w:rPr>
        <w:t xml:space="preserve"> </w:t>
      </w:r>
      <w:r w:rsidR="008F1427" w:rsidRPr="00497F1E">
        <w:rPr>
          <w:rFonts w:ascii="Times New Roman" w:eastAsia="Times New Roman" w:hAnsi="Times New Roman" w:cs="Times New Roman"/>
          <w:b/>
          <w:sz w:val="24"/>
          <w:szCs w:val="24"/>
          <w:lang w:val="pt-BR"/>
        </w:rPr>
        <w:t>O</w:t>
      </w:r>
      <w:r w:rsidR="00E4013B" w:rsidRPr="00497F1E">
        <w:rPr>
          <w:rFonts w:ascii="Times New Roman" w:eastAsia="Times New Roman" w:hAnsi="Times New Roman" w:cs="Times New Roman"/>
          <w:b/>
          <w:sz w:val="24"/>
          <w:szCs w:val="24"/>
          <w:lang w:val="pt-BR"/>
        </w:rPr>
        <w:t xml:space="preserve"> INDEL</w:t>
      </w:r>
      <w:r w:rsidR="008F1427" w:rsidRPr="00497F1E">
        <w:rPr>
          <w:rFonts w:ascii="Times New Roman" w:eastAsia="Times New Roman" w:hAnsi="Times New Roman" w:cs="Times New Roman"/>
          <w:b/>
          <w:sz w:val="24"/>
          <w:szCs w:val="24"/>
          <w:lang w:val="pt-BR"/>
        </w:rPr>
        <w:t xml:space="preserve"> </w:t>
      </w:r>
      <w:r w:rsidR="00894560">
        <w:rPr>
          <w:rFonts w:ascii="Times New Roman" w:eastAsia="Times New Roman" w:hAnsi="Times New Roman" w:cs="Times New Roman"/>
          <w:b/>
          <w:sz w:val="24"/>
          <w:szCs w:val="24"/>
          <w:lang w:val="pt-BR"/>
        </w:rPr>
        <w:t>COMO INSTRUMENTO DE AVALIAÇÃO ECONÔMICA DO ESPAÇO LOCAL</w:t>
      </w:r>
    </w:p>
    <w:p w14:paraId="5E4EAE63" w14:textId="70F19960" w:rsidR="00497F1E" w:rsidRPr="00497F1E" w:rsidRDefault="00497F1E" w:rsidP="005B10BB">
      <w:pPr>
        <w:rPr>
          <w:rFonts w:ascii="Times New Roman" w:hAnsi="Times New Roman" w:cs="Times New Roman"/>
          <w:sz w:val="24"/>
          <w:szCs w:val="24"/>
          <w:lang w:val="pt-BR"/>
        </w:rPr>
      </w:pPr>
      <w:r w:rsidRPr="00497F1E">
        <w:rPr>
          <w:rFonts w:ascii="Times New Roman" w:hAnsi="Times New Roman" w:cs="Times New Roman"/>
          <w:sz w:val="24"/>
          <w:szCs w:val="24"/>
          <w:lang w:val="pt-BR"/>
        </w:rPr>
        <w:t xml:space="preserve">O Índice </w:t>
      </w:r>
      <w:proofErr w:type="spellStart"/>
      <w:r w:rsidRPr="00497F1E">
        <w:rPr>
          <w:rFonts w:ascii="Times New Roman" w:hAnsi="Times New Roman" w:cs="Times New Roman"/>
          <w:sz w:val="24"/>
          <w:szCs w:val="24"/>
          <w:lang w:val="pt-BR"/>
        </w:rPr>
        <w:t>Nuperj</w:t>
      </w:r>
      <w:proofErr w:type="spellEnd"/>
      <w:r w:rsidRPr="00497F1E">
        <w:rPr>
          <w:rFonts w:ascii="Times New Roman" w:hAnsi="Times New Roman" w:cs="Times New Roman"/>
          <w:sz w:val="24"/>
          <w:szCs w:val="24"/>
          <w:lang w:val="pt-BR"/>
        </w:rPr>
        <w:t xml:space="preserve"> de Dinâmica Econômica Local – INDEL, não propõe medir o desenvolvimento econômico dos municípios. O índice atua em um estágio anterior, onde promove um diagnóstico das forças e das fraquezas da economia local. O índice tem por objetivo definir o padrão de internalização da riqueza gerada localmente. Neste caso, trata-se de uma ferramenta potente para a formulação de politicas públicas e para o planejamento de investimentos privados, sem a pretensão de acirrar a competição entre os munícipios e sim entender a dinâmica no interior de cada um.</w:t>
      </w:r>
    </w:p>
    <w:p w14:paraId="0B84E38F" w14:textId="2EB12642" w:rsidR="00497F1E" w:rsidRDefault="00497F1E" w:rsidP="00524517">
      <w:pPr>
        <w:rPr>
          <w:rFonts w:ascii="Times New Roman" w:hAnsi="Times New Roman" w:cs="Times New Roman"/>
          <w:sz w:val="24"/>
          <w:szCs w:val="24"/>
          <w:lang w:val="pt-BR"/>
        </w:rPr>
      </w:pPr>
      <w:r w:rsidRPr="00497F1E">
        <w:rPr>
          <w:rFonts w:ascii="Times New Roman" w:hAnsi="Times New Roman" w:cs="Times New Roman"/>
          <w:sz w:val="24"/>
          <w:szCs w:val="24"/>
          <w:lang w:val="pt-BR"/>
        </w:rPr>
        <w:t>A sua estrutura metodológica consiste na ponderação de cinco variáveis: gastos em investimento público; arrecadação de imposto sobre circulação de mercadorias e serviços (ICMS); estoque de emprego e renda no comércio; movimentação bancária e da parcela relativa da população não vulnerável, conforme figura a seguir.</w:t>
      </w:r>
    </w:p>
    <w:p w14:paraId="474016A7" w14:textId="77777777" w:rsidR="00E61262" w:rsidRDefault="00E61262" w:rsidP="00E61262">
      <w:pPr>
        <w:ind w:firstLine="0"/>
        <w:rPr>
          <w:rFonts w:ascii="Times New Roman" w:hAnsi="Times New Roman" w:cs="Times New Roman"/>
          <w:sz w:val="24"/>
          <w:szCs w:val="24"/>
          <w:lang w:val="pt-BR"/>
        </w:rPr>
      </w:pPr>
    </w:p>
    <w:p w14:paraId="63807F4E" w14:textId="77777777" w:rsidR="00E61262" w:rsidRDefault="00E61262" w:rsidP="00E61262">
      <w:pPr>
        <w:ind w:firstLine="0"/>
        <w:rPr>
          <w:rFonts w:ascii="Times New Roman" w:hAnsi="Times New Roman" w:cs="Times New Roman"/>
          <w:sz w:val="24"/>
          <w:szCs w:val="24"/>
          <w:lang w:val="pt-BR"/>
        </w:rPr>
      </w:pPr>
    </w:p>
    <w:p w14:paraId="53A0B3C5" w14:textId="77777777" w:rsidR="00E61262" w:rsidRDefault="00E61262" w:rsidP="00E61262">
      <w:pPr>
        <w:ind w:firstLine="0"/>
        <w:rPr>
          <w:rFonts w:ascii="Times New Roman" w:hAnsi="Times New Roman" w:cs="Times New Roman"/>
          <w:sz w:val="24"/>
          <w:szCs w:val="24"/>
          <w:lang w:val="pt-BR"/>
        </w:rPr>
      </w:pPr>
    </w:p>
    <w:p w14:paraId="571D5DA3" w14:textId="77777777" w:rsidR="00E61262" w:rsidRDefault="00E61262" w:rsidP="00E61262">
      <w:pPr>
        <w:ind w:firstLine="0"/>
        <w:rPr>
          <w:rFonts w:ascii="Times New Roman" w:hAnsi="Times New Roman" w:cs="Times New Roman"/>
          <w:sz w:val="24"/>
          <w:szCs w:val="24"/>
          <w:lang w:val="pt-BR"/>
        </w:rPr>
      </w:pPr>
    </w:p>
    <w:p w14:paraId="1C9E2496" w14:textId="77777777" w:rsidR="00E61262" w:rsidRDefault="00E61262" w:rsidP="00E61262">
      <w:pPr>
        <w:ind w:firstLine="0"/>
        <w:rPr>
          <w:rFonts w:ascii="Times New Roman" w:hAnsi="Times New Roman" w:cs="Times New Roman"/>
          <w:sz w:val="24"/>
          <w:szCs w:val="24"/>
          <w:lang w:val="pt-BR"/>
        </w:rPr>
      </w:pPr>
    </w:p>
    <w:p w14:paraId="79EE5752" w14:textId="77777777" w:rsidR="00E61262" w:rsidRDefault="00E61262" w:rsidP="00E61262">
      <w:pPr>
        <w:ind w:firstLine="0"/>
        <w:rPr>
          <w:rFonts w:ascii="Times New Roman" w:hAnsi="Times New Roman" w:cs="Times New Roman"/>
          <w:sz w:val="24"/>
          <w:szCs w:val="24"/>
          <w:lang w:val="pt-BR"/>
        </w:rPr>
      </w:pPr>
    </w:p>
    <w:p w14:paraId="2FC0F297" w14:textId="77777777" w:rsidR="000E18FB" w:rsidRDefault="000E18FB" w:rsidP="00524517">
      <w:pPr>
        <w:rPr>
          <w:rFonts w:ascii="Times New Roman" w:hAnsi="Times New Roman" w:cs="Times New Roman"/>
          <w:sz w:val="24"/>
          <w:szCs w:val="24"/>
          <w:lang w:val="pt-BR"/>
        </w:rPr>
      </w:pPr>
    </w:p>
    <w:p w14:paraId="18274920" w14:textId="4B40A88C" w:rsidR="000E18FB" w:rsidRPr="006C1CE0" w:rsidRDefault="000E18FB" w:rsidP="00524517">
      <w:pPr>
        <w:ind w:hanging="142"/>
        <w:jc w:val="center"/>
        <w:rPr>
          <w:rFonts w:ascii="Times New Roman" w:hAnsi="Times New Roman" w:cs="Times New Roman"/>
          <w:lang w:val="pt-BR"/>
        </w:rPr>
      </w:pPr>
      <w:r w:rsidRPr="006C1CE0">
        <w:rPr>
          <w:rFonts w:ascii="Times New Roman" w:hAnsi="Times New Roman" w:cs="Times New Roman"/>
          <w:lang w:val="pt-BR"/>
        </w:rPr>
        <w:t xml:space="preserve">Figura 1 </w:t>
      </w:r>
      <w:r w:rsidR="00E61262">
        <w:rPr>
          <w:rFonts w:ascii="Times New Roman" w:hAnsi="Times New Roman" w:cs="Times New Roman"/>
          <w:lang w:val="pt-BR"/>
        </w:rPr>
        <w:t xml:space="preserve">– </w:t>
      </w:r>
      <w:r w:rsidR="006F4393">
        <w:rPr>
          <w:rFonts w:ascii="Times New Roman" w:hAnsi="Times New Roman" w:cs="Times New Roman"/>
          <w:lang w:val="pt-BR"/>
        </w:rPr>
        <w:t>Variáveis selecionadas para o INDEL</w:t>
      </w:r>
    </w:p>
    <w:p w14:paraId="67F529A6" w14:textId="77777777" w:rsidR="000E18FB" w:rsidRDefault="0072138E" w:rsidP="00524517">
      <w:pPr>
        <w:keepNext/>
        <w:ind w:firstLine="0"/>
        <w:jc w:val="center"/>
      </w:pPr>
      <w:r w:rsidRPr="00497F1E">
        <w:rPr>
          <w:rFonts w:ascii="Times New Roman" w:hAnsi="Times New Roman" w:cs="Times New Roman"/>
          <w:noProof/>
          <w:sz w:val="22"/>
          <w:szCs w:val="22"/>
          <w:lang w:val="pt-BR" w:eastAsia="pt-BR"/>
        </w:rPr>
        <w:drawing>
          <wp:inline distT="0" distB="0" distL="0" distR="0" wp14:anchorId="13D48B9E" wp14:editId="12C8BC26">
            <wp:extent cx="4844415" cy="2604135"/>
            <wp:effectExtent l="0" t="0" r="0" b="571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4844415" cy="2604135"/>
                    </a:xfrm>
                    <a:prstGeom prst="rect">
                      <a:avLst/>
                    </a:prstGeom>
                  </pic:spPr>
                </pic:pic>
              </a:graphicData>
            </a:graphic>
          </wp:inline>
        </w:drawing>
      </w:r>
    </w:p>
    <w:p w14:paraId="4C6BFAEB" w14:textId="4A0B8A3A" w:rsidR="00D02B4D" w:rsidRPr="00894560" w:rsidRDefault="00497F1E" w:rsidP="00524517">
      <w:pPr>
        <w:ind w:firstLine="0"/>
        <w:jc w:val="center"/>
        <w:rPr>
          <w:rFonts w:ascii="Times New Roman" w:hAnsi="Times New Roman" w:cs="Times New Roman"/>
          <w:lang w:val="pt-BR"/>
        </w:rPr>
      </w:pPr>
      <w:r w:rsidRPr="00894560">
        <w:rPr>
          <w:rFonts w:ascii="Times New Roman" w:hAnsi="Times New Roman" w:cs="Times New Roman"/>
          <w:lang w:val="pt-BR"/>
        </w:rPr>
        <w:t>Fonte: Elaboração própria</w:t>
      </w:r>
    </w:p>
    <w:p w14:paraId="37C2B839" w14:textId="77777777" w:rsidR="000E18FB" w:rsidRDefault="000E18FB" w:rsidP="00524517">
      <w:pPr>
        <w:ind w:firstLine="0"/>
        <w:jc w:val="center"/>
        <w:rPr>
          <w:rFonts w:ascii="Times New Roman" w:hAnsi="Times New Roman" w:cs="Times New Roman"/>
          <w:sz w:val="22"/>
          <w:szCs w:val="22"/>
          <w:lang w:val="pt-BR"/>
        </w:rPr>
      </w:pPr>
    </w:p>
    <w:p w14:paraId="0D47A8E6" w14:textId="77777777" w:rsidR="00497F1E" w:rsidRPr="00D02B4D" w:rsidRDefault="00497F1E" w:rsidP="00524517">
      <w:pPr>
        <w:rPr>
          <w:rFonts w:ascii="Times New Roman" w:hAnsi="Times New Roman" w:cs="Times New Roman"/>
          <w:sz w:val="24"/>
          <w:szCs w:val="24"/>
          <w:lang w:val="pt-BR"/>
        </w:rPr>
      </w:pPr>
      <w:r w:rsidRPr="00D02B4D">
        <w:rPr>
          <w:rFonts w:ascii="Times New Roman" w:hAnsi="Times New Roman" w:cs="Times New Roman"/>
          <w:sz w:val="24"/>
          <w:szCs w:val="24"/>
          <w:lang w:val="pt-BR"/>
        </w:rPr>
        <w:t xml:space="preserve">As variáveis foram escolhidas em função da sua importância, segundo o objetivo do índice, assim como pela sua publicidade periódica pelos órgãos oficiais (TCERJ, SEFAZ-RJ, RAIS, BCB, IBGE e Transparência Federal). </w:t>
      </w:r>
    </w:p>
    <w:p w14:paraId="71749480" w14:textId="6BA5F923" w:rsidR="00D02B4D" w:rsidRDefault="00497F1E" w:rsidP="00524517">
      <w:pPr>
        <w:rPr>
          <w:rFonts w:ascii="Times New Roman" w:hAnsi="Times New Roman" w:cs="Times New Roman"/>
          <w:sz w:val="24"/>
          <w:szCs w:val="24"/>
          <w:lang w:val="pt-BR"/>
        </w:rPr>
      </w:pPr>
      <w:r w:rsidRPr="00D02B4D">
        <w:rPr>
          <w:rFonts w:ascii="Times New Roman" w:hAnsi="Times New Roman" w:cs="Times New Roman"/>
          <w:sz w:val="24"/>
          <w:szCs w:val="24"/>
          <w:lang w:val="pt-BR"/>
        </w:rPr>
        <w:t>Quanto ao padrão comparativo no nível nacional, justifica-se pela abrangência de atuação e inferência do índice. A mesma metodologia pode ser aplicada para todos os munícipios do país.</w:t>
      </w:r>
    </w:p>
    <w:p w14:paraId="786CAFAC" w14:textId="77777777" w:rsidR="000E18FB" w:rsidRDefault="000E18FB" w:rsidP="00524517">
      <w:pPr>
        <w:ind w:firstLine="0"/>
        <w:rPr>
          <w:rFonts w:ascii="Times New Roman" w:hAnsi="Times New Roman" w:cs="Times New Roman"/>
          <w:sz w:val="24"/>
          <w:szCs w:val="24"/>
          <w:lang w:val="pt-BR"/>
        </w:rPr>
      </w:pPr>
    </w:p>
    <w:p w14:paraId="2A3090CF" w14:textId="3A201EEE" w:rsidR="00497F1E" w:rsidRPr="00D02B4D" w:rsidRDefault="00D02B4D" w:rsidP="00524517">
      <w:pPr>
        <w:ind w:firstLine="0"/>
        <w:rPr>
          <w:rFonts w:ascii="Times New Roman" w:hAnsi="Times New Roman" w:cs="Times New Roman"/>
          <w:b/>
          <w:sz w:val="24"/>
          <w:szCs w:val="24"/>
          <w:lang w:val="pt-BR"/>
        </w:rPr>
      </w:pPr>
      <w:r>
        <w:rPr>
          <w:rFonts w:ascii="Times New Roman" w:hAnsi="Times New Roman" w:cs="Times New Roman"/>
          <w:b/>
          <w:sz w:val="24"/>
          <w:szCs w:val="24"/>
          <w:lang w:val="pt-BR"/>
        </w:rPr>
        <w:t xml:space="preserve">3.1 </w:t>
      </w:r>
      <w:r w:rsidR="00623DAA">
        <w:rPr>
          <w:rFonts w:ascii="Times New Roman" w:hAnsi="Times New Roman" w:cs="Times New Roman"/>
          <w:b/>
          <w:sz w:val="24"/>
          <w:szCs w:val="24"/>
          <w:lang w:val="pt-BR"/>
        </w:rPr>
        <w:t>Estrutura</w:t>
      </w:r>
      <w:r w:rsidR="00497F1E" w:rsidRPr="00D02B4D">
        <w:rPr>
          <w:rFonts w:ascii="Times New Roman" w:hAnsi="Times New Roman" w:cs="Times New Roman"/>
          <w:b/>
          <w:sz w:val="24"/>
          <w:szCs w:val="24"/>
          <w:lang w:val="pt-BR"/>
        </w:rPr>
        <w:t xml:space="preserve"> metodológica</w:t>
      </w:r>
    </w:p>
    <w:p w14:paraId="24302586" w14:textId="77777777" w:rsidR="00497F1E" w:rsidRPr="00D02B4D" w:rsidRDefault="00497F1E" w:rsidP="00524517">
      <w:pPr>
        <w:ind w:firstLine="0"/>
        <w:rPr>
          <w:rFonts w:ascii="Times New Roman" w:hAnsi="Times New Roman" w:cs="Times New Roman"/>
          <w:b/>
          <w:i/>
          <w:sz w:val="24"/>
          <w:szCs w:val="24"/>
          <w:lang w:val="pt-BR"/>
        </w:rPr>
      </w:pPr>
      <w:r w:rsidRPr="00D02B4D">
        <w:rPr>
          <w:rFonts w:ascii="Times New Roman" w:hAnsi="Times New Roman" w:cs="Times New Roman"/>
          <w:b/>
          <w:i/>
          <w:sz w:val="24"/>
          <w:szCs w:val="24"/>
          <w:lang w:val="pt-BR"/>
        </w:rPr>
        <w:t>Investimento público</w:t>
      </w:r>
    </w:p>
    <w:p w14:paraId="661C54BA" w14:textId="77777777" w:rsidR="00497F1E" w:rsidRPr="00D02B4D" w:rsidRDefault="00497F1E" w:rsidP="00524517">
      <w:pPr>
        <w:rPr>
          <w:rFonts w:ascii="Times New Roman" w:hAnsi="Times New Roman" w:cs="Times New Roman"/>
          <w:sz w:val="24"/>
          <w:szCs w:val="24"/>
          <w:lang w:val="pt-BR"/>
        </w:rPr>
      </w:pPr>
      <w:r w:rsidRPr="00D02B4D">
        <w:rPr>
          <w:rFonts w:ascii="Times New Roman" w:hAnsi="Times New Roman" w:cs="Times New Roman"/>
          <w:sz w:val="24"/>
          <w:szCs w:val="24"/>
          <w:lang w:val="pt-BR"/>
        </w:rPr>
        <w:t>O índice correspondente ao investimento público é apurado pela divisão dos gastos em investimento sobre as receitas correntes realizadas no período analisado. O resultado é comparado com o padrão médio de 20% enquanto percentual indicado na literatura econômica para o investimento na equação (PIB= C + I), de modo que o consumo representa em média 80% do total.</w:t>
      </w:r>
    </w:p>
    <w:p w14:paraId="1C673834" w14:textId="3EE3E56D" w:rsidR="00212697" w:rsidRDefault="00497F1E" w:rsidP="00524517">
      <w:pPr>
        <w:rPr>
          <w:rFonts w:ascii="Times New Roman" w:hAnsi="Times New Roman" w:cs="Times New Roman"/>
          <w:sz w:val="24"/>
          <w:szCs w:val="24"/>
          <w:lang w:val="pt-BR"/>
        </w:rPr>
      </w:pPr>
      <w:r w:rsidRPr="00D02B4D">
        <w:rPr>
          <w:rFonts w:ascii="Times New Roman" w:hAnsi="Times New Roman" w:cs="Times New Roman"/>
          <w:sz w:val="24"/>
          <w:szCs w:val="24"/>
          <w:lang w:val="pt-BR"/>
        </w:rPr>
        <w:t xml:space="preserve">Complementarmente, o índice é expandido para aferição de sua participação no valor adicionado fiscal, resultado da média do investimento a partir de 2001 na comparação do valor realizado em relação ao valor orçado. O índice médio do investimento público corresponde à média aritmética dos quatro elementos considerados. </w:t>
      </w:r>
    </w:p>
    <w:p w14:paraId="07CCE5D8" w14:textId="77777777" w:rsidR="002562EA" w:rsidRDefault="002562EA" w:rsidP="00524517">
      <w:pPr>
        <w:rPr>
          <w:rFonts w:ascii="Times New Roman" w:hAnsi="Times New Roman" w:cs="Times New Roman"/>
          <w:sz w:val="24"/>
          <w:szCs w:val="24"/>
          <w:lang w:val="pt-BR"/>
        </w:rPr>
      </w:pPr>
    </w:p>
    <w:p w14:paraId="5A9A49C3" w14:textId="77777777" w:rsidR="002562EA" w:rsidRDefault="002562EA" w:rsidP="00524517">
      <w:pPr>
        <w:rPr>
          <w:rFonts w:ascii="Times New Roman" w:hAnsi="Times New Roman" w:cs="Times New Roman"/>
          <w:sz w:val="24"/>
          <w:szCs w:val="24"/>
          <w:lang w:val="pt-BR"/>
        </w:rPr>
      </w:pPr>
    </w:p>
    <w:p w14:paraId="4A402D0B" w14:textId="77777777" w:rsidR="00497F1E" w:rsidRPr="00D02B4D" w:rsidRDefault="00497F1E" w:rsidP="00524517">
      <w:pPr>
        <w:ind w:firstLine="0"/>
        <w:rPr>
          <w:rFonts w:ascii="Times New Roman" w:hAnsi="Times New Roman" w:cs="Times New Roman"/>
          <w:b/>
          <w:i/>
          <w:sz w:val="24"/>
          <w:szCs w:val="24"/>
          <w:lang w:val="pt-BR"/>
        </w:rPr>
      </w:pPr>
      <w:r w:rsidRPr="00D02B4D">
        <w:rPr>
          <w:rFonts w:ascii="Times New Roman" w:hAnsi="Times New Roman" w:cs="Times New Roman"/>
          <w:b/>
          <w:i/>
          <w:sz w:val="24"/>
          <w:szCs w:val="24"/>
          <w:lang w:val="pt-BR"/>
        </w:rPr>
        <w:lastRenderedPageBreak/>
        <w:t>Imposto sobre Circulação de Mercadorias e Serviços - ICMS</w:t>
      </w:r>
    </w:p>
    <w:p w14:paraId="1B0CE401" w14:textId="76C19F68" w:rsidR="00497F1E" w:rsidRPr="00D02B4D" w:rsidRDefault="00497F1E" w:rsidP="00524517">
      <w:pPr>
        <w:rPr>
          <w:rFonts w:ascii="Times New Roman" w:hAnsi="Times New Roman" w:cs="Times New Roman"/>
          <w:sz w:val="24"/>
          <w:szCs w:val="24"/>
          <w:lang w:val="pt-BR"/>
        </w:rPr>
      </w:pPr>
      <w:r w:rsidRPr="00D02B4D">
        <w:rPr>
          <w:rFonts w:ascii="Times New Roman" w:hAnsi="Times New Roman" w:cs="Times New Roman"/>
          <w:sz w:val="24"/>
          <w:szCs w:val="24"/>
          <w:lang w:val="pt-BR"/>
        </w:rPr>
        <w:t>A variável “Imposto sobre Circulação de Mercadorias e Serviços – ICMS”, além da sua fácil disponibilidade, é de extrema representatividade em relação à movimentação econômica interna nos munícipios. A sua distribuição é definida pela Constituição Federal (art. 158), que estabelece o percentual de 25% do montante arrecadado para os municípios. Conceituada como Quota-Parte Municipal do ICMS (QPM-ICMS), tem como base os seguintes critérios de distribuição: 75% de acordo com o valor adicionado (relativos aos setores da indústria, comércio, serviços e agropecuário) de cada município e, no caso do estado do Rio de Janeiro, 25% distribuídos de acordo com a população, área geográfica, receitas tributárias próprias, cota mí</w:t>
      </w:r>
      <w:r w:rsidR="00AB2C0F">
        <w:rPr>
          <w:rFonts w:ascii="Times New Roman" w:hAnsi="Times New Roman" w:cs="Times New Roman"/>
          <w:sz w:val="24"/>
          <w:szCs w:val="24"/>
          <w:lang w:val="pt-BR"/>
        </w:rPr>
        <w:t>nima e ajuste econômico (Ribeiro</w:t>
      </w:r>
      <w:r w:rsidRPr="00D02B4D">
        <w:rPr>
          <w:rFonts w:ascii="Times New Roman" w:hAnsi="Times New Roman" w:cs="Times New Roman"/>
          <w:sz w:val="24"/>
          <w:szCs w:val="24"/>
          <w:lang w:val="pt-BR"/>
        </w:rPr>
        <w:t>, 2019).</w:t>
      </w:r>
    </w:p>
    <w:p w14:paraId="5893A825" w14:textId="77777777" w:rsidR="00497F1E" w:rsidRPr="00D02B4D" w:rsidRDefault="00497F1E" w:rsidP="00524517">
      <w:pPr>
        <w:rPr>
          <w:rFonts w:ascii="Times New Roman" w:hAnsi="Times New Roman" w:cs="Times New Roman"/>
          <w:sz w:val="24"/>
          <w:szCs w:val="24"/>
          <w:lang w:val="pt-BR"/>
        </w:rPr>
      </w:pPr>
      <w:r w:rsidRPr="00D02B4D">
        <w:rPr>
          <w:rFonts w:ascii="Times New Roman" w:hAnsi="Times New Roman" w:cs="Times New Roman"/>
          <w:sz w:val="24"/>
          <w:szCs w:val="24"/>
          <w:lang w:val="pt-BR"/>
        </w:rPr>
        <w:t>O índice é apurado através da divisão do valor da receita de ICMS pelo valor das receitas correntes realizadas, com o resultado comparado ao padrão relativo à carga tributária do país no mesmo período.</w:t>
      </w:r>
    </w:p>
    <w:p w14:paraId="33A66C9B" w14:textId="77777777" w:rsidR="00497F1E" w:rsidRDefault="00497F1E" w:rsidP="00524517">
      <w:pPr>
        <w:rPr>
          <w:rFonts w:ascii="Times New Roman" w:hAnsi="Times New Roman" w:cs="Times New Roman"/>
          <w:sz w:val="24"/>
          <w:szCs w:val="24"/>
          <w:lang w:val="pt-BR"/>
        </w:rPr>
      </w:pPr>
      <w:r w:rsidRPr="00D02B4D">
        <w:rPr>
          <w:rFonts w:ascii="Times New Roman" w:hAnsi="Times New Roman" w:cs="Times New Roman"/>
          <w:sz w:val="24"/>
          <w:szCs w:val="24"/>
          <w:lang w:val="pt-BR"/>
        </w:rPr>
        <w:t xml:space="preserve">Neste caso, o índice também é expandido para aferição da sua participação nas transferências correntes, em relação ao valor adicionado fiscal e na relação entre o realizado com o orçado. O índice médio de ICMS é a média aritmética dos quatro elementos considerados. </w:t>
      </w:r>
    </w:p>
    <w:p w14:paraId="12A155FF" w14:textId="77777777" w:rsidR="00497F1E" w:rsidRPr="00D02B4D" w:rsidRDefault="00497F1E" w:rsidP="00524517">
      <w:pPr>
        <w:ind w:firstLine="0"/>
        <w:rPr>
          <w:rFonts w:ascii="Times New Roman" w:hAnsi="Times New Roman" w:cs="Times New Roman"/>
          <w:b/>
          <w:i/>
          <w:sz w:val="24"/>
          <w:szCs w:val="24"/>
          <w:lang w:val="pt-BR"/>
        </w:rPr>
      </w:pPr>
      <w:r w:rsidRPr="00D02B4D">
        <w:rPr>
          <w:rFonts w:ascii="Times New Roman" w:hAnsi="Times New Roman" w:cs="Times New Roman"/>
          <w:b/>
          <w:i/>
          <w:sz w:val="24"/>
          <w:szCs w:val="24"/>
          <w:lang w:val="pt-BR"/>
        </w:rPr>
        <w:t>Estoque de emprego e renda no comércio</w:t>
      </w:r>
    </w:p>
    <w:p w14:paraId="526CC963" w14:textId="3A66C347" w:rsidR="00497F1E" w:rsidRPr="00D02B4D" w:rsidRDefault="00497F1E" w:rsidP="00524517">
      <w:pPr>
        <w:rPr>
          <w:rFonts w:ascii="Times New Roman" w:hAnsi="Times New Roman" w:cs="Times New Roman"/>
          <w:sz w:val="24"/>
          <w:szCs w:val="24"/>
          <w:lang w:val="pt-BR"/>
        </w:rPr>
      </w:pPr>
      <w:r w:rsidRPr="00D02B4D">
        <w:rPr>
          <w:rFonts w:ascii="Times New Roman" w:hAnsi="Times New Roman" w:cs="Times New Roman"/>
          <w:sz w:val="24"/>
          <w:szCs w:val="24"/>
          <w:lang w:val="pt-BR"/>
        </w:rPr>
        <w:t>A variável, estoque de emprego e renda no comércio, apresenta características fixadoras de riqueza localmente. O emprego total, normalmente utilizado como elemento de geração de riqueza, pode gerar distorções importantes em regiões dependentes de grandes investimentos de base em recursos naturais. Nestas, são contabilizados grandes estoques de vínculos de</w:t>
      </w:r>
      <w:r w:rsidR="00CF4318">
        <w:rPr>
          <w:rFonts w:ascii="Times New Roman" w:hAnsi="Times New Roman" w:cs="Times New Roman"/>
          <w:sz w:val="24"/>
          <w:szCs w:val="24"/>
          <w:lang w:val="pt-BR"/>
        </w:rPr>
        <w:t xml:space="preserve"> emprego e renda correspondente</w:t>
      </w:r>
      <w:r w:rsidRPr="00D02B4D">
        <w:rPr>
          <w:rFonts w:ascii="Times New Roman" w:hAnsi="Times New Roman" w:cs="Times New Roman"/>
          <w:sz w:val="24"/>
          <w:szCs w:val="24"/>
          <w:lang w:val="pt-BR"/>
        </w:rPr>
        <w:t xml:space="preserve"> que apr</w:t>
      </w:r>
      <w:r w:rsidR="00CF4318">
        <w:rPr>
          <w:rFonts w:ascii="Times New Roman" w:hAnsi="Times New Roman" w:cs="Times New Roman"/>
          <w:sz w:val="24"/>
          <w:szCs w:val="24"/>
          <w:lang w:val="pt-BR"/>
        </w:rPr>
        <w:t>esentam característica fugaz e</w:t>
      </w:r>
      <w:r w:rsidRPr="00D02B4D">
        <w:rPr>
          <w:rFonts w:ascii="Times New Roman" w:hAnsi="Times New Roman" w:cs="Times New Roman"/>
          <w:sz w:val="24"/>
          <w:szCs w:val="24"/>
          <w:lang w:val="pt-BR"/>
        </w:rPr>
        <w:t xml:space="preserve"> não dinamizam a economia local. Daí a opção pelo emprego e renda no comércio como estratégia para isolar tais distorções. O índice equivale ao resultado da divisão entre o estoque de emprego e renda no comércio local pelo estoque de emprego e renda total, comparativamente à mesma relação proporcional no âmbito do país. </w:t>
      </w:r>
    </w:p>
    <w:p w14:paraId="3276CC2F" w14:textId="77777777" w:rsidR="00497F1E" w:rsidRPr="00D02B4D" w:rsidRDefault="00497F1E" w:rsidP="00524517">
      <w:pPr>
        <w:ind w:firstLine="0"/>
        <w:rPr>
          <w:rFonts w:ascii="Times New Roman" w:hAnsi="Times New Roman" w:cs="Times New Roman"/>
          <w:b/>
          <w:i/>
          <w:sz w:val="24"/>
          <w:szCs w:val="24"/>
          <w:lang w:val="pt-BR"/>
        </w:rPr>
      </w:pPr>
      <w:r w:rsidRPr="00D02B4D">
        <w:rPr>
          <w:rFonts w:ascii="Times New Roman" w:hAnsi="Times New Roman" w:cs="Times New Roman"/>
          <w:b/>
          <w:i/>
          <w:sz w:val="24"/>
          <w:szCs w:val="24"/>
          <w:lang w:val="pt-BR"/>
        </w:rPr>
        <w:t>Movimentação bancária</w:t>
      </w:r>
    </w:p>
    <w:p w14:paraId="6A07A680" w14:textId="327A94D9" w:rsidR="00497F1E" w:rsidRPr="00D02B4D" w:rsidRDefault="00497F1E" w:rsidP="00524517">
      <w:pPr>
        <w:rPr>
          <w:rFonts w:ascii="Times New Roman" w:hAnsi="Times New Roman" w:cs="Times New Roman"/>
          <w:sz w:val="24"/>
          <w:szCs w:val="24"/>
          <w:lang w:val="pt-BR"/>
        </w:rPr>
      </w:pPr>
      <w:r w:rsidRPr="00D02B4D">
        <w:rPr>
          <w:rFonts w:ascii="Times New Roman" w:hAnsi="Times New Roman" w:cs="Times New Roman"/>
          <w:sz w:val="24"/>
          <w:szCs w:val="24"/>
          <w:lang w:val="pt-BR"/>
        </w:rPr>
        <w:t>O quarto índice, referente à movimentação bancária, é composto pela divisão do valor das operações de crédito sobre o ativo total no local, confrontado com a mesma relação no âmbito do país. Em adição, o valor correspondente ao depósito total (depósitos a vista, a prazo e poupança) é dividido pelo passivo total no local, confrontado com a mesma relação no âmbito do país. O índice médio correspondente é a média dos dois parâmetros considerados.</w:t>
      </w:r>
    </w:p>
    <w:p w14:paraId="6C0CA3D1" w14:textId="77777777" w:rsidR="002562EA" w:rsidRDefault="002562EA" w:rsidP="00524517">
      <w:pPr>
        <w:ind w:firstLine="0"/>
        <w:rPr>
          <w:rFonts w:ascii="Times New Roman" w:hAnsi="Times New Roman" w:cs="Times New Roman"/>
          <w:b/>
          <w:i/>
          <w:sz w:val="24"/>
          <w:szCs w:val="24"/>
          <w:lang w:val="pt-BR"/>
        </w:rPr>
      </w:pPr>
    </w:p>
    <w:p w14:paraId="428B72E3" w14:textId="77777777" w:rsidR="00497F1E" w:rsidRPr="00D02B4D" w:rsidRDefault="00497F1E" w:rsidP="00524517">
      <w:pPr>
        <w:ind w:firstLine="0"/>
        <w:rPr>
          <w:rFonts w:ascii="Times New Roman" w:hAnsi="Times New Roman" w:cs="Times New Roman"/>
          <w:b/>
          <w:i/>
          <w:sz w:val="24"/>
          <w:szCs w:val="24"/>
          <w:lang w:val="pt-BR"/>
        </w:rPr>
      </w:pPr>
      <w:r w:rsidRPr="00D02B4D">
        <w:rPr>
          <w:rFonts w:ascii="Times New Roman" w:hAnsi="Times New Roman" w:cs="Times New Roman"/>
          <w:b/>
          <w:i/>
          <w:sz w:val="24"/>
          <w:szCs w:val="24"/>
          <w:lang w:val="pt-BR"/>
        </w:rPr>
        <w:lastRenderedPageBreak/>
        <w:t>Vulnerabilidade (-1)</w:t>
      </w:r>
    </w:p>
    <w:p w14:paraId="7AC34800" w14:textId="77777777" w:rsidR="00497F1E" w:rsidRDefault="00497F1E" w:rsidP="00524517">
      <w:pPr>
        <w:rPr>
          <w:rFonts w:ascii="Times New Roman" w:hAnsi="Times New Roman" w:cs="Times New Roman"/>
          <w:sz w:val="24"/>
          <w:szCs w:val="24"/>
          <w:lang w:val="pt-BR"/>
        </w:rPr>
      </w:pPr>
      <w:r w:rsidRPr="00D02B4D">
        <w:rPr>
          <w:rFonts w:ascii="Times New Roman" w:hAnsi="Times New Roman" w:cs="Times New Roman"/>
          <w:sz w:val="24"/>
          <w:szCs w:val="24"/>
          <w:lang w:val="pt-BR"/>
        </w:rPr>
        <w:t>O índice de vulnerabilidade (-1) representa a parcela relativa complementar ao grupo vulnerável. A aferição considera a relação do grupo de beneficiários no cadastro do governo federal no estoque da população apta ao trabalho (faixa de 16 a 59 anos). O resultado é confrontado com a mesma relação no âmbito do país, atingindo o índice médio correspondente.</w:t>
      </w:r>
    </w:p>
    <w:p w14:paraId="30AE2A87" w14:textId="77777777" w:rsidR="00497F1E" w:rsidRPr="00D02B4D" w:rsidRDefault="00497F1E" w:rsidP="00524517">
      <w:pPr>
        <w:ind w:firstLine="0"/>
        <w:rPr>
          <w:rFonts w:ascii="Times New Roman" w:hAnsi="Times New Roman" w:cs="Times New Roman"/>
          <w:b/>
          <w:i/>
          <w:sz w:val="24"/>
          <w:szCs w:val="24"/>
          <w:lang w:val="pt-BR"/>
        </w:rPr>
      </w:pPr>
      <w:r w:rsidRPr="00D02B4D">
        <w:rPr>
          <w:rFonts w:ascii="Times New Roman" w:hAnsi="Times New Roman" w:cs="Times New Roman"/>
          <w:b/>
          <w:i/>
          <w:sz w:val="24"/>
          <w:szCs w:val="24"/>
          <w:lang w:val="pt-BR"/>
        </w:rPr>
        <w:t>Índice geral consolidado</w:t>
      </w:r>
    </w:p>
    <w:p w14:paraId="24A240B5" w14:textId="0836484E" w:rsidR="00497F1E" w:rsidRPr="00C53E00" w:rsidRDefault="00497F1E" w:rsidP="00524517">
      <w:pPr>
        <w:rPr>
          <w:rFonts w:ascii="Times New Roman" w:hAnsi="Times New Roman" w:cs="Times New Roman"/>
          <w:sz w:val="24"/>
          <w:szCs w:val="24"/>
          <w:lang w:val="pt-BR"/>
        </w:rPr>
      </w:pPr>
      <w:r w:rsidRPr="00C53E00">
        <w:rPr>
          <w:rFonts w:ascii="Times New Roman" w:hAnsi="Times New Roman" w:cs="Times New Roman"/>
          <w:sz w:val="24"/>
          <w:szCs w:val="24"/>
          <w:lang w:val="pt-BR"/>
        </w:rPr>
        <w:t>Complementarmente foram definidos pesos na composição dos índices finais, cuja definição se baseou nos princípios de Auxilio Multicritério a Decisão (AMD), fundamentalmente, no método de Análise Hierárquica de Processo (AHP) desenvolvido por Saaty (1988). O método fornece uma base para comparar múltiplos critérios de tomada de decisão em uma estrutura matemática, criando uma estrutura hierárq</w:t>
      </w:r>
      <w:r w:rsidR="004C6A22">
        <w:rPr>
          <w:rFonts w:ascii="Times New Roman" w:hAnsi="Times New Roman" w:cs="Times New Roman"/>
          <w:sz w:val="24"/>
          <w:szCs w:val="24"/>
          <w:lang w:val="pt-BR"/>
        </w:rPr>
        <w:t>uica para a melhor escolha</w:t>
      </w:r>
      <w:r w:rsidR="00C109E0">
        <w:rPr>
          <w:rFonts w:ascii="Times New Roman" w:hAnsi="Times New Roman" w:cs="Times New Roman"/>
          <w:sz w:val="24"/>
          <w:szCs w:val="24"/>
          <w:lang w:val="pt-BR"/>
        </w:rPr>
        <w:t>.</w:t>
      </w:r>
    </w:p>
    <w:p w14:paraId="7F99140D" w14:textId="506BDC1F" w:rsidR="00497F1E" w:rsidRPr="00C53E00" w:rsidRDefault="00497F1E" w:rsidP="00524517">
      <w:pPr>
        <w:rPr>
          <w:rFonts w:ascii="Times New Roman" w:hAnsi="Times New Roman" w:cs="Times New Roman"/>
          <w:sz w:val="24"/>
          <w:szCs w:val="24"/>
          <w:lang w:val="pt-BR"/>
        </w:rPr>
      </w:pPr>
      <w:r w:rsidRPr="00C53E00">
        <w:rPr>
          <w:rFonts w:ascii="Times New Roman" w:hAnsi="Times New Roman" w:cs="Times New Roman"/>
          <w:sz w:val="24"/>
          <w:szCs w:val="24"/>
          <w:lang w:val="pt-BR"/>
        </w:rPr>
        <w:t>As tabelas a seguir apresentam o processo de aplicação do AHP. Os fatores condicionantes foram d</w:t>
      </w:r>
      <w:r w:rsidR="00C109E0">
        <w:rPr>
          <w:rFonts w:ascii="Times New Roman" w:hAnsi="Times New Roman" w:cs="Times New Roman"/>
          <w:sz w:val="24"/>
          <w:szCs w:val="24"/>
          <w:lang w:val="pt-BR"/>
        </w:rPr>
        <w:t>ispostos em uma matriz comparado</w:t>
      </w:r>
      <w:r w:rsidRPr="00C53E00">
        <w:rPr>
          <w:rFonts w:ascii="Times New Roman" w:hAnsi="Times New Roman" w:cs="Times New Roman"/>
          <w:sz w:val="24"/>
          <w:szCs w:val="24"/>
          <w:lang w:val="pt-BR"/>
        </w:rPr>
        <w:t xml:space="preserve">s </w:t>
      </w:r>
      <w:r w:rsidR="00C109E0">
        <w:rPr>
          <w:rFonts w:ascii="Times New Roman" w:hAnsi="Times New Roman" w:cs="Times New Roman"/>
          <w:sz w:val="24"/>
          <w:szCs w:val="24"/>
          <w:lang w:val="pt-BR"/>
        </w:rPr>
        <w:t>paritariamente. Os</w:t>
      </w:r>
      <w:r w:rsidRPr="00C53E00">
        <w:rPr>
          <w:rFonts w:ascii="Times New Roman" w:hAnsi="Times New Roman" w:cs="Times New Roman"/>
          <w:sz w:val="24"/>
          <w:szCs w:val="24"/>
          <w:lang w:val="pt-BR"/>
        </w:rPr>
        <w:t xml:space="preserve"> fatores foram julgados quanto a influencia </w:t>
      </w:r>
      <w:r w:rsidR="004D33F3">
        <w:rPr>
          <w:rFonts w:ascii="Times New Roman" w:hAnsi="Times New Roman" w:cs="Times New Roman"/>
          <w:sz w:val="24"/>
          <w:szCs w:val="24"/>
          <w:lang w:val="pt-BR"/>
        </w:rPr>
        <w:t>d</w:t>
      </w:r>
      <w:r w:rsidRPr="00C53E00">
        <w:rPr>
          <w:rFonts w:ascii="Times New Roman" w:hAnsi="Times New Roman" w:cs="Times New Roman"/>
          <w:sz w:val="24"/>
          <w:szCs w:val="24"/>
          <w:lang w:val="pt-BR"/>
        </w:rPr>
        <w:t>a ocorrência, conforme os critérios de importância da escala fundamental de Saaty</w:t>
      </w:r>
      <w:r w:rsidR="004D33F3">
        <w:rPr>
          <w:rFonts w:ascii="Times New Roman" w:hAnsi="Times New Roman" w:cs="Times New Roman"/>
          <w:sz w:val="24"/>
          <w:szCs w:val="24"/>
          <w:lang w:val="pt-BR"/>
        </w:rPr>
        <w:t xml:space="preserve"> (op. cit.)</w:t>
      </w:r>
      <w:r w:rsidRPr="00C53E00">
        <w:rPr>
          <w:rFonts w:ascii="Times New Roman" w:hAnsi="Times New Roman" w:cs="Times New Roman"/>
          <w:sz w:val="24"/>
          <w:szCs w:val="24"/>
          <w:lang w:val="pt-BR"/>
        </w:rPr>
        <w:t>.</w:t>
      </w:r>
    </w:p>
    <w:p w14:paraId="2EA32EAF" w14:textId="77777777" w:rsidR="00497F1E" w:rsidRDefault="00497F1E" w:rsidP="00524517">
      <w:pPr>
        <w:rPr>
          <w:rFonts w:ascii="Times New Roman" w:hAnsi="Times New Roman" w:cs="Times New Roman"/>
          <w:sz w:val="24"/>
          <w:szCs w:val="24"/>
          <w:lang w:val="pt-BR"/>
        </w:rPr>
      </w:pPr>
      <w:r w:rsidRPr="00C53E00">
        <w:rPr>
          <w:rFonts w:ascii="Times New Roman" w:hAnsi="Times New Roman" w:cs="Times New Roman"/>
          <w:sz w:val="24"/>
          <w:szCs w:val="24"/>
          <w:lang w:val="pt-BR"/>
        </w:rPr>
        <w:t>Posteriormente ao preenchimento da matriz de comparação pareada, pode-se definir o vetor de pesos relacionado à matriz. Cada elemento representa a importância de cada fator comparativamente aos demais.</w:t>
      </w:r>
    </w:p>
    <w:p w14:paraId="690DA5FD" w14:textId="77777777" w:rsidR="00524517" w:rsidRDefault="00524517" w:rsidP="00760876">
      <w:pPr>
        <w:ind w:firstLine="0"/>
        <w:rPr>
          <w:rFonts w:ascii="Times New Roman" w:hAnsi="Times New Roman" w:cs="Times New Roman"/>
          <w:sz w:val="24"/>
          <w:szCs w:val="24"/>
          <w:lang w:val="pt-BR"/>
        </w:rPr>
      </w:pPr>
    </w:p>
    <w:p w14:paraId="40D7F319" w14:textId="77777777" w:rsidR="00760876" w:rsidRDefault="00760876" w:rsidP="00760876">
      <w:pPr>
        <w:ind w:firstLine="0"/>
        <w:rPr>
          <w:rFonts w:ascii="Times New Roman" w:hAnsi="Times New Roman" w:cs="Times New Roman"/>
          <w:sz w:val="24"/>
          <w:szCs w:val="24"/>
          <w:lang w:val="pt-BR"/>
        </w:rPr>
      </w:pPr>
    </w:p>
    <w:p w14:paraId="3795CBFE" w14:textId="77777777" w:rsidR="00760876" w:rsidRDefault="00760876" w:rsidP="00760876">
      <w:pPr>
        <w:ind w:firstLine="0"/>
        <w:rPr>
          <w:rFonts w:ascii="Times New Roman" w:hAnsi="Times New Roman" w:cs="Times New Roman"/>
          <w:sz w:val="24"/>
          <w:szCs w:val="24"/>
          <w:lang w:val="pt-BR"/>
        </w:rPr>
      </w:pPr>
    </w:p>
    <w:p w14:paraId="08BF94D0" w14:textId="77777777" w:rsidR="00760876" w:rsidRDefault="00760876" w:rsidP="00760876">
      <w:pPr>
        <w:ind w:firstLine="0"/>
        <w:rPr>
          <w:rFonts w:ascii="Times New Roman" w:hAnsi="Times New Roman" w:cs="Times New Roman"/>
          <w:sz w:val="24"/>
          <w:szCs w:val="24"/>
          <w:lang w:val="pt-BR"/>
        </w:rPr>
      </w:pPr>
    </w:p>
    <w:p w14:paraId="38BC9241" w14:textId="77777777" w:rsidR="00760876" w:rsidRDefault="00760876" w:rsidP="00760876">
      <w:pPr>
        <w:ind w:firstLine="0"/>
        <w:rPr>
          <w:rFonts w:ascii="Times New Roman" w:hAnsi="Times New Roman" w:cs="Times New Roman"/>
          <w:sz w:val="24"/>
          <w:szCs w:val="24"/>
          <w:lang w:val="pt-BR"/>
        </w:rPr>
      </w:pPr>
    </w:p>
    <w:p w14:paraId="3543A546" w14:textId="77777777" w:rsidR="00760876" w:rsidRDefault="00760876" w:rsidP="00760876">
      <w:pPr>
        <w:ind w:firstLine="0"/>
        <w:rPr>
          <w:rFonts w:ascii="Times New Roman" w:hAnsi="Times New Roman" w:cs="Times New Roman"/>
          <w:sz w:val="24"/>
          <w:szCs w:val="24"/>
          <w:lang w:val="pt-BR"/>
        </w:rPr>
      </w:pPr>
    </w:p>
    <w:p w14:paraId="7F284A37" w14:textId="77777777" w:rsidR="00760876" w:rsidRDefault="00760876" w:rsidP="00760876">
      <w:pPr>
        <w:ind w:firstLine="0"/>
        <w:rPr>
          <w:rFonts w:ascii="Times New Roman" w:hAnsi="Times New Roman" w:cs="Times New Roman"/>
          <w:sz w:val="24"/>
          <w:szCs w:val="24"/>
          <w:lang w:val="pt-BR"/>
        </w:rPr>
      </w:pPr>
    </w:p>
    <w:p w14:paraId="47B40D60" w14:textId="77777777" w:rsidR="00760876" w:rsidRDefault="00760876" w:rsidP="00760876">
      <w:pPr>
        <w:ind w:firstLine="0"/>
        <w:rPr>
          <w:rFonts w:ascii="Times New Roman" w:hAnsi="Times New Roman" w:cs="Times New Roman"/>
          <w:sz w:val="24"/>
          <w:szCs w:val="24"/>
          <w:lang w:val="pt-BR"/>
        </w:rPr>
      </w:pPr>
    </w:p>
    <w:p w14:paraId="6171FD35" w14:textId="77777777" w:rsidR="00760876" w:rsidRDefault="00760876" w:rsidP="00760876">
      <w:pPr>
        <w:ind w:firstLine="0"/>
        <w:rPr>
          <w:rFonts w:ascii="Times New Roman" w:hAnsi="Times New Roman" w:cs="Times New Roman"/>
          <w:sz w:val="24"/>
          <w:szCs w:val="24"/>
          <w:lang w:val="pt-BR"/>
        </w:rPr>
      </w:pPr>
    </w:p>
    <w:p w14:paraId="6D0BB238" w14:textId="77777777" w:rsidR="00760876" w:rsidRDefault="00760876" w:rsidP="00760876">
      <w:pPr>
        <w:ind w:firstLine="0"/>
        <w:rPr>
          <w:rFonts w:ascii="Times New Roman" w:hAnsi="Times New Roman" w:cs="Times New Roman"/>
          <w:sz w:val="24"/>
          <w:szCs w:val="24"/>
          <w:lang w:val="pt-BR"/>
        </w:rPr>
      </w:pPr>
    </w:p>
    <w:p w14:paraId="74C0F19F" w14:textId="77777777" w:rsidR="00760876" w:rsidRDefault="00760876" w:rsidP="00760876">
      <w:pPr>
        <w:ind w:firstLine="0"/>
        <w:rPr>
          <w:rFonts w:ascii="Times New Roman" w:hAnsi="Times New Roman" w:cs="Times New Roman"/>
          <w:sz w:val="24"/>
          <w:szCs w:val="24"/>
          <w:lang w:val="pt-BR"/>
        </w:rPr>
      </w:pPr>
    </w:p>
    <w:p w14:paraId="29025487" w14:textId="77777777" w:rsidR="00760876" w:rsidRDefault="00760876" w:rsidP="00760876">
      <w:pPr>
        <w:ind w:firstLine="0"/>
        <w:rPr>
          <w:rFonts w:ascii="Times New Roman" w:hAnsi="Times New Roman" w:cs="Times New Roman"/>
          <w:sz w:val="24"/>
          <w:szCs w:val="24"/>
          <w:lang w:val="pt-BR"/>
        </w:rPr>
      </w:pPr>
    </w:p>
    <w:p w14:paraId="59718AF2" w14:textId="77777777" w:rsidR="00760876" w:rsidRDefault="00760876" w:rsidP="00760876">
      <w:pPr>
        <w:ind w:firstLine="0"/>
        <w:rPr>
          <w:rFonts w:ascii="Times New Roman" w:hAnsi="Times New Roman" w:cs="Times New Roman"/>
          <w:sz w:val="24"/>
          <w:szCs w:val="24"/>
          <w:lang w:val="pt-BR"/>
        </w:rPr>
      </w:pPr>
    </w:p>
    <w:p w14:paraId="37624386" w14:textId="77777777" w:rsidR="00760876" w:rsidRDefault="00760876" w:rsidP="00760876">
      <w:pPr>
        <w:ind w:firstLine="0"/>
        <w:rPr>
          <w:rFonts w:ascii="Times New Roman" w:hAnsi="Times New Roman" w:cs="Times New Roman"/>
          <w:sz w:val="24"/>
          <w:szCs w:val="24"/>
          <w:lang w:val="pt-BR"/>
        </w:rPr>
      </w:pPr>
    </w:p>
    <w:p w14:paraId="4BA5C562" w14:textId="39AD6F27" w:rsidR="00524517" w:rsidRPr="006C1CE0" w:rsidRDefault="00524517" w:rsidP="00524517">
      <w:pPr>
        <w:ind w:firstLine="0"/>
        <w:jc w:val="center"/>
        <w:rPr>
          <w:rFonts w:ascii="Times New Roman" w:hAnsi="Times New Roman" w:cs="Times New Roman"/>
          <w:lang w:val="pt-BR"/>
        </w:rPr>
      </w:pPr>
      <w:r w:rsidRPr="006C1CE0">
        <w:rPr>
          <w:rFonts w:ascii="Times New Roman" w:hAnsi="Times New Roman" w:cs="Times New Roman"/>
          <w:lang w:val="pt-BR"/>
        </w:rPr>
        <w:lastRenderedPageBreak/>
        <w:t xml:space="preserve">Figura 2 </w:t>
      </w:r>
      <w:r w:rsidR="00B7255D">
        <w:rPr>
          <w:rFonts w:ascii="Times New Roman" w:hAnsi="Times New Roman" w:cs="Times New Roman"/>
          <w:lang w:val="pt-BR"/>
        </w:rPr>
        <w:t>– Cálculo dos pesos as variáveis selecionadas</w:t>
      </w:r>
    </w:p>
    <w:p w14:paraId="4542C212" w14:textId="0DA0B35D" w:rsidR="00497F1E" w:rsidRPr="006C1CE0" w:rsidRDefault="00497F1E" w:rsidP="00524517">
      <w:pPr>
        <w:ind w:firstLine="0"/>
        <w:jc w:val="center"/>
        <w:rPr>
          <w:rFonts w:ascii="Times New Roman" w:hAnsi="Times New Roman" w:cs="Times New Roman"/>
        </w:rPr>
      </w:pPr>
      <w:r w:rsidRPr="006C1CE0">
        <w:rPr>
          <w:rFonts w:ascii="Times New Roman" w:hAnsi="Times New Roman" w:cs="Times New Roman"/>
          <w:noProof/>
          <w:lang w:val="pt-BR" w:eastAsia="pt-BR"/>
        </w:rPr>
        <w:drawing>
          <wp:inline distT="0" distB="0" distL="0" distR="0" wp14:anchorId="7EC60382" wp14:editId="0D8194E8">
            <wp:extent cx="5400040" cy="43454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400040" cy="4345450"/>
                    </a:xfrm>
                    <a:prstGeom prst="rect">
                      <a:avLst/>
                    </a:prstGeom>
                  </pic:spPr>
                </pic:pic>
              </a:graphicData>
            </a:graphic>
          </wp:inline>
        </w:drawing>
      </w:r>
    </w:p>
    <w:p w14:paraId="3E3596AD" w14:textId="28E22DC3" w:rsidR="00524517" w:rsidRPr="00C91B0A" w:rsidRDefault="00524517" w:rsidP="00524517">
      <w:pPr>
        <w:ind w:firstLine="0"/>
        <w:jc w:val="center"/>
        <w:rPr>
          <w:rFonts w:ascii="Times New Roman" w:hAnsi="Times New Roman" w:cs="Times New Roman"/>
          <w:lang w:val="pt-BR"/>
        </w:rPr>
      </w:pPr>
      <w:r w:rsidRPr="00C91B0A">
        <w:rPr>
          <w:rFonts w:ascii="Times New Roman" w:hAnsi="Times New Roman" w:cs="Times New Roman"/>
          <w:lang w:val="pt-BR"/>
        </w:rPr>
        <w:t>Fonte: Autoria própria</w:t>
      </w:r>
    </w:p>
    <w:p w14:paraId="29460D06" w14:textId="77777777" w:rsidR="006C1CE0" w:rsidRPr="00C91B0A" w:rsidRDefault="006C1CE0" w:rsidP="00524517">
      <w:pPr>
        <w:ind w:firstLine="0"/>
        <w:jc w:val="center"/>
        <w:rPr>
          <w:rFonts w:ascii="Times New Roman" w:hAnsi="Times New Roman" w:cs="Times New Roman"/>
          <w:lang w:val="pt-BR"/>
        </w:rPr>
      </w:pPr>
    </w:p>
    <w:p w14:paraId="2D1C05DB" w14:textId="77777777" w:rsidR="00497F1E" w:rsidRPr="00C53E00" w:rsidRDefault="00497F1E" w:rsidP="00524517">
      <w:pPr>
        <w:rPr>
          <w:rFonts w:ascii="Times New Roman" w:hAnsi="Times New Roman" w:cs="Times New Roman"/>
          <w:sz w:val="24"/>
          <w:szCs w:val="24"/>
          <w:lang w:val="pt-BR"/>
        </w:rPr>
      </w:pPr>
      <w:r w:rsidRPr="00C53E00">
        <w:rPr>
          <w:rFonts w:ascii="Times New Roman" w:hAnsi="Times New Roman" w:cs="Times New Roman"/>
          <w:sz w:val="24"/>
          <w:szCs w:val="24"/>
          <w:lang w:val="pt-BR"/>
        </w:rPr>
        <w:t>Com base no método foi verificada a consistência dos pesos, através da realização do calculo da Razão de Consistência (RC). Este parâmetro relaciona o Índice de Consistência (IC) e o Índice Randômico (IR), conforme equação.</w:t>
      </w:r>
    </w:p>
    <w:p w14:paraId="271969D1" w14:textId="77777777" w:rsidR="00497F1E" w:rsidRPr="00C53E00" w:rsidRDefault="00497F1E" w:rsidP="00524517">
      <w:pPr>
        <w:rPr>
          <w:rFonts w:ascii="Times New Roman" w:hAnsi="Times New Roman" w:cs="Times New Roman"/>
          <w:sz w:val="24"/>
          <w:szCs w:val="24"/>
          <w:lang w:val="pt-BR"/>
        </w:rPr>
      </w:pPr>
      <m:oMath>
        <m:r>
          <w:rPr>
            <w:rFonts w:ascii="Cambria Math" w:hAnsi="Cambria Math" w:cs="Times New Roman"/>
            <w:sz w:val="24"/>
            <w:szCs w:val="24"/>
          </w:rPr>
          <m:t>RC</m:t>
        </m:r>
        <m:r>
          <w:rPr>
            <w:rFonts w:ascii="Cambria Math" w:hAnsi="Cambria Math" w:cs="Times New Roman"/>
            <w:sz w:val="24"/>
            <w:szCs w:val="24"/>
            <w:lang w:val="pt-BR"/>
          </w:rPr>
          <m:t>=</m:t>
        </m:r>
        <m:f>
          <m:fPr>
            <m:ctrlPr>
              <w:rPr>
                <w:rFonts w:ascii="Cambria Math" w:hAnsi="Cambria Math" w:cs="Times New Roman"/>
                <w:i/>
                <w:sz w:val="24"/>
                <w:szCs w:val="24"/>
              </w:rPr>
            </m:ctrlPr>
          </m:fPr>
          <m:num>
            <m:r>
              <w:rPr>
                <w:rFonts w:ascii="Cambria Math" w:hAnsi="Cambria Math" w:cs="Times New Roman"/>
                <w:sz w:val="24"/>
                <w:szCs w:val="24"/>
              </w:rPr>
              <m:t>IC</m:t>
            </m:r>
          </m:num>
          <m:den>
            <m:r>
              <w:rPr>
                <w:rFonts w:ascii="Cambria Math" w:hAnsi="Cambria Math" w:cs="Times New Roman"/>
                <w:sz w:val="24"/>
                <w:szCs w:val="24"/>
              </w:rPr>
              <m:t>IR</m:t>
            </m:r>
          </m:den>
        </m:f>
      </m:oMath>
      <w:r w:rsidRPr="00C53E00">
        <w:rPr>
          <w:rFonts w:ascii="Times New Roman" w:hAnsi="Times New Roman" w:cs="Times New Roman"/>
          <w:sz w:val="24"/>
          <w:szCs w:val="24"/>
          <w:lang w:val="pt-BR"/>
        </w:rPr>
        <w:t xml:space="preserve"> </w:t>
      </w:r>
      <w:r w:rsidRPr="00C53E00">
        <w:rPr>
          <w:rFonts w:ascii="Times New Roman" w:hAnsi="Times New Roman" w:cs="Times New Roman"/>
          <w:sz w:val="24"/>
          <w:szCs w:val="24"/>
          <w:lang w:val="pt-BR"/>
        </w:rPr>
        <w:tab/>
      </w:r>
      <w:r w:rsidRPr="00C53E00">
        <w:rPr>
          <w:rFonts w:ascii="Times New Roman" w:hAnsi="Times New Roman" w:cs="Times New Roman"/>
          <w:sz w:val="24"/>
          <w:szCs w:val="24"/>
          <w:lang w:val="pt-BR"/>
        </w:rPr>
        <w:tab/>
      </w:r>
      <w:r w:rsidRPr="00C53E00">
        <w:rPr>
          <w:rFonts w:ascii="Times New Roman" w:hAnsi="Times New Roman" w:cs="Times New Roman"/>
          <w:sz w:val="24"/>
          <w:szCs w:val="24"/>
          <w:lang w:val="pt-BR"/>
        </w:rPr>
        <w:tab/>
      </w:r>
      <w:r w:rsidRPr="00C53E00">
        <w:rPr>
          <w:rFonts w:ascii="Times New Roman" w:hAnsi="Times New Roman" w:cs="Times New Roman"/>
          <w:sz w:val="24"/>
          <w:szCs w:val="24"/>
          <w:lang w:val="pt-BR"/>
        </w:rPr>
        <w:tab/>
      </w:r>
      <w:r w:rsidRPr="00C53E00">
        <w:rPr>
          <w:rFonts w:ascii="Times New Roman" w:hAnsi="Times New Roman" w:cs="Times New Roman"/>
          <w:sz w:val="24"/>
          <w:szCs w:val="24"/>
          <w:lang w:val="pt-BR"/>
        </w:rPr>
        <w:tab/>
      </w:r>
      <w:r w:rsidRPr="00C53E00">
        <w:rPr>
          <w:rFonts w:ascii="Times New Roman" w:hAnsi="Times New Roman" w:cs="Times New Roman"/>
          <w:sz w:val="24"/>
          <w:szCs w:val="24"/>
          <w:lang w:val="pt-BR"/>
        </w:rPr>
        <w:tab/>
      </w:r>
      <w:r w:rsidRPr="00C53E00">
        <w:rPr>
          <w:rFonts w:ascii="Times New Roman" w:hAnsi="Times New Roman" w:cs="Times New Roman"/>
          <w:sz w:val="24"/>
          <w:szCs w:val="24"/>
          <w:lang w:val="pt-BR"/>
        </w:rPr>
        <w:tab/>
      </w:r>
      <w:r w:rsidRPr="00C53E00">
        <w:rPr>
          <w:rFonts w:ascii="Times New Roman" w:hAnsi="Times New Roman" w:cs="Times New Roman"/>
          <w:sz w:val="24"/>
          <w:szCs w:val="24"/>
          <w:lang w:val="pt-BR"/>
        </w:rPr>
        <w:tab/>
        <w:t>(i)</w:t>
      </w:r>
    </w:p>
    <w:p w14:paraId="14FD46CD" w14:textId="77777777" w:rsidR="00497F1E" w:rsidRPr="00C53E00" w:rsidRDefault="00497F1E" w:rsidP="00524517">
      <w:pPr>
        <w:rPr>
          <w:rFonts w:ascii="Times New Roman" w:hAnsi="Times New Roman" w:cs="Times New Roman"/>
          <w:sz w:val="24"/>
          <w:szCs w:val="24"/>
          <w:lang w:val="pt-BR"/>
        </w:rPr>
      </w:pPr>
      <w:r w:rsidRPr="00C53E00">
        <w:rPr>
          <w:rFonts w:ascii="Times New Roman" w:hAnsi="Times New Roman" w:cs="Times New Roman"/>
          <w:sz w:val="24"/>
          <w:szCs w:val="24"/>
          <w:lang w:val="pt-BR"/>
        </w:rPr>
        <w:t>O IC é determinado pelo modelo disposto na Equação (</w:t>
      </w:r>
      <w:proofErr w:type="spellStart"/>
      <w:r w:rsidRPr="00C53E00">
        <w:rPr>
          <w:rFonts w:ascii="Times New Roman" w:hAnsi="Times New Roman" w:cs="Times New Roman"/>
          <w:sz w:val="24"/>
          <w:szCs w:val="24"/>
          <w:lang w:val="pt-BR"/>
        </w:rPr>
        <w:t>ii</w:t>
      </w:r>
      <w:proofErr w:type="spellEnd"/>
      <w:r w:rsidRPr="00C53E00">
        <w:rPr>
          <w:rFonts w:ascii="Times New Roman" w:hAnsi="Times New Roman" w:cs="Times New Roman"/>
          <w:sz w:val="24"/>
          <w:szCs w:val="24"/>
          <w:lang w:val="pt-BR"/>
        </w:rPr>
        <w:t>) e o IR varia em função da quantidade “n” de fatores selecionados para Matriz de Comparação Pareada.</w:t>
      </w:r>
    </w:p>
    <w:p w14:paraId="5391F213" w14:textId="77777777" w:rsidR="00497F1E" w:rsidRPr="00C53E00" w:rsidRDefault="00497F1E" w:rsidP="00524517">
      <w:pPr>
        <w:rPr>
          <w:rFonts w:ascii="Times New Roman" w:hAnsi="Times New Roman" w:cs="Times New Roman"/>
          <w:sz w:val="24"/>
          <w:szCs w:val="24"/>
          <w:lang w:val="pt-BR"/>
        </w:rPr>
      </w:pPr>
      <m:oMath>
        <m:r>
          <w:rPr>
            <w:rFonts w:ascii="Cambria Math" w:hAnsi="Cambria Math" w:cs="Times New Roman"/>
            <w:sz w:val="24"/>
            <w:szCs w:val="24"/>
          </w:rPr>
          <m:t>IC</m:t>
        </m:r>
        <m:r>
          <w:rPr>
            <w:rFonts w:ascii="Cambria Math" w:hAnsi="Cambria Math" w:cs="Times New Roman"/>
            <w:sz w:val="24"/>
            <w:szCs w:val="24"/>
            <w:lang w:val="pt-BR"/>
          </w:rPr>
          <m:t xml:space="preserve">= </m:t>
        </m:r>
        <m:f>
          <m:fPr>
            <m:ctrlPr>
              <w:rPr>
                <w:rFonts w:ascii="Cambria Math" w:hAnsi="Cambria Math" w:cs="Times New Roman"/>
                <w:i/>
                <w:sz w:val="24"/>
                <w:szCs w:val="24"/>
              </w:rPr>
            </m:ctrlPr>
          </m:fPr>
          <m:num>
            <m:r>
              <w:rPr>
                <w:rFonts w:ascii="Cambria Math" w:hAnsi="Cambria Math" w:cs="Times New Roman"/>
                <w:sz w:val="24"/>
                <w:szCs w:val="24"/>
              </w:rPr>
              <m:t>λm</m:t>
            </m:r>
            <m:r>
              <w:rPr>
                <w:rFonts w:ascii="Cambria Math" w:hAnsi="Cambria Math" w:cs="Times New Roman"/>
                <w:sz w:val="24"/>
                <w:szCs w:val="24"/>
                <w:lang w:val="pt-BR"/>
              </w:rPr>
              <m:t>á</m:t>
            </m:r>
            <m:r>
              <w:rPr>
                <w:rFonts w:ascii="Cambria Math" w:hAnsi="Cambria Math" w:cs="Times New Roman"/>
                <w:sz w:val="24"/>
                <w:szCs w:val="24"/>
              </w:rPr>
              <m:t>x</m:t>
            </m:r>
            <m:r>
              <w:rPr>
                <w:rFonts w:ascii="Cambria Math" w:hAnsi="Cambria Math" w:cs="Times New Roman"/>
                <w:sz w:val="24"/>
                <w:szCs w:val="24"/>
                <w:lang w:val="pt-BR"/>
              </w:rPr>
              <m:t>-</m:t>
            </m:r>
            <m:r>
              <w:rPr>
                <w:rFonts w:ascii="Cambria Math" w:hAnsi="Cambria Math" w:cs="Times New Roman"/>
                <w:sz w:val="24"/>
                <w:szCs w:val="24"/>
              </w:rPr>
              <m:t>n</m:t>
            </m:r>
          </m:num>
          <m:den>
            <m:r>
              <w:rPr>
                <w:rFonts w:ascii="Cambria Math" w:hAnsi="Cambria Math" w:cs="Times New Roman"/>
                <w:sz w:val="24"/>
                <w:szCs w:val="24"/>
              </w:rPr>
              <m:t>n</m:t>
            </m:r>
            <m:r>
              <w:rPr>
                <w:rFonts w:ascii="Cambria Math" w:hAnsi="Cambria Math" w:cs="Times New Roman"/>
                <w:sz w:val="24"/>
                <w:szCs w:val="24"/>
                <w:lang w:val="pt-BR"/>
              </w:rPr>
              <m:t>-1</m:t>
            </m:r>
          </m:den>
        </m:f>
      </m:oMath>
      <w:r w:rsidRPr="00C53E00">
        <w:rPr>
          <w:rFonts w:ascii="Times New Roman" w:hAnsi="Times New Roman" w:cs="Times New Roman"/>
          <w:sz w:val="24"/>
          <w:szCs w:val="24"/>
          <w:lang w:val="pt-BR"/>
        </w:rPr>
        <w:t xml:space="preserve"> </w:t>
      </w:r>
      <w:r w:rsidRPr="00C53E00">
        <w:rPr>
          <w:rFonts w:ascii="Times New Roman" w:hAnsi="Times New Roman" w:cs="Times New Roman"/>
          <w:sz w:val="24"/>
          <w:szCs w:val="24"/>
          <w:lang w:val="pt-BR"/>
        </w:rPr>
        <w:tab/>
      </w:r>
      <w:r w:rsidRPr="00C53E00">
        <w:rPr>
          <w:rFonts w:ascii="Times New Roman" w:hAnsi="Times New Roman" w:cs="Times New Roman"/>
          <w:sz w:val="24"/>
          <w:szCs w:val="24"/>
          <w:lang w:val="pt-BR"/>
        </w:rPr>
        <w:tab/>
      </w:r>
      <w:r w:rsidRPr="00C53E00">
        <w:rPr>
          <w:rFonts w:ascii="Times New Roman" w:hAnsi="Times New Roman" w:cs="Times New Roman"/>
          <w:sz w:val="24"/>
          <w:szCs w:val="24"/>
          <w:lang w:val="pt-BR"/>
        </w:rPr>
        <w:tab/>
      </w:r>
      <w:r w:rsidRPr="00C53E00">
        <w:rPr>
          <w:rFonts w:ascii="Times New Roman" w:hAnsi="Times New Roman" w:cs="Times New Roman"/>
          <w:sz w:val="24"/>
          <w:szCs w:val="24"/>
          <w:lang w:val="pt-BR"/>
        </w:rPr>
        <w:tab/>
      </w:r>
      <w:r w:rsidRPr="00C53E00">
        <w:rPr>
          <w:rFonts w:ascii="Times New Roman" w:hAnsi="Times New Roman" w:cs="Times New Roman"/>
          <w:sz w:val="24"/>
          <w:szCs w:val="24"/>
          <w:lang w:val="pt-BR"/>
        </w:rPr>
        <w:tab/>
      </w:r>
      <w:r w:rsidRPr="00C53E00">
        <w:rPr>
          <w:rFonts w:ascii="Times New Roman" w:hAnsi="Times New Roman" w:cs="Times New Roman"/>
          <w:sz w:val="24"/>
          <w:szCs w:val="24"/>
          <w:lang w:val="pt-BR"/>
        </w:rPr>
        <w:tab/>
      </w:r>
      <w:r w:rsidRPr="00C53E00">
        <w:rPr>
          <w:rFonts w:ascii="Times New Roman" w:hAnsi="Times New Roman" w:cs="Times New Roman"/>
          <w:sz w:val="24"/>
          <w:szCs w:val="24"/>
          <w:lang w:val="pt-BR"/>
        </w:rPr>
        <w:tab/>
      </w:r>
      <w:r w:rsidRPr="00C53E00">
        <w:rPr>
          <w:rFonts w:ascii="Times New Roman" w:hAnsi="Times New Roman" w:cs="Times New Roman"/>
          <w:sz w:val="24"/>
          <w:szCs w:val="24"/>
          <w:lang w:val="pt-BR"/>
        </w:rPr>
        <w:tab/>
        <w:t>(ii)</w:t>
      </w:r>
    </w:p>
    <w:p w14:paraId="2100A74F" w14:textId="77777777" w:rsidR="00497F1E" w:rsidRPr="00C53E00" w:rsidRDefault="00497F1E" w:rsidP="00524517">
      <w:pPr>
        <w:rPr>
          <w:rFonts w:ascii="Times New Roman" w:hAnsi="Times New Roman" w:cs="Times New Roman"/>
          <w:sz w:val="24"/>
          <w:szCs w:val="24"/>
          <w:lang w:val="pt-BR"/>
        </w:rPr>
      </w:pPr>
      <w:r w:rsidRPr="00C53E00">
        <w:rPr>
          <w:rFonts w:ascii="Times New Roman" w:hAnsi="Times New Roman" w:cs="Times New Roman"/>
          <w:sz w:val="24"/>
          <w:szCs w:val="24"/>
          <w:lang w:val="pt-BR"/>
        </w:rPr>
        <w:t>Onde:</w:t>
      </w:r>
    </w:p>
    <w:p w14:paraId="179236A4" w14:textId="77777777" w:rsidR="00497F1E" w:rsidRPr="00C53E00" w:rsidRDefault="00497F1E" w:rsidP="00524517">
      <w:pPr>
        <w:rPr>
          <w:rFonts w:ascii="Times New Roman" w:hAnsi="Times New Roman" w:cs="Times New Roman"/>
          <w:sz w:val="24"/>
          <w:szCs w:val="24"/>
          <w:lang w:val="pt-BR"/>
        </w:rPr>
      </w:pPr>
      <w:r w:rsidRPr="00C53E00">
        <w:rPr>
          <w:rFonts w:ascii="Times New Roman" w:hAnsi="Times New Roman" w:cs="Times New Roman"/>
          <w:sz w:val="24"/>
          <w:szCs w:val="24"/>
          <w:lang w:val="pt-BR"/>
        </w:rPr>
        <w:t>n é a quantidade de fatores e</w:t>
      </w:r>
    </w:p>
    <w:p w14:paraId="5F46E7E6" w14:textId="77777777" w:rsidR="00497F1E" w:rsidRPr="00C53E00" w:rsidRDefault="00497F1E" w:rsidP="00524517">
      <w:pPr>
        <w:rPr>
          <w:rFonts w:ascii="Times New Roman" w:hAnsi="Times New Roman" w:cs="Times New Roman"/>
          <w:sz w:val="24"/>
          <w:szCs w:val="24"/>
          <w:lang w:val="pt-BR"/>
        </w:rPr>
      </w:pPr>
      <w:r w:rsidRPr="00C53E00">
        <w:rPr>
          <w:rFonts w:ascii="Times New Roman" w:hAnsi="Times New Roman" w:cs="Times New Roman"/>
          <w:sz w:val="24"/>
          <w:szCs w:val="24"/>
          <w:lang w:val="pt-BR"/>
        </w:rPr>
        <w:t xml:space="preserve"> </w:t>
      </w:r>
      <m:oMath>
        <m:r>
          <w:rPr>
            <w:rFonts w:ascii="Cambria Math" w:hAnsi="Cambria Math" w:cs="Times New Roman"/>
            <w:sz w:val="24"/>
            <w:szCs w:val="24"/>
          </w:rPr>
          <m:t>λ</m:t>
        </m:r>
      </m:oMath>
      <w:proofErr w:type="gramStart"/>
      <w:r w:rsidRPr="00C53E00">
        <w:rPr>
          <w:rFonts w:ascii="Times New Roman" w:hAnsi="Times New Roman" w:cs="Times New Roman"/>
          <w:sz w:val="24"/>
          <w:szCs w:val="24"/>
          <w:lang w:val="pt-BR"/>
        </w:rPr>
        <w:t>máx</w:t>
      </w:r>
      <w:proofErr w:type="gramEnd"/>
      <w:r w:rsidRPr="00C53E00">
        <w:rPr>
          <w:rFonts w:ascii="Times New Roman" w:hAnsi="Times New Roman" w:cs="Times New Roman"/>
          <w:sz w:val="24"/>
          <w:szCs w:val="24"/>
          <w:lang w:val="pt-BR"/>
        </w:rPr>
        <w:t xml:space="preserve"> é o Autovalor máximo, que é obtido através da Equação 3.</w:t>
      </w:r>
    </w:p>
    <w:p w14:paraId="057F72B7" w14:textId="77777777" w:rsidR="00497F1E" w:rsidRPr="00C53E00" w:rsidRDefault="00497F1E" w:rsidP="00524517">
      <w:pPr>
        <w:rPr>
          <w:rFonts w:ascii="Times New Roman" w:hAnsi="Times New Roman" w:cs="Times New Roman"/>
          <w:sz w:val="24"/>
          <w:szCs w:val="24"/>
          <w:lang w:val="pt-BR"/>
        </w:rPr>
      </w:pPr>
      <m:oMath>
        <m:r>
          <w:rPr>
            <w:rFonts w:ascii="Cambria Math" w:hAnsi="Cambria Math" w:cs="Times New Roman"/>
            <w:sz w:val="24"/>
            <w:szCs w:val="24"/>
          </w:rPr>
          <m:t>λm</m:t>
        </m:r>
        <m:r>
          <w:rPr>
            <w:rFonts w:ascii="Cambria Math" w:hAnsi="Cambria Math" w:cs="Times New Roman"/>
            <w:sz w:val="24"/>
            <w:szCs w:val="24"/>
            <w:lang w:val="pt-BR"/>
          </w:rPr>
          <m:t>á</m:t>
        </m:r>
        <m:r>
          <w:rPr>
            <w:rFonts w:ascii="Cambria Math" w:hAnsi="Cambria Math" w:cs="Times New Roman"/>
            <w:sz w:val="24"/>
            <w:szCs w:val="24"/>
          </w:rPr>
          <m:t>x</m:t>
        </m:r>
        <m:r>
          <w:rPr>
            <w:rFonts w:ascii="Cambria Math" w:hAnsi="Cambria Math" w:cs="Times New Roman"/>
            <w:sz w:val="24"/>
            <w:szCs w:val="24"/>
            <w:lang w:val="pt-BR"/>
          </w:rPr>
          <m:t>=</m:t>
        </m:r>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lang w:val="pt-BR"/>
                  </w:rPr>
                  <m:t>1</m:t>
                </m:r>
              </m:num>
              <m:den>
                <m:r>
                  <w:rPr>
                    <w:rFonts w:ascii="Cambria Math" w:hAnsi="Cambria Math" w:cs="Times New Roman"/>
                    <w:sz w:val="24"/>
                    <w:szCs w:val="24"/>
                  </w:rPr>
                  <m:t>n</m:t>
                </m:r>
              </m:den>
            </m:f>
          </m:e>
        </m:d>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m:t>
            </m:r>
            <m:r>
              <w:rPr>
                <w:rFonts w:ascii="Cambria Math" w:hAnsi="Cambria Math" w:cs="Times New Roman"/>
                <w:sz w:val="24"/>
                <w:szCs w:val="24"/>
                <w:lang w:val="pt-BR"/>
              </w:rPr>
              <m:t>=1</m:t>
            </m:r>
          </m:sub>
          <m:sup>
            <m:r>
              <w:rPr>
                <w:rFonts w:ascii="Cambria Math" w:hAnsi="Cambria Math" w:cs="Times New Roman"/>
                <w:sz w:val="24"/>
                <w:szCs w:val="24"/>
              </w:rPr>
              <m:t>n</m:t>
            </m:r>
          </m:sup>
          <m:e>
            <m:f>
              <m:fPr>
                <m:ctrlPr>
                  <w:rPr>
                    <w:rFonts w:ascii="Cambria Math" w:hAnsi="Cambria Math" w:cs="Times New Roman"/>
                    <w:i/>
                    <w:sz w:val="24"/>
                    <w:szCs w:val="24"/>
                  </w:rPr>
                </m:ctrlPr>
              </m:fPr>
              <m:num>
                <m:r>
                  <w:rPr>
                    <w:rFonts w:ascii="Cambria Math" w:hAnsi="Cambria Math" w:cs="Times New Roman"/>
                    <w:sz w:val="24"/>
                    <w:szCs w:val="24"/>
                  </w:rPr>
                  <m:t>ω</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m:t>
                    </m:r>
                  </m:sub>
                </m:sSub>
              </m:num>
              <m:den>
                <m:sSub>
                  <m:sSubPr>
                    <m:ctrlPr>
                      <w:rPr>
                        <w:rFonts w:ascii="Cambria Math" w:hAnsi="Cambria Math" w:cs="Times New Roman"/>
                        <w:i/>
                        <w:sz w:val="24"/>
                        <w:szCs w:val="24"/>
                      </w:rPr>
                    </m:ctrlPr>
                  </m:sSubPr>
                  <m:e>
                    <m:r>
                      <w:rPr>
                        <w:rFonts w:ascii="Cambria Math" w:hAnsi="Cambria Math" w:cs="Times New Roman"/>
                        <w:sz w:val="24"/>
                        <w:szCs w:val="24"/>
                      </w:rPr>
                      <m:t>ω</m:t>
                    </m:r>
                  </m:e>
                  <m:sub>
                    <m:r>
                      <w:rPr>
                        <w:rFonts w:ascii="Cambria Math" w:hAnsi="Cambria Math" w:cs="Times New Roman"/>
                        <w:sz w:val="24"/>
                        <w:szCs w:val="24"/>
                      </w:rPr>
                      <m:t>i</m:t>
                    </m:r>
                  </m:sub>
                </m:sSub>
              </m:den>
            </m:f>
          </m:e>
        </m:nary>
        <m:r>
          <w:rPr>
            <w:rFonts w:ascii="Cambria Math" w:hAnsi="Cambria Math" w:cs="Times New Roman"/>
            <w:sz w:val="24"/>
            <w:szCs w:val="24"/>
            <w:lang w:val="pt-BR"/>
          </w:rPr>
          <m:t xml:space="preserve">  </m:t>
        </m:r>
      </m:oMath>
      <w:r w:rsidRPr="00C53E00">
        <w:rPr>
          <w:rFonts w:ascii="Times New Roman" w:hAnsi="Times New Roman" w:cs="Times New Roman"/>
          <w:sz w:val="24"/>
          <w:szCs w:val="24"/>
          <w:lang w:val="pt-BR"/>
        </w:rPr>
        <w:t xml:space="preserve"> </w:t>
      </w:r>
      <w:r w:rsidRPr="00C53E00">
        <w:rPr>
          <w:rFonts w:ascii="Times New Roman" w:hAnsi="Times New Roman" w:cs="Times New Roman"/>
          <w:sz w:val="24"/>
          <w:szCs w:val="24"/>
          <w:lang w:val="pt-BR"/>
        </w:rPr>
        <w:tab/>
      </w:r>
      <w:r w:rsidRPr="00C53E00">
        <w:rPr>
          <w:rFonts w:ascii="Times New Roman" w:hAnsi="Times New Roman" w:cs="Times New Roman"/>
          <w:sz w:val="24"/>
          <w:szCs w:val="24"/>
          <w:lang w:val="pt-BR"/>
        </w:rPr>
        <w:tab/>
      </w:r>
      <w:r w:rsidRPr="00C53E00">
        <w:rPr>
          <w:rFonts w:ascii="Times New Roman" w:hAnsi="Times New Roman" w:cs="Times New Roman"/>
          <w:sz w:val="24"/>
          <w:szCs w:val="24"/>
          <w:lang w:val="pt-BR"/>
        </w:rPr>
        <w:tab/>
      </w:r>
      <w:r w:rsidRPr="00C53E00">
        <w:rPr>
          <w:rFonts w:ascii="Times New Roman" w:hAnsi="Times New Roman" w:cs="Times New Roman"/>
          <w:sz w:val="24"/>
          <w:szCs w:val="24"/>
          <w:lang w:val="pt-BR"/>
        </w:rPr>
        <w:tab/>
      </w:r>
      <w:r w:rsidRPr="00C53E00">
        <w:rPr>
          <w:rFonts w:ascii="Times New Roman" w:hAnsi="Times New Roman" w:cs="Times New Roman"/>
          <w:sz w:val="24"/>
          <w:szCs w:val="24"/>
          <w:lang w:val="pt-BR"/>
        </w:rPr>
        <w:tab/>
      </w:r>
      <w:r w:rsidRPr="00C53E00">
        <w:rPr>
          <w:rFonts w:ascii="Times New Roman" w:hAnsi="Times New Roman" w:cs="Times New Roman"/>
          <w:sz w:val="24"/>
          <w:szCs w:val="24"/>
          <w:lang w:val="pt-BR"/>
        </w:rPr>
        <w:tab/>
        <w:t>(iii)</w:t>
      </w:r>
    </w:p>
    <w:p w14:paraId="1EE6396A" w14:textId="1B5CB98C" w:rsidR="00497F1E" w:rsidRPr="003D246D" w:rsidRDefault="00497F1E" w:rsidP="00524517">
      <w:pPr>
        <w:rPr>
          <w:rFonts w:ascii="Times New Roman" w:hAnsi="Times New Roman" w:cs="Times New Roman"/>
          <w:sz w:val="24"/>
          <w:szCs w:val="24"/>
          <w:lang w:val="pt-BR"/>
        </w:rPr>
      </w:pPr>
      <w:r w:rsidRPr="00C53E00">
        <w:rPr>
          <w:rFonts w:ascii="Times New Roman" w:hAnsi="Times New Roman" w:cs="Times New Roman"/>
          <w:sz w:val="24"/>
          <w:szCs w:val="24"/>
          <w:lang w:val="pt-BR"/>
        </w:rPr>
        <w:t>Onde:</w:t>
      </w:r>
    </w:p>
    <w:p w14:paraId="74C3F4A1" w14:textId="4F46ECDA" w:rsidR="00497F1E" w:rsidRPr="00C53E00" w:rsidRDefault="00C73B58" w:rsidP="00524517">
      <w:pPr>
        <w:rPr>
          <w:rFonts w:ascii="Times New Roman" w:hAnsi="Times New Roman" w:cs="Times New Roman"/>
          <w:sz w:val="24"/>
          <w:szCs w:val="24"/>
          <w:lang w:val="pt-BR"/>
        </w:rPr>
      </w:pPr>
      <m:oMath>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m:t>
            </m:r>
            <m:r>
              <w:rPr>
                <w:rFonts w:ascii="Cambria Math" w:hAnsi="Cambria Math" w:cs="Times New Roman"/>
                <w:sz w:val="24"/>
                <w:szCs w:val="24"/>
                <w:lang w:val="pt-BR"/>
              </w:rPr>
              <m:t>=1</m:t>
            </m:r>
          </m:sub>
          <m:sup>
            <m:r>
              <w:rPr>
                <w:rFonts w:ascii="Cambria Math" w:hAnsi="Cambria Math" w:cs="Times New Roman"/>
                <w:sz w:val="24"/>
                <w:szCs w:val="24"/>
              </w:rPr>
              <m:t>n</m:t>
            </m:r>
          </m:sup>
          <m:e>
            <m:f>
              <m:fPr>
                <m:ctrlPr>
                  <w:rPr>
                    <w:rFonts w:ascii="Cambria Math" w:hAnsi="Cambria Math" w:cs="Times New Roman"/>
                    <w:i/>
                    <w:sz w:val="24"/>
                    <w:szCs w:val="24"/>
                  </w:rPr>
                </m:ctrlPr>
              </m:fPr>
              <m:num>
                <m:r>
                  <w:rPr>
                    <w:rFonts w:ascii="Cambria Math" w:hAnsi="Cambria Math" w:cs="Times New Roman"/>
                    <w:sz w:val="24"/>
                    <w:szCs w:val="24"/>
                  </w:rPr>
                  <m:t>ω</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m:t>
                    </m:r>
                  </m:sub>
                </m:sSub>
              </m:num>
              <m:den>
                <m:sSub>
                  <m:sSubPr>
                    <m:ctrlPr>
                      <w:rPr>
                        <w:rFonts w:ascii="Cambria Math" w:hAnsi="Cambria Math" w:cs="Times New Roman"/>
                        <w:i/>
                        <w:sz w:val="24"/>
                        <w:szCs w:val="24"/>
                      </w:rPr>
                    </m:ctrlPr>
                  </m:sSubPr>
                  <m:e>
                    <m:r>
                      <w:rPr>
                        <w:rFonts w:ascii="Cambria Math" w:hAnsi="Cambria Math" w:cs="Times New Roman"/>
                        <w:sz w:val="24"/>
                        <w:szCs w:val="24"/>
                      </w:rPr>
                      <m:t>ω</m:t>
                    </m:r>
                  </m:e>
                  <m:sub>
                    <m:r>
                      <w:rPr>
                        <w:rFonts w:ascii="Cambria Math" w:hAnsi="Cambria Math" w:cs="Times New Roman"/>
                        <w:sz w:val="24"/>
                        <w:szCs w:val="24"/>
                      </w:rPr>
                      <m:t>i</m:t>
                    </m:r>
                  </m:sub>
                </m:sSub>
              </m:den>
            </m:f>
          </m:e>
        </m:nary>
      </m:oMath>
      <w:r w:rsidR="00497F1E" w:rsidRPr="00C53E00">
        <w:rPr>
          <w:rFonts w:ascii="Times New Roman" w:hAnsi="Times New Roman" w:cs="Times New Roman"/>
          <w:sz w:val="24"/>
          <w:szCs w:val="24"/>
          <w:lang w:val="pt-BR"/>
        </w:rPr>
        <w:t xml:space="preserve">  Representa o Vetor Coerência (C).</w:t>
      </w:r>
    </w:p>
    <w:p w14:paraId="1C8CBE8D" w14:textId="77777777" w:rsidR="00497F1E" w:rsidRPr="00C53E00" w:rsidRDefault="00C73B58" w:rsidP="00524517">
      <w:pPr>
        <w:rPr>
          <w:rFonts w:ascii="Times New Roman" w:hAnsi="Times New Roman" w:cs="Times New Roman"/>
          <w:sz w:val="24"/>
          <w:szCs w:val="24"/>
          <w:lang w:val="pt-BR"/>
        </w:rPr>
      </w:pPr>
      <m:oMath>
        <m:sSub>
          <m:sSubPr>
            <m:ctrlPr>
              <w:rPr>
                <w:rFonts w:ascii="Cambria Math" w:hAnsi="Cambria Math" w:cs="Times New Roman"/>
                <w:i/>
                <w:sz w:val="24"/>
                <w:szCs w:val="24"/>
              </w:rPr>
            </m:ctrlPr>
          </m:sSubPr>
          <m:e>
            <m:r>
              <w:rPr>
                <w:rFonts w:ascii="Cambria Math" w:hAnsi="Cambria Math" w:cs="Times New Roman"/>
                <w:sz w:val="24"/>
                <w:szCs w:val="24"/>
              </w:rPr>
              <m:t>ω</m:t>
            </m:r>
          </m:e>
          <m:sub>
            <m:r>
              <w:rPr>
                <w:rFonts w:ascii="Cambria Math" w:hAnsi="Cambria Math" w:cs="Times New Roman"/>
                <w:sz w:val="24"/>
                <w:szCs w:val="24"/>
              </w:rPr>
              <m:t>i</m:t>
            </m:r>
          </m:sub>
        </m:sSub>
      </m:oMath>
      <w:r w:rsidR="00497F1E" w:rsidRPr="00C53E00">
        <w:rPr>
          <w:rFonts w:ascii="Times New Roman" w:hAnsi="Times New Roman" w:cs="Times New Roman"/>
          <w:sz w:val="24"/>
          <w:szCs w:val="24"/>
          <w:lang w:val="pt-BR"/>
        </w:rPr>
        <w:t xml:space="preserve"> </w:t>
      </w:r>
      <w:proofErr w:type="gramStart"/>
      <w:r w:rsidR="00497F1E" w:rsidRPr="00C53E00">
        <w:rPr>
          <w:rFonts w:ascii="Times New Roman" w:hAnsi="Times New Roman" w:cs="Times New Roman"/>
          <w:sz w:val="24"/>
          <w:szCs w:val="24"/>
          <w:lang w:val="pt-BR"/>
        </w:rPr>
        <w:t>é</w:t>
      </w:r>
      <w:proofErr w:type="gramEnd"/>
      <w:r w:rsidR="00497F1E" w:rsidRPr="00C53E00">
        <w:rPr>
          <w:rFonts w:ascii="Times New Roman" w:hAnsi="Times New Roman" w:cs="Times New Roman"/>
          <w:sz w:val="24"/>
          <w:szCs w:val="24"/>
          <w:lang w:val="pt-BR"/>
        </w:rPr>
        <w:t xml:space="preserve"> o Coeficiente de Ponderação (peso) e </w:t>
      </w:r>
    </w:p>
    <w:p w14:paraId="5E76E231" w14:textId="77777777" w:rsidR="00497F1E" w:rsidRPr="00C53E00" w:rsidRDefault="00497F1E" w:rsidP="00524517">
      <w:pPr>
        <w:rPr>
          <w:rFonts w:ascii="Times New Roman" w:hAnsi="Times New Roman" w:cs="Times New Roman"/>
          <w:sz w:val="24"/>
          <w:szCs w:val="24"/>
          <w:lang w:val="pt-BR"/>
        </w:rPr>
      </w:pPr>
      <w:r w:rsidRPr="00C53E00">
        <w:rPr>
          <w:rFonts w:ascii="Times New Roman" w:hAnsi="Times New Roman" w:cs="Times New Roman"/>
          <w:sz w:val="24"/>
          <w:szCs w:val="24"/>
          <w:lang w:val="pt-BR"/>
        </w:rPr>
        <w:t xml:space="preserve"> </w:t>
      </w:r>
      <m:oMath>
        <m:r>
          <w:rPr>
            <w:rFonts w:ascii="Cambria Math" w:hAnsi="Cambria Math" w:cs="Times New Roman"/>
            <w:sz w:val="24"/>
            <w:szCs w:val="24"/>
          </w:rPr>
          <m:t>ω</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m:t>
            </m:r>
          </m:sub>
        </m:sSub>
      </m:oMath>
      <w:r w:rsidRPr="00C53E00">
        <w:rPr>
          <w:rFonts w:ascii="Times New Roman" w:hAnsi="Times New Roman" w:cs="Times New Roman"/>
          <w:sz w:val="24"/>
          <w:szCs w:val="24"/>
          <w:lang w:val="pt-BR"/>
        </w:rPr>
        <w:t xml:space="preserve"> </w:t>
      </w:r>
      <w:proofErr w:type="gramStart"/>
      <w:r w:rsidRPr="00C53E00">
        <w:rPr>
          <w:rFonts w:ascii="Times New Roman" w:hAnsi="Times New Roman" w:cs="Times New Roman"/>
          <w:sz w:val="24"/>
          <w:szCs w:val="24"/>
          <w:lang w:val="pt-BR"/>
        </w:rPr>
        <w:t>é</w:t>
      </w:r>
      <w:proofErr w:type="gramEnd"/>
      <w:r w:rsidRPr="00C53E00">
        <w:rPr>
          <w:rFonts w:ascii="Times New Roman" w:hAnsi="Times New Roman" w:cs="Times New Roman"/>
          <w:sz w:val="24"/>
          <w:szCs w:val="24"/>
          <w:lang w:val="pt-BR"/>
        </w:rPr>
        <w:t xml:space="preserve"> o Vetor Soma, sendo esses parâmetros obtidos conforme o Quadro 5.</w:t>
      </w:r>
      <w:r w:rsidRPr="00C53E00">
        <w:rPr>
          <w:rFonts w:ascii="Times New Roman" w:hAnsi="Times New Roman" w:cs="Times New Roman"/>
          <w:sz w:val="24"/>
          <w:szCs w:val="24"/>
          <w:lang w:val="pt-BR"/>
        </w:rPr>
        <w:tab/>
      </w:r>
    </w:p>
    <w:p w14:paraId="11D049C5" w14:textId="75419C40" w:rsidR="00497F1E" w:rsidRDefault="00497F1E" w:rsidP="00524517">
      <w:pPr>
        <w:rPr>
          <w:rFonts w:ascii="Times New Roman" w:hAnsi="Times New Roman" w:cs="Times New Roman"/>
          <w:sz w:val="24"/>
          <w:szCs w:val="24"/>
          <w:lang w:val="pt-BR"/>
        </w:rPr>
      </w:pPr>
      <w:r w:rsidRPr="00C53E00">
        <w:rPr>
          <w:rFonts w:ascii="Times New Roman" w:hAnsi="Times New Roman" w:cs="Times New Roman"/>
          <w:sz w:val="24"/>
          <w:szCs w:val="24"/>
          <w:lang w:val="pt-BR"/>
        </w:rPr>
        <w:t>Em relação à obtenção de IR, Saaty (1988) propôs uma tabela que relaciona a quantidade “n” de fatores a valores correspondentes, segundo demonstrações em laboratório. A tabela 1 apresenta essa relação para matrizes de ordens que variam de 1 a 15. Para es</w:t>
      </w:r>
      <w:r w:rsidR="008869A8">
        <w:rPr>
          <w:rFonts w:ascii="Times New Roman" w:hAnsi="Times New Roman" w:cs="Times New Roman"/>
          <w:sz w:val="24"/>
          <w:szCs w:val="24"/>
          <w:lang w:val="pt-BR"/>
        </w:rPr>
        <w:t>te estudo que foram utilizados cinco</w:t>
      </w:r>
      <w:r w:rsidRPr="00C53E00">
        <w:rPr>
          <w:rFonts w:ascii="Times New Roman" w:hAnsi="Times New Roman" w:cs="Times New Roman"/>
          <w:sz w:val="24"/>
          <w:szCs w:val="24"/>
          <w:lang w:val="pt-BR"/>
        </w:rPr>
        <w:t xml:space="preserve"> fatores. O valor correspondente ao IR foi de 1,12.</w:t>
      </w:r>
    </w:p>
    <w:p w14:paraId="6301CD3B" w14:textId="77777777" w:rsidR="006C1CE0" w:rsidRPr="006C1CE0" w:rsidRDefault="006C1CE0" w:rsidP="00524517">
      <w:pPr>
        <w:rPr>
          <w:rFonts w:ascii="Times New Roman" w:hAnsi="Times New Roman" w:cs="Times New Roman"/>
          <w:lang w:val="pt-BR"/>
        </w:rPr>
      </w:pPr>
    </w:p>
    <w:p w14:paraId="7EAAC77B" w14:textId="77777777" w:rsidR="00497F1E" w:rsidRPr="006C1CE0" w:rsidRDefault="00497F1E" w:rsidP="00D62DA2">
      <w:pPr>
        <w:ind w:firstLine="0"/>
        <w:jc w:val="center"/>
        <w:rPr>
          <w:rFonts w:ascii="Times New Roman" w:hAnsi="Times New Roman" w:cs="Times New Roman"/>
        </w:rPr>
      </w:pPr>
      <w:r w:rsidRPr="006C1CE0">
        <w:rPr>
          <w:rFonts w:ascii="Times New Roman" w:hAnsi="Times New Roman" w:cs="Times New Roman"/>
        </w:rPr>
        <w:t>Tabela 1: Índices Randômicos (IR)</w:t>
      </w:r>
    </w:p>
    <w:p w14:paraId="78B3AD5F" w14:textId="77777777" w:rsidR="00497F1E" w:rsidRPr="00C53E00" w:rsidRDefault="00497F1E" w:rsidP="00D62DA2">
      <w:pPr>
        <w:ind w:firstLine="0"/>
        <w:jc w:val="center"/>
        <w:rPr>
          <w:rFonts w:ascii="Times New Roman" w:hAnsi="Times New Roman" w:cs="Times New Roman"/>
          <w:sz w:val="24"/>
          <w:szCs w:val="24"/>
        </w:rPr>
      </w:pPr>
      <w:r w:rsidRPr="00C53E00">
        <w:rPr>
          <w:rFonts w:ascii="Times New Roman" w:hAnsi="Times New Roman" w:cs="Times New Roman"/>
          <w:noProof/>
          <w:sz w:val="24"/>
          <w:szCs w:val="24"/>
          <w:lang w:val="pt-BR" w:eastAsia="pt-BR"/>
        </w:rPr>
        <w:drawing>
          <wp:inline distT="0" distB="0" distL="0" distR="0" wp14:anchorId="3F3A335E" wp14:editId="36D161A2">
            <wp:extent cx="5400040" cy="624445"/>
            <wp:effectExtent l="0" t="0" r="0" b="444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400040" cy="624445"/>
                    </a:xfrm>
                    <a:prstGeom prst="rect">
                      <a:avLst/>
                    </a:prstGeom>
                  </pic:spPr>
                </pic:pic>
              </a:graphicData>
            </a:graphic>
          </wp:inline>
        </w:drawing>
      </w:r>
    </w:p>
    <w:p w14:paraId="200F00BD" w14:textId="77777777" w:rsidR="00497F1E" w:rsidRPr="00894560" w:rsidRDefault="00497F1E" w:rsidP="00D62DA2">
      <w:pPr>
        <w:ind w:firstLine="0"/>
        <w:jc w:val="center"/>
        <w:rPr>
          <w:rFonts w:ascii="Times New Roman" w:hAnsi="Times New Roman" w:cs="Times New Roman"/>
          <w:lang w:val="pt-BR"/>
        </w:rPr>
      </w:pPr>
      <w:r w:rsidRPr="00894560">
        <w:rPr>
          <w:rFonts w:ascii="Times New Roman" w:hAnsi="Times New Roman" w:cs="Times New Roman"/>
          <w:lang w:val="pt-BR"/>
        </w:rPr>
        <w:t>Fonte: Saaty (1987).</w:t>
      </w:r>
    </w:p>
    <w:p w14:paraId="77DE6142" w14:textId="77777777" w:rsidR="006C1CE0" w:rsidRPr="006C1CE0" w:rsidRDefault="006C1CE0" w:rsidP="00524517">
      <w:pPr>
        <w:jc w:val="center"/>
        <w:rPr>
          <w:rFonts w:ascii="Times New Roman" w:hAnsi="Times New Roman" w:cs="Times New Roman"/>
          <w:i/>
          <w:lang w:val="pt-BR"/>
        </w:rPr>
      </w:pPr>
    </w:p>
    <w:p w14:paraId="7A9C036F" w14:textId="77777777" w:rsidR="00497F1E" w:rsidRPr="00C53E00" w:rsidRDefault="00497F1E" w:rsidP="00524517">
      <w:pPr>
        <w:rPr>
          <w:rFonts w:ascii="Times New Roman" w:hAnsi="Times New Roman" w:cs="Times New Roman"/>
          <w:sz w:val="24"/>
          <w:szCs w:val="24"/>
          <w:lang w:val="pt-BR"/>
        </w:rPr>
      </w:pPr>
      <w:r w:rsidRPr="00C53E00">
        <w:rPr>
          <w:rFonts w:ascii="Times New Roman" w:hAnsi="Times New Roman" w:cs="Times New Roman"/>
          <w:sz w:val="24"/>
          <w:szCs w:val="24"/>
          <w:lang w:val="pt-BR"/>
        </w:rPr>
        <w:t xml:space="preserve">Segundo Saaty (op.cit.), se RC resultar em um valor inferior ou igual a 0,10, é considerado que os resultados obtidos estão adequados na comparação dos pares, ou seja, os juízos são conscientes. </w:t>
      </w:r>
    </w:p>
    <w:p w14:paraId="0C135172" w14:textId="537A946D" w:rsidR="00497F1E" w:rsidRPr="006C1CE0" w:rsidRDefault="00497F1E" w:rsidP="00524517">
      <w:pPr>
        <w:rPr>
          <w:rFonts w:ascii="Times New Roman" w:hAnsi="Times New Roman" w:cs="Times New Roman"/>
          <w:lang w:val="pt-BR"/>
        </w:rPr>
      </w:pPr>
      <w:r w:rsidRPr="00C53E00">
        <w:rPr>
          <w:rFonts w:ascii="Times New Roman" w:hAnsi="Times New Roman" w:cs="Times New Roman"/>
          <w:sz w:val="24"/>
          <w:szCs w:val="24"/>
          <w:lang w:val="pt-BR"/>
        </w:rPr>
        <w:t xml:space="preserve">Sobre os julgamentos elaborados no âmbito do presente trabalho, a RC calculada com o apoio do código na linguagem Python descrito abaixo atingiu 0,04, portanto uma razão de consistência dentro do padrão satisfatório. </w:t>
      </w:r>
      <w:r w:rsidRPr="001E356E">
        <w:rPr>
          <w:rFonts w:ascii="Times New Roman" w:hAnsi="Times New Roman" w:cs="Times New Roman"/>
          <w:sz w:val="24"/>
          <w:szCs w:val="24"/>
          <w:lang w:val="pt-BR"/>
        </w:rPr>
        <w:t>A sequência de instruções é demonstrada a seguir.</w:t>
      </w:r>
    </w:p>
    <w:p w14:paraId="08024D30" w14:textId="46945C4A" w:rsidR="00524517" w:rsidRPr="006C1CE0" w:rsidRDefault="00524517" w:rsidP="00524517">
      <w:pPr>
        <w:ind w:firstLine="0"/>
        <w:jc w:val="center"/>
        <w:rPr>
          <w:rFonts w:ascii="Times New Roman" w:hAnsi="Times New Roman" w:cs="Times New Roman"/>
          <w:lang w:val="pt-BR"/>
        </w:rPr>
      </w:pPr>
      <w:r w:rsidRPr="006C1CE0">
        <w:rPr>
          <w:rFonts w:ascii="Times New Roman" w:hAnsi="Times New Roman" w:cs="Times New Roman"/>
          <w:lang w:val="pt-BR"/>
        </w:rPr>
        <w:t xml:space="preserve">Figura 3 </w:t>
      </w:r>
      <w:r w:rsidR="002562EA">
        <w:rPr>
          <w:rFonts w:ascii="Times New Roman" w:hAnsi="Times New Roman" w:cs="Times New Roman"/>
          <w:lang w:val="pt-BR"/>
        </w:rPr>
        <w:t>– modelagem da Razão de Consistência</w:t>
      </w:r>
    </w:p>
    <w:p w14:paraId="5C282AB9" w14:textId="77777777" w:rsidR="00497F1E" w:rsidRDefault="00497F1E" w:rsidP="00524517">
      <w:pPr>
        <w:ind w:firstLine="0"/>
        <w:jc w:val="center"/>
        <w:rPr>
          <w:rFonts w:ascii="Times New Roman" w:hAnsi="Times New Roman" w:cs="Times New Roman"/>
          <w:sz w:val="24"/>
          <w:szCs w:val="24"/>
        </w:rPr>
      </w:pPr>
      <w:r w:rsidRPr="00C53E00">
        <w:rPr>
          <w:rFonts w:ascii="Times New Roman" w:hAnsi="Times New Roman" w:cs="Times New Roman"/>
          <w:noProof/>
          <w:sz w:val="24"/>
          <w:szCs w:val="24"/>
          <w:lang w:val="pt-BR" w:eastAsia="pt-BR"/>
        </w:rPr>
        <w:drawing>
          <wp:inline distT="0" distB="0" distL="0" distR="0" wp14:anchorId="199B5E71" wp14:editId="0E240CF7">
            <wp:extent cx="4373217" cy="2258171"/>
            <wp:effectExtent l="0" t="0" r="8890" b="889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375150" cy="2259169"/>
                    </a:xfrm>
                    <a:prstGeom prst="rect">
                      <a:avLst/>
                    </a:prstGeom>
                  </pic:spPr>
                </pic:pic>
              </a:graphicData>
            </a:graphic>
          </wp:inline>
        </w:drawing>
      </w:r>
    </w:p>
    <w:p w14:paraId="3B35CC52" w14:textId="6F38078D" w:rsidR="00524517" w:rsidRPr="00C91B0A" w:rsidRDefault="00524517" w:rsidP="00524517">
      <w:pPr>
        <w:ind w:firstLine="0"/>
        <w:jc w:val="center"/>
        <w:rPr>
          <w:rFonts w:ascii="Times New Roman" w:hAnsi="Times New Roman" w:cs="Times New Roman"/>
          <w:lang w:val="pt-BR"/>
        </w:rPr>
      </w:pPr>
      <w:r w:rsidRPr="00C91B0A">
        <w:rPr>
          <w:rFonts w:ascii="Times New Roman" w:hAnsi="Times New Roman" w:cs="Times New Roman"/>
          <w:lang w:val="pt-BR"/>
        </w:rPr>
        <w:t>Fonte: Autoria própria</w:t>
      </w:r>
    </w:p>
    <w:p w14:paraId="0BFBF0C6" w14:textId="77777777" w:rsidR="00497F1E" w:rsidRPr="00C53E00" w:rsidRDefault="00497F1E" w:rsidP="00524517">
      <w:pPr>
        <w:rPr>
          <w:rFonts w:ascii="Times New Roman" w:hAnsi="Times New Roman" w:cs="Times New Roman"/>
          <w:sz w:val="24"/>
          <w:szCs w:val="24"/>
          <w:lang w:val="pt-BR"/>
        </w:rPr>
      </w:pPr>
      <w:r w:rsidRPr="00C53E00">
        <w:rPr>
          <w:rFonts w:ascii="Times New Roman" w:hAnsi="Times New Roman" w:cs="Times New Roman"/>
          <w:sz w:val="24"/>
          <w:szCs w:val="24"/>
          <w:lang w:val="pt-BR"/>
        </w:rPr>
        <w:t>Os cinco índices, já com os devidos pesos, geram o índice médio geral que é classificado segundo os seguintes parâmetros.</w:t>
      </w:r>
    </w:p>
    <w:p w14:paraId="5B508F2E" w14:textId="77777777" w:rsidR="00497F1E" w:rsidRPr="00C53E00" w:rsidRDefault="00497F1E" w:rsidP="00524517">
      <w:pPr>
        <w:pStyle w:val="PargrafodaLista"/>
        <w:numPr>
          <w:ilvl w:val="0"/>
          <w:numId w:val="13"/>
        </w:numPr>
        <w:spacing w:after="200"/>
        <w:rPr>
          <w:rFonts w:ascii="Times New Roman" w:hAnsi="Times New Roman" w:cs="Times New Roman"/>
          <w:sz w:val="24"/>
          <w:szCs w:val="24"/>
          <w:lang w:val="pt-BR"/>
        </w:rPr>
      </w:pPr>
      <w:r w:rsidRPr="00C53E00">
        <w:rPr>
          <w:rFonts w:ascii="Times New Roman" w:hAnsi="Times New Roman" w:cs="Times New Roman"/>
          <w:sz w:val="24"/>
          <w:szCs w:val="24"/>
          <w:lang w:val="pt-BR"/>
        </w:rPr>
        <w:t>Baixa dinâmica econômica (de 0,0 a 0,4 pontos);</w:t>
      </w:r>
    </w:p>
    <w:p w14:paraId="3C91BAD7" w14:textId="77777777" w:rsidR="00497F1E" w:rsidRPr="00C53E00" w:rsidRDefault="00497F1E" w:rsidP="00524517">
      <w:pPr>
        <w:pStyle w:val="PargrafodaLista"/>
        <w:numPr>
          <w:ilvl w:val="0"/>
          <w:numId w:val="13"/>
        </w:numPr>
        <w:spacing w:after="200"/>
        <w:rPr>
          <w:rFonts w:ascii="Times New Roman" w:hAnsi="Times New Roman" w:cs="Times New Roman"/>
          <w:sz w:val="24"/>
          <w:szCs w:val="24"/>
          <w:lang w:val="pt-BR"/>
        </w:rPr>
      </w:pPr>
      <w:r w:rsidRPr="00C53E00">
        <w:rPr>
          <w:rFonts w:ascii="Times New Roman" w:hAnsi="Times New Roman" w:cs="Times New Roman"/>
          <w:sz w:val="24"/>
          <w:szCs w:val="24"/>
          <w:lang w:val="pt-BR"/>
        </w:rPr>
        <w:t>Dinâmica econômica regular (resultados compreendidos entre 0,4 e 0,6 pontos);</w:t>
      </w:r>
    </w:p>
    <w:p w14:paraId="3DB9AFDC" w14:textId="77777777" w:rsidR="00497F1E" w:rsidRPr="00C53E00" w:rsidRDefault="00497F1E" w:rsidP="00524517">
      <w:pPr>
        <w:pStyle w:val="PargrafodaLista"/>
        <w:numPr>
          <w:ilvl w:val="0"/>
          <w:numId w:val="13"/>
        </w:numPr>
        <w:spacing w:after="200"/>
        <w:rPr>
          <w:rFonts w:ascii="Times New Roman" w:hAnsi="Times New Roman" w:cs="Times New Roman"/>
          <w:sz w:val="24"/>
          <w:szCs w:val="24"/>
          <w:lang w:val="pt-BR"/>
        </w:rPr>
      </w:pPr>
      <w:r w:rsidRPr="00C53E00">
        <w:rPr>
          <w:rFonts w:ascii="Times New Roman" w:hAnsi="Times New Roman" w:cs="Times New Roman"/>
          <w:sz w:val="24"/>
          <w:szCs w:val="24"/>
          <w:lang w:val="pt-BR"/>
        </w:rPr>
        <w:lastRenderedPageBreak/>
        <w:t>Dinâmica econômica moderada (resultados compreendidos entre 0,6 e 0,8 pontos);</w:t>
      </w:r>
    </w:p>
    <w:p w14:paraId="179C5807" w14:textId="77777777" w:rsidR="00497F1E" w:rsidRPr="00C53E00" w:rsidRDefault="00497F1E" w:rsidP="00524517">
      <w:pPr>
        <w:pStyle w:val="PargrafodaLista"/>
        <w:numPr>
          <w:ilvl w:val="0"/>
          <w:numId w:val="13"/>
        </w:numPr>
        <w:spacing w:after="200"/>
        <w:rPr>
          <w:rFonts w:ascii="Times New Roman" w:hAnsi="Times New Roman" w:cs="Times New Roman"/>
          <w:sz w:val="24"/>
          <w:szCs w:val="24"/>
          <w:lang w:val="pt-BR"/>
        </w:rPr>
      </w:pPr>
      <w:r w:rsidRPr="00C53E00">
        <w:rPr>
          <w:rFonts w:ascii="Times New Roman" w:hAnsi="Times New Roman" w:cs="Times New Roman"/>
          <w:sz w:val="24"/>
          <w:szCs w:val="24"/>
          <w:lang w:val="pt-BR"/>
        </w:rPr>
        <w:t>Alta dinâmica econômica: resultados superiores a 0,8 pontos.</w:t>
      </w:r>
    </w:p>
    <w:p w14:paraId="63E9B47F" w14:textId="77777777" w:rsidR="00497F1E" w:rsidRPr="00C53E00" w:rsidRDefault="00497F1E" w:rsidP="00524517">
      <w:pPr>
        <w:rPr>
          <w:rFonts w:ascii="Times New Roman" w:hAnsi="Times New Roman" w:cs="Times New Roman"/>
          <w:sz w:val="24"/>
          <w:szCs w:val="24"/>
          <w:lang w:val="pt-BR"/>
        </w:rPr>
      </w:pPr>
      <w:r w:rsidRPr="00C53E00">
        <w:rPr>
          <w:rFonts w:ascii="Times New Roman" w:hAnsi="Times New Roman" w:cs="Times New Roman"/>
          <w:sz w:val="24"/>
          <w:szCs w:val="24"/>
          <w:lang w:val="pt-BR"/>
        </w:rPr>
        <w:t>Complementarmente, os resultados correspondentes aos índices médios apurados são confrontados com o valor adicionado fiscal per capita de cada munícipio. A comparação entre esses dois elementos é importante para comprovar que não necessariamente o município mais rico em termos de valor adicionado per capita, apresenta maior dinâmica econômica no interior do seu sistema. Dessa forma pode-se observar o padrão de fixação da riqueza gerada localmente.</w:t>
      </w:r>
    </w:p>
    <w:p w14:paraId="17BE4F92" w14:textId="77777777" w:rsidR="00497F1E" w:rsidRPr="00C53E00" w:rsidRDefault="00497F1E" w:rsidP="00524517">
      <w:pPr>
        <w:rPr>
          <w:rFonts w:ascii="Times New Roman" w:hAnsi="Times New Roman" w:cs="Times New Roman"/>
          <w:sz w:val="24"/>
          <w:szCs w:val="24"/>
          <w:lang w:val="pt-BR"/>
        </w:rPr>
      </w:pPr>
      <w:r w:rsidRPr="00C53E00">
        <w:rPr>
          <w:rFonts w:ascii="Times New Roman" w:hAnsi="Times New Roman" w:cs="Times New Roman"/>
          <w:sz w:val="24"/>
          <w:szCs w:val="24"/>
          <w:lang w:val="pt-BR"/>
        </w:rPr>
        <w:t xml:space="preserve">A figura a seguir apresenta os elementos consolidados, oriundos da presente explanação. </w:t>
      </w:r>
    </w:p>
    <w:p w14:paraId="6BDB52C8" w14:textId="77777777" w:rsidR="00D04260" w:rsidRDefault="00D04260" w:rsidP="00524517">
      <w:pPr>
        <w:rPr>
          <w:rFonts w:ascii="Times New Roman" w:eastAsia="Times New Roman" w:hAnsi="Times New Roman" w:cs="Times New Roman"/>
          <w:b/>
          <w:sz w:val="22"/>
          <w:szCs w:val="22"/>
          <w:lang w:val="pt-BR"/>
        </w:rPr>
      </w:pPr>
    </w:p>
    <w:p w14:paraId="526FDC43" w14:textId="1457C0CB" w:rsidR="004E6E39" w:rsidRPr="00497F1E" w:rsidRDefault="00212697" w:rsidP="00636064">
      <w:pPr>
        <w:ind w:firstLine="0"/>
        <w:rPr>
          <w:rFonts w:ascii="Times New Roman" w:eastAsia="Times New Roman" w:hAnsi="Times New Roman" w:cs="Times New Roman"/>
          <w:b/>
          <w:sz w:val="22"/>
          <w:szCs w:val="22"/>
          <w:lang w:val="pt-BR"/>
        </w:rPr>
      </w:pPr>
      <w:proofErr w:type="gramStart"/>
      <w:r>
        <w:rPr>
          <w:rFonts w:ascii="Times New Roman" w:eastAsia="Times New Roman" w:hAnsi="Times New Roman" w:cs="Times New Roman"/>
          <w:b/>
          <w:sz w:val="22"/>
          <w:szCs w:val="22"/>
          <w:lang w:val="pt-BR"/>
        </w:rPr>
        <w:t>4</w:t>
      </w:r>
      <w:proofErr w:type="gramEnd"/>
      <w:r w:rsidR="00894560">
        <w:rPr>
          <w:rFonts w:ascii="Times New Roman" w:eastAsia="Times New Roman" w:hAnsi="Times New Roman" w:cs="Times New Roman"/>
          <w:b/>
          <w:sz w:val="22"/>
          <w:szCs w:val="22"/>
          <w:lang w:val="pt-BR"/>
        </w:rPr>
        <w:t xml:space="preserve"> RESULTADOS DA APLICAÇÃO DO INDEL NA MESOREGIÃO NORTE FLUMINENSE</w:t>
      </w:r>
      <w:r w:rsidR="002D273A">
        <w:rPr>
          <w:rFonts w:ascii="Times New Roman" w:eastAsia="Times New Roman" w:hAnsi="Times New Roman" w:cs="Times New Roman"/>
          <w:b/>
          <w:sz w:val="22"/>
          <w:szCs w:val="22"/>
          <w:lang w:val="pt-BR"/>
        </w:rPr>
        <w:t xml:space="preserve"> </w:t>
      </w:r>
    </w:p>
    <w:p w14:paraId="4296A47C" w14:textId="3E80DF45" w:rsidR="004E3FF2" w:rsidRDefault="00632424" w:rsidP="00524517">
      <w:pPr>
        <w:rPr>
          <w:rFonts w:ascii="Times New Roman" w:eastAsia="Times New Roman" w:hAnsi="Times New Roman" w:cs="Times New Roman"/>
          <w:sz w:val="24"/>
          <w:szCs w:val="24"/>
          <w:lang w:val="pt-BR"/>
        </w:rPr>
      </w:pPr>
      <w:r w:rsidRPr="00632424">
        <w:rPr>
          <w:rFonts w:ascii="Times New Roman" w:eastAsia="Times New Roman" w:hAnsi="Times New Roman" w:cs="Times New Roman"/>
          <w:sz w:val="24"/>
          <w:szCs w:val="24"/>
          <w:lang w:val="pt-BR"/>
        </w:rPr>
        <w:t>Para aplicação do INDEL</w:t>
      </w:r>
      <w:r>
        <w:rPr>
          <w:rFonts w:ascii="Times New Roman" w:eastAsia="Times New Roman" w:hAnsi="Times New Roman" w:cs="Times New Roman"/>
          <w:sz w:val="24"/>
          <w:szCs w:val="24"/>
          <w:lang w:val="pt-BR"/>
        </w:rPr>
        <w:t xml:space="preserve"> foram selecionados os munícipios de maior destaque na mesorregião, tais como: Campos dos Goytacazes, produtor de petróleo da bacia de Campos; Macaé, produtor </w:t>
      </w:r>
      <w:r w:rsidR="004E3FF2">
        <w:rPr>
          <w:rFonts w:ascii="Times New Roman" w:eastAsia="Times New Roman" w:hAnsi="Times New Roman" w:cs="Times New Roman"/>
          <w:sz w:val="24"/>
          <w:szCs w:val="24"/>
          <w:lang w:val="pt-BR"/>
        </w:rPr>
        <w:t xml:space="preserve">de petróleo e base na atividade offshore de petróleo da bacia de Campos e São João da Barra, produtor de petróleo e sede do complexo portuário do Açu. O município de São Francisco de Itabapoana foi incluído na presente amostra em função das marcantes diferenças em relação aos outros municípios. </w:t>
      </w:r>
      <w:r w:rsidR="007E63FC">
        <w:rPr>
          <w:rFonts w:ascii="Times New Roman" w:eastAsia="Times New Roman" w:hAnsi="Times New Roman" w:cs="Times New Roman"/>
          <w:sz w:val="24"/>
          <w:szCs w:val="24"/>
          <w:lang w:val="pt-BR"/>
        </w:rPr>
        <w:t xml:space="preserve">Os investimentos produtivos </w:t>
      </w:r>
      <w:r w:rsidR="00B960BE">
        <w:rPr>
          <w:rFonts w:ascii="Times New Roman" w:eastAsia="Times New Roman" w:hAnsi="Times New Roman" w:cs="Times New Roman"/>
          <w:sz w:val="24"/>
          <w:szCs w:val="24"/>
          <w:lang w:val="pt-BR"/>
        </w:rPr>
        <w:t>apresentam</w:t>
      </w:r>
      <w:r w:rsidR="004E3FF2">
        <w:rPr>
          <w:rFonts w:ascii="Times New Roman" w:eastAsia="Times New Roman" w:hAnsi="Times New Roman" w:cs="Times New Roman"/>
          <w:sz w:val="24"/>
          <w:szCs w:val="24"/>
          <w:lang w:val="pt-BR"/>
        </w:rPr>
        <w:t xml:space="preserve"> características endógenas, </w:t>
      </w:r>
      <w:r w:rsidR="00B960BE">
        <w:rPr>
          <w:rFonts w:ascii="Times New Roman" w:eastAsia="Times New Roman" w:hAnsi="Times New Roman" w:cs="Times New Roman"/>
          <w:sz w:val="24"/>
          <w:szCs w:val="24"/>
          <w:lang w:val="pt-BR"/>
        </w:rPr>
        <w:t>dirigidos fundamentalmente para a</w:t>
      </w:r>
      <w:r w:rsidR="004E3FF2">
        <w:rPr>
          <w:rFonts w:ascii="Times New Roman" w:eastAsia="Times New Roman" w:hAnsi="Times New Roman" w:cs="Times New Roman"/>
          <w:sz w:val="24"/>
          <w:szCs w:val="24"/>
          <w:lang w:val="pt-BR"/>
        </w:rPr>
        <w:t xml:space="preserve"> economia tradicional.</w:t>
      </w:r>
    </w:p>
    <w:p w14:paraId="54D8ADBC" w14:textId="08AE4779" w:rsidR="00894560" w:rsidRDefault="00B960BE" w:rsidP="00894560">
      <w:pPr>
        <w:rPr>
          <w:rFonts w:ascii="Times New Roman" w:eastAsia="Times New Roman" w:hAnsi="Times New Roman" w:cs="Times New Roman"/>
          <w:lang w:val="pt-BR"/>
        </w:rPr>
      </w:pPr>
      <w:r>
        <w:rPr>
          <w:rFonts w:ascii="Times New Roman" w:eastAsia="Times New Roman" w:hAnsi="Times New Roman" w:cs="Times New Roman"/>
          <w:sz w:val="24"/>
          <w:szCs w:val="24"/>
          <w:lang w:val="pt-BR"/>
        </w:rPr>
        <w:t xml:space="preserve">Os índices médios de dinâmica econômica local são apresentados na </w:t>
      </w:r>
      <w:r w:rsidR="00383A72">
        <w:rPr>
          <w:rFonts w:ascii="Times New Roman" w:eastAsia="Times New Roman" w:hAnsi="Times New Roman" w:cs="Times New Roman"/>
          <w:sz w:val="24"/>
          <w:szCs w:val="24"/>
          <w:lang w:val="pt-BR"/>
        </w:rPr>
        <w:t>figura 4</w:t>
      </w:r>
      <w:r>
        <w:rPr>
          <w:rFonts w:ascii="Times New Roman" w:eastAsia="Times New Roman" w:hAnsi="Times New Roman" w:cs="Times New Roman"/>
          <w:sz w:val="24"/>
          <w:szCs w:val="24"/>
          <w:lang w:val="pt-BR"/>
        </w:rPr>
        <w:t xml:space="preserve"> a seguir:</w:t>
      </w:r>
    </w:p>
    <w:p w14:paraId="7102400B" w14:textId="247ECA95" w:rsidR="00212697" w:rsidRPr="00D62DA2" w:rsidRDefault="00524517" w:rsidP="00524517">
      <w:pPr>
        <w:ind w:firstLine="0"/>
        <w:jc w:val="center"/>
        <w:rPr>
          <w:rFonts w:ascii="Times New Roman" w:eastAsia="Times New Roman" w:hAnsi="Times New Roman" w:cs="Times New Roman"/>
          <w:lang w:val="pt-BR"/>
        </w:rPr>
      </w:pPr>
      <w:r w:rsidRPr="00D62DA2">
        <w:rPr>
          <w:rFonts w:ascii="Times New Roman" w:eastAsia="Times New Roman" w:hAnsi="Times New Roman" w:cs="Times New Roman"/>
          <w:lang w:val="pt-BR"/>
        </w:rPr>
        <w:t>Figura 4</w:t>
      </w:r>
      <w:r w:rsidR="00212697" w:rsidRPr="00D62DA2">
        <w:rPr>
          <w:rFonts w:ascii="Times New Roman" w:eastAsia="Times New Roman" w:hAnsi="Times New Roman" w:cs="Times New Roman"/>
          <w:lang w:val="pt-BR"/>
        </w:rPr>
        <w:t xml:space="preserve"> </w:t>
      </w:r>
      <w:r w:rsidR="00383A72" w:rsidRPr="00D62DA2">
        <w:rPr>
          <w:rFonts w:ascii="Times New Roman" w:eastAsia="Times New Roman" w:hAnsi="Times New Roman" w:cs="Times New Roman"/>
          <w:lang w:val="pt-BR"/>
        </w:rPr>
        <w:t>– Índices médio</w:t>
      </w:r>
      <w:r w:rsidR="00815C2D" w:rsidRPr="00D62DA2">
        <w:rPr>
          <w:rFonts w:ascii="Times New Roman" w:eastAsia="Times New Roman" w:hAnsi="Times New Roman" w:cs="Times New Roman"/>
          <w:lang w:val="pt-BR"/>
        </w:rPr>
        <w:t>s</w:t>
      </w:r>
      <w:r w:rsidR="00383A72" w:rsidRPr="00D62DA2">
        <w:rPr>
          <w:rFonts w:ascii="Times New Roman" w:eastAsia="Times New Roman" w:hAnsi="Times New Roman" w:cs="Times New Roman"/>
          <w:lang w:val="pt-BR"/>
        </w:rPr>
        <w:t xml:space="preserve"> do INDEL</w:t>
      </w:r>
    </w:p>
    <w:p w14:paraId="28CE30C1" w14:textId="77777777" w:rsidR="00212697" w:rsidRDefault="00E96580" w:rsidP="00524517">
      <w:pPr>
        <w:ind w:firstLine="0"/>
        <w:jc w:val="center"/>
        <w:rPr>
          <w:rFonts w:ascii="Times New Roman" w:eastAsia="Times New Roman" w:hAnsi="Times New Roman" w:cs="Times New Roman"/>
          <w:i/>
          <w:lang w:val="pt-BR"/>
        </w:rPr>
      </w:pPr>
      <w:r w:rsidRPr="00E96580">
        <w:rPr>
          <w:rFonts w:ascii="Times New Roman" w:eastAsia="Times New Roman" w:hAnsi="Times New Roman" w:cs="Times New Roman"/>
          <w:noProof/>
          <w:sz w:val="24"/>
          <w:szCs w:val="24"/>
          <w:lang w:val="pt-BR" w:eastAsia="pt-BR"/>
        </w:rPr>
        <w:drawing>
          <wp:inline distT="0" distB="0" distL="0" distR="0" wp14:anchorId="52567584" wp14:editId="68F20953">
            <wp:extent cx="4423925" cy="1757239"/>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446010" cy="1766012"/>
                    </a:xfrm>
                    <a:prstGeom prst="rect">
                      <a:avLst/>
                    </a:prstGeom>
                  </pic:spPr>
                </pic:pic>
              </a:graphicData>
            </a:graphic>
          </wp:inline>
        </w:drawing>
      </w:r>
    </w:p>
    <w:p w14:paraId="3D2C9A21" w14:textId="1A0DA722" w:rsidR="00212697" w:rsidRPr="009F3CA4" w:rsidRDefault="00676117" w:rsidP="009F3CA4">
      <w:pPr>
        <w:ind w:firstLine="0"/>
        <w:jc w:val="center"/>
        <w:rPr>
          <w:rFonts w:ascii="Times New Roman" w:eastAsia="Times New Roman" w:hAnsi="Times New Roman" w:cs="Times New Roman"/>
          <w:lang w:val="pt-BR"/>
        </w:rPr>
      </w:pPr>
      <w:r w:rsidRPr="006C1CE0">
        <w:rPr>
          <w:rFonts w:ascii="Times New Roman" w:eastAsia="Times New Roman" w:hAnsi="Times New Roman" w:cs="Times New Roman"/>
          <w:lang w:val="pt-BR"/>
        </w:rPr>
        <w:t>Fonte: Elaboração própria</w:t>
      </w:r>
    </w:p>
    <w:p w14:paraId="372E1634" w14:textId="2AC5B67D" w:rsidR="00E96580" w:rsidRDefault="00676117" w:rsidP="00524517">
      <w:pPr>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 xml:space="preserve">Conforme podemos observar, a trajetória do INDEL nos municípios selecionados acentua </w:t>
      </w:r>
      <w:r w:rsidR="001017C0">
        <w:rPr>
          <w:rFonts w:ascii="Times New Roman" w:eastAsia="Times New Roman" w:hAnsi="Times New Roman" w:cs="Times New Roman"/>
          <w:sz w:val="24"/>
          <w:szCs w:val="24"/>
          <w:lang w:val="pt-BR"/>
        </w:rPr>
        <w:t xml:space="preserve">positivamente </w:t>
      </w:r>
      <w:r>
        <w:rPr>
          <w:rFonts w:ascii="Times New Roman" w:eastAsia="Times New Roman" w:hAnsi="Times New Roman" w:cs="Times New Roman"/>
          <w:sz w:val="24"/>
          <w:szCs w:val="24"/>
          <w:lang w:val="pt-BR"/>
        </w:rPr>
        <w:t>São Francisco de Itabapoana. O município foi o único a atingir o padrão de alta dinâmica (0,846) em 2022. O movimento de retração da dinâmica econômica em 2023 atingiu mais fortemente São Francisco de Itabapoana, São João da Barra e Campos</w:t>
      </w:r>
      <w:r w:rsidR="001017C0">
        <w:rPr>
          <w:rFonts w:ascii="Times New Roman" w:eastAsia="Times New Roman" w:hAnsi="Times New Roman" w:cs="Times New Roman"/>
          <w:sz w:val="24"/>
          <w:szCs w:val="24"/>
          <w:lang w:val="pt-BR"/>
        </w:rPr>
        <w:t xml:space="preserve">. </w:t>
      </w:r>
      <w:r w:rsidR="001017C0">
        <w:rPr>
          <w:rFonts w:ascii="Times New Roman" w:eastAsia="Times New Roman" w:hAnsi="Times New Roman" w:cs="Times New Roman"/>
          <w:sz w:val="24"/>
          <w:szCs w:val="24"/>
          <w:lang w:val="pt-BR"/>
        </w:rPr>
        <w:lastRenderedPageBreak/>
        <w:t>Em Macaé a retração foi mais branda apresentando um padrão de dinâmica regular, juntamente com São João da Barra neste ano. Já São Francisco de Itabapoana e Campos dos Goytacazes atingiram o padrão de dinâmica econômica moderada (entre 0,6 e 0,8).</w:t>
      </w:r>
    </w:p>
    <w:p w14:paraId="66F043C3" w14:textId="77777777" w:rsidR="00C94AB9" w:rsidRDefault="00987733" w:rsidP="00524517">
      <w:pPr>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 xml:space="preserve">A análise prévia chama atenção em virtude do padrão de dinâmica econômica no município diferenciado ser mais acentuado. </w:t>
      </w:r>
      <w:r w:rsidR="008976F5">
        <w:rPr>
          <w:rFonts w:ascii="Times New Roman" w:eastAsia="Times New Roman" w:hAnsi="Times New Roman" w:cs="Times New Roman"/>
          <w:sz w:val="24"/>
          <w:szCs w:val="24"/>
          <w:lang w:val="pt-BR"/>
        </w:rPr>
        <w:t xml:space="preserve">Isso ocorre na ausência de </w:t>
      </w:r>
      <w:r>
        <w:rPr>
          <w:rFonts w:ascii="Times New Roman" w:eastAsia="Times New Roman" w:hAnsi="Times New Roman" w:cs="Times New Roman"/>
          <w:sz w:val="24"/>
          <w:szCs w:val="24"/>
          <w:lang w:val="pt-BR"/>
        </w:rPr>
        <w:t>investimentos robustos em petróleo e atividade portuária</w:t>
      </w:r>
      <w:r w:rsidR="007021FC">
        <w:rPr>
          <w:rFonts w:ascii="Times New Roman" w:eastAsia="Times New Roman" w:hAnsi="Times New Roman" w:cs="Times New Roman"/>
          <w:sz w:val="24"/>
          <w:szCs w:val="24"/>
          <w:lang w:val="pt-BR"/>
        </w:rPr>
        <w:t>,</w:t>
      </w:r>
      <w:r>
        <w:rPr>
          <w:rFonts w:ascii="Times New Roman" w:eastAsia="Times New Roman" w:hAnsi="Times New Roman" w:cs="Times New Roman"/>
          <w:sz w:val="24"/>
          <w:szCs w:val="24"/>
          <w:lang w:val="pt-BR"/>
        </w:rPr>
        <w:t xml:space="preserve"> </w:t>
      </w:r>
      <w:r w:rsidR="008976F5">
        <w:rPr>
          <w:rFonts w:ascii="Times New Roman" w:eastAsia="Times New Roman" w:hAnsi="Times New Roman" w:cs="Times New Roman"/>
          <w:sz w:val="24"/>
          <w:szCs w:val="24"/>
          <w:lang w:val="pt-BR"/>
        </w:rPr>
        <w:t xml:space="preserve">comum aos outros </w:t>
      </w:r>
      <w:r w:rsidR="003C7119">
        <w:rPr>
          <w:rFonts w:ascii="Times New Roman" w:eastAsia="Times New Roman" w:hAnsi="Times New Roman" w:cs="Times New Roman"/>
          <w:sz w:val="24"/>
          <w:szCs w:val="24"/>
          <w:lang w:val="pt-BR"/>
        </w:rPr>
        <w:t>municípios</w:t>
      </w:r>
      <w:r w:rsidR="00C94AB9">
        <w:rPr>
          <w:rFonts w:ascii="Times New Roman" w:eastAsia="Times New Roman" w:hAnsi="Times New Roman" w:cs="Times New Roman"/>
          <w:sz w:val="24"/>
          <w:szCs w:val="24"/>
          <w:lang w:val="pt-BR"/>
        </w:rPr>
        <w:t xml:space="preserve"> da amostra</w:t>
      </w:r>
      <w:r>
        <w:rPr>
          <w:rFonts w:ascii="Times New Roman" w:eastAsia="Times New Roman" w:hAnsi="Times New Roman" w:cs="Times New Roman"/>
          <w:sz w:val="24"/>
          <w:szCs w:val="24"/>
          <w:lang w:val="pt-BR"/>
        </w:rPr>
        <w:t xml:space="preserve">. </w:t>
      </w:r>
    </w:p>
    <w:p w14:paraId="66A2AE43" w14:textId="03BAACF6" w:rsidR="0017387E" w:rsidRDefault="00987733" w:rsidP="00524517">
      <w:pPr>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 xml:space="preserve">Estudos de Ribeiro e Hasenclever (2017 e 2019) já indicavam </w:t>
      </w:r>
      <w:r w:rsidR="007021FC">
        <w:rPr>
          <w:rFonts w:ascii="Times New Roman" w:eastAsia="Times New Roman" w:hAnsi="Times New Roman" w:cs="Times New Roman"/>
          <w:sz w:val="24"/>
          <w:szCs w:val="24"/>
          <w:lang w:val="pt-BR"/>
        </w:rPr>
        <w:t xml:space="preserve">a característica fugaz </w:t>
      </w:r>
      <w:r>
        <w:rPr>
          <w:rFonts w:ascii="Times New Roman" w:eastAsia="Times New Roman" w:hAnsi="Times New Roman" w:cs="Times New Roman"/>
          <w:sz w:val="24"/>
          <w:szCs w:val="24"/>
          <w:lang w:val="pt-BR"/>
        </w:rPr>
        <w:t>de</w:t>
      </w:r>
      <w:r w:rsidR="007021FC">
        <w:rPr>
          <w:rFonts w:ascii="Times New Roman" w:eastAsia="Times New Roman" w:hAnsi="Times New Roman" w:cs="Times New Roman"/>
          <w:sz w:val="24"/>
          <w:szCs w:val="24"/>
          <w:lang w:val="pt-BR"/>
        </w:rPr>
        <w:t>s</w:t>
      </w:r>
      <w:r>
        <w:rPr>
          <w:rFonts w:ascii="Times New Roman" w:eastAsia="Times New Roman" w:hAnsi="Times New Roman" w:cs="Times New Roman"/>
          <w:sz w:val="24"/>
          <w:szCs w:val="24"/>
          <w:lang w:val="pt-BR"/>
        </w:rPr>
        <w:t>s</w:t>
      </w:r>
      <w:r w:rsidR="007021FC">
        <w:rPr>
          <w:rFonts w:ascii="Times New Roman" w:eastAsia="Times New Roman" w:hAnsi="Times New Roman" w:cs="Times New Roman"/>
          <w:sz w:val="24"/>
          <w:szCs w:val="24"/>
          <w:lang w:val="pt-BR"/>
        </w:rPr>
        <w:t>es</w:t>
      </w:r>
      <w:r>
        <w:rPr>
          <w:rFonts w:ascii="Times New Roman" w:eastAsia="Times New Roman" w:hAnsi="Times New Roman" w:cs="Times New Roman"/>
          <w:sz w:val="24"/>
          <w:szCs w:val="24"/>
          <w:lang w:val="pt-BR"/>
        </w:rPr>
        <w:t xml:space="preserve"> investimentos exógenos de </w:t>
      </w:r>
      <w:r w:rsidR="007021FC">
        <w:rPr>
          <w:rFonts w:ascii="Times New Roman" w:eastAsia="Times New Roman" w:hAnsi="Times New Roman" w:cs="Times New Roman"/>
          <w:sz w:val="24"/>
          <w:szCs w:val="24"/>
          <w:lang w:val="pt-BR"/>
        </w:rPr>
        <w:t>base</w:t>
      </w:r>
      <w:r>
        <w:rPr>
          <w:rFonts w:ascii="Times New Roman" w:eastAsia="Times New Roman" w:hAnsi="Times New Roman" w:cs="Times New Roman"/>
          <w:sz w:val="24"/>
          <w:szCs w:val="24"/>
          <w:lang w:val="pt-BR"/>
        </w:rPr>
        <w:t xml:space="preserve"> em recursos naturais. Eles apresentam elevada capacidade de geração de riqueza, entretanto o território se apresenta frágil para a absorção de </w:t>
      </w:r>
      <w:r w:rsidR="00C94AB9">
        <w:rPr>
          <w:rFonts w:ascii="Times New Roman" w:eastAsia="Times New Roman" w:hAnsi="Times New Roman" w:cs="Times New Roman"/>
          <w:sz w:val="24"/>
          <w:szCs w:val="24"/>
          <w:lang w:val="pt-BR"/>
        </w:rPr>
        <w:t>parcela</w:t>
      </w:r>
      <w:r>
        <w:rPr>
          <w:rFonts w:ascii="Times New Roman" w:eastAsia="Times New Roman" w:hAnsi="Times New Roman" w:cs="Times New Roman"/>
          <w:sz w:val="24"/>
          <w:szCs w:val="24"/>
          <w:lang w:val="pt-BR"/>
        </w:rPr>
        <w:t xml:space="preserve"> </w:t>
      </w:r>
      <w:r w:rsidR="00C94AB9">
        <w:rPr>
          <w:rFonts w:ascii="Times New Roman" w:eastAsia="Times New Roman" w:hAnsi="Times New Roman" w:cs="Times New Roman"/>
          <w:sz w:val="24"/>
          <w:szCs w:val="24"/>
          <w:lang w:val="pt-BR"/>
        </w:rPr>
        <w:t>relevante</w:t>
      </w:r>
      <w:r>
        <w:rPr>
          <w:rFonts w:ascii="Times New Roman" w:eastAsia="Times New Roman" w:hAnsi="Times New Roman" w:cs="Times New Roman"/>
          <w:sz w:val="24"/>
          <w:szCs w:val="24"/>
          <w:lang w:val="pt-BR"/>
        </w:rPr>
        <w:t xml:space="preserve"> da mesma riqueza gerada.</w:t>
      </w:r>
    </w:p>
    <w:p w14:paraId="3D2A888A" w14:textId="77055215" w:rsidR="00676117" w:rsidRDefault="00415725" w:rsidP="00524517">
      <w:pPr>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O aprofundamento</w:t>
      </w:r>
      <w:r w:rsidR="00504738">
        <w:rPr>
          <w:rFonts w:ascii="Times New Roman" w:eastAsia="Times New Roman" w:hAnsi="Times New Roman" w:cs="Times New Roman"/>
          <w:sz w:val="24"/>
          <w:szCs w:val="24"/>
          <w:lang w:val="pt-BR"/>
        </w:rPr>
        <w:t xml:space="preserve"> </w:t>
      </w:r>
      <w:r>
        <w:rPr>
          <w:rFonts w:ascii="Times New Roman" w:eastAsia="Times New Roman" w:hAnsi="Times New Roman" w:cs="Times New Roman"/>
          <w:sz w:val="24"/>
          <w:szCs w:val="24"/>
          <w:lang w:val="pt-BR"/>
        </w:rPr>
        <w:t>d</w:t>
      </w:r>
      <w:r w:rsidR="00504738">
        <w:rPr>
          <w:rFonts w:ascii="Times New Roman" w:eastAsia="Times New Roman" w:hAnsi="Times New Roman" w:cs="Times New Roman"/>
          <w:sz w:val="24"/>
          <w:szCs w:val="24"/>
          <w:lang w:val="pt-BR"/>
        </w:rPr>
        <w:t>a análise pela observação da participação no ICMS</w:t>
      </w:r>
      <w:r w:rsidR="00257B36">
        <w:rPr>
          <w:rFonts w:ascii="Times New Roman" w:eastAsia="Times New Roman" w:hAnsi="Times New Roman" w:cs="Times New Roman"/>
          <w:sz w:val="24"/>
          <w:szCs w:val="24"/>
          <w:lang w:val="pt-BR"/>
        </w:rPr>
        <w:t xml:space="preserve"> confirma</w:t>
      </w:r>
      <w:r w:rsidR="00504738">
        <w:rPr>
          <w:rFonts w:ascii="Times New Roman" w:eastAsia="Times New Roman" w:hAnsi="Times New Roman" w:cs="Times New Roman"/>
          <w:sz w:val="24"/>
          <w:szCs w:val="24"/>
          <w:lang w:val="pt-BR"/>
        </w:rPr>
        <w:t xml:space="preserve"> o destaque de São Francisco de Itabapoana frente aos outros municípios. Apesar da desaceleração ao longo do período</w:t>
      </w:r>
      <w:r w:rsidR="00815C2D">
        <w:rPr>
          <w:rFonts w:ascii="Times New Roman" w:eastAsia="Times New Roman" w:hAnsi="Times New Roman" w:cs="Times New Roman"/>
          <w:sz w:val="24"/>
          <w:szCs w:val="24"/>
          <w:lang w:val="pt-BR"/>
        </w:rPr>
        <w:t>,</w:t>
      </w:r>
      <w:r w:rsidR="00E7592F">
        <w:rPr>
          <w:rFonts w:ascii="Times New Roman" w:eastAsia="Times New Roman" w:hAnsi="Times New Roman" w:cs="Times New Roman"/>
          <w:sz w:val="24"/>
          <w:szCs w:val="24"/>
          <w:lang w:val="pt-BR"/>
        </w:rPr>
        <w:t xml:space="preserve"> a sua participação relativa supera os demais municípios. Importante lembrar que a distribuição do tributo pelo estado tem peso importante no valor adicionado internamente e na arrecadação própria. </w:t>
      </w:r>
    </w:p>
    <w:p w14:paraId="2EF11C9F" w14:textId="6C34110B" w:rsidR="00E7592F" w:rsidRPr="00894560" w:rsidRDefault="00524517" w:rsidP="00524517">
      <w:pPr>
        <w:ind w:firstLine="0"/>
        <w:jc w:val="center"/>
        <w:rPr>
          <w:rFonts w:ascii="Times New Roman" w:eastAsia="Times New Roman" w:hAnsi="Times New Roman" w:cs="Times New Roman"/>
          <w:lang w:val="pt-BR"/>
        </w:rPr>
      </w:pPr>
      <w:r w:rsidRPr="00894560">
        <w:rPr>
          <w:rFonts w:ascii="Times New Roman" w:eastAsia="Times New Roman" w:hAnsi="Times New Roman" w:cs="Times New Roman"/>
          <w:lang w:val="pt-BR"/>
        </w:rPr>
        <w:t>Figura 5</w:t>
      </w:r>
      <w:r w:rsidR="00212697" w:rsidRPr="00894560">
        <w:rPr>
          <w:rFonts w:ascii="Times New Roman" w:eastAsia="Times New Roman" w:hAnsi="Times New Roman" w:cs="Times New Roman"/>
          <w:lang w:val="pt-BR"/>
        </w:rPr>
        <w:t xml:space="preserve"> </w:t>
      </w:r>
      <w:r w:rsidR="00815C2D" w:rsidRPr="00894560">
        <w:rPr>
          <w:rFonts w:ascii="Times New Roman" w:eastAsia="Times New Roman" w:hAnsi="Times New Roman" w:cs="Times New Roman"/>
          <w:lang w:val="pt-BR"/>
        </w:rPr>
        <w:t>– Percentual do ICMS nas Receitas Correntes</w:t>
      </w:r>
    </w:p>
    <w:p w14:paraId="58C2E2FC" w14:textId="6E0A4916" w:rsidR="00C9652B" w:rsidRDefault="00C9652B" w:rsidP="00524517">
      <w:pPr>
        <w:ind w:firstLine="0"/>
        <w:jc w:val="center"/>
        <w:rPr>
          <w:rFonts w:ascii="Times New Roman" w:eastAsia="Times New Roman" w:hAnsi="Times New Roman" w:cs="Times New Roman"/>
          <w:b/>
          <w:sz w:val="24"/>
          <w:szCs w:val="24"/>
          <w:lang w:val="pt-BR"/>
        </w:rPr>
      </w:pPr>
      <w:r w:rsidRPr="0035427A">
        <w:rPr>
          <w:rFonts w:ascii="Times New Roman" w:eastAsia="Times New Roman" w:hAnsi="Times New Roman" w:cs="Times New Roman"/>
          <w:noProof/>
          <w:lang w:val="pt-BR" w:eastAsia="pt-BR"/>
        </w:rPr>
        <w:drawing>
          <wp:inline distT="0" distB="0" distL="0" distR="0" wp14:anchorId="1BA2D2B2" wp14:editId="1CEE8F16">
            <wp:extent cx="4572000" cy="852722"/>
            <wp:effectExtent l="0" t="0" r="0" b="508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4572000" cy="852722"/>
                    </a:xfrm>
                    <a:prstGeom prst="rect">
                      <a:avLst/>
                    </a:prstGeom>
                  </pic:spPr>
                </pic:pic>
              </a:graphicData>
            </a:graphic>
          </wp:inline>
        </w:drawing>
      </w:r>
    </w:p>
    <w:p w14:paraId="61E64381" w14:textId="229099AA" w:rsidR="00A221BF" w:rsidRDefault="00C9652B" w:rsidP="00524517">
      <w:pPr>
        <w:ind w:firstLine="0"/>
        <w:jc w:val="center"/>
        <w:rPr>
          <w:rFonts w:ascii="Times New Roman" w:eastAsia="Times New Roman" w:hAnsi="Times New Roman" w:cs="Times New Roman"/>
          <w:b/>
          <w:sz w:val="24"/>
          <w:szCs w:val="24"/>
          <w:lang w:val="pt-BR"/>
        </w:rPr>
      </w:pPr>
      <w:r w:rsidRPr="00DD0B7C">
        <w:rPr>
          <w:rFonts w:ascii="Times New Roman" w:eastAsia="Times New Roman" w:hAnsi="Times New Roman" w:cs="Times New Roman"/>
          <w:b/>
          <w:noProof/>
          <w:lang w:val="pt-BR" w:eastAsia="pt-BR"/>
        </w:rPr>
        <w:drawing>
          <wp:inline distT="0" distB="0" distL="0" distR="0" wp14:anchorId="2063DF75" wp14:editId="0D14454D">
            <wp:extent cx="4565042" cy="1725433"/>
            <wp:effectExtent l="0" t="0" r="6985" b="825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4571834" cy="1728000"/>
                    </a:xfrm>
                    <a:prstGeom prst="rect">
                      <a:avLst/>
                    </a:prstGeom>
                  </pic:spPr>
                </pic:pic>
              </a:graphicData>
            </a:graphic>
          </wp:inline>
        </w:drawing>
      </w:r>
    </w:p>
    <w:p w14:paraId="5AD4CEC2" w14:textId="12452388" w:rsidR="00E7592F" w:rsidRPr="00894560" w:rsidRDefault="00212697" w:rsidP="00524517">
      <w:pPr>
        <w:ind w:firstLine="0"/>
        <w:jc w:val="center"/>
        <w:rPr>
          <w:rFonts w:ascii="Times New Roman" w:eastAsia="Times New Roman" w:hAnsi="Times New Roman" w:cs="Times New Roman"/>
          <w:lang w:val="pt-BR"/>
        </w:rPr>
      </w:pPr>
      <w:r w:rsidRPr="00894560">
        <w:rPr>
          <w:rFonts w:ascii="Times New Roman" w:eastAsia="Times New Roman" w:hAnsi="Times New Roman" w:cs="Times New Roman"/>
          <w:lang w:val="pt-BR"/>
        </w:rPr>
        <w:t>Fonte: Autoria própria</w:t>
      </w:r>
    </w:p>
    <w:p w14:paraId="0170D8C6" w14:textId="77777777" w:rsidR="00212697" w:rsidRDefault="00212697" w:rsidP="00524517">
      <w:pPr>
        <w:rPr>
          <w:rFonts w:ascii="Times New Roman" w:eastAsia="Times New Roman" w:hAnsi="Times New Roman" w:cs="Times New Roman"/>
          <w:sz w:val="24"/>
          <w:szCs w:val="24"/>
          <w:lang w:val="pt-BR"/>
        </w:rPr>
      </w:pPr>
    </w:p>
    <w:p w14:paraId="310CCD55" w14:textId="51F2A733" w:rsidR="00E7592F" w:rsidRDefault="00E7592F" w:rsidP="00524517">
      <w:pPr>
        <w:rPr>
          <w:rFonts w:ascii="Times New Roman" w:eastAsia="Times New Roman" w:hAnsi="Times New Roman" w:cs="Times New Roman"/>
          <w:sz w:val="24"/>
          <w:szCs w:val="24"/>
          <w:lang w:val="pt-BR"/>
        </w:rPr>
      </w:pPr>
      <w:r w:rsidRPr="00E7592F">
        <w:rPr>
          <w:rFonts w:ascii="Times New Roman" w:eastAsia="Times New Roman" w:hAnsi="Times New Roman" w:cs="Times New Roman"/>
          <w:sz w:val="24"/>
          <w:szCs w:val="24"/>
          <w:lang w:val="pt-BR"/>
        </w:rPr>
        <w:t>Um segundo indicador importante é o investimento público</w:t>
      </w:r>
      <w:r>
        <w:rPr>
          <w:rFonts w:ascii="Times New Roman" w:eastAsia="Times New Roman" w:hAnsi="Times New Roman" w:cs="Times New Roman"/>
          <w:sz w:val="24"/>
          <w:szCs w:val="24"/>
          <w:lang w:val="pt-BR"/>
        </w:rPr>
        <w:t>, cujo</w:t>
      </w:r>
      <w:r w:rsidRPr="00E7592F">
        <w:rPr>
          <w:rFonts w:ascii="Times New Roman" w:eastAsia="Times New Roman" w:hAnsi="Times New Roman" w:cs="Times New Roman"/>
          <w:sz w:val="24"/>
          <w:szCs w:val="24"/>
          <w:lang w:val="pt-BR"/>
        </w:rPr>
        <w:t xml:space="preserve"> peso </w:t>
      </w:r>
      <w:r>
        <w:rPr>
          <w:rFonts w:ascii="Times New Roman" w:eastAsia="Times New Roman" w:hAnsi="Times New Roman" w:cs="Times New Roman"/>
          <w:sz w:val="24"/>
          <w:szCs w:val="24"/>
          <w:lang w:val="pt-BR"/>
        </w:rPr>
        <w:t xml:space="preserve">é </w:t>
      </w:r>
      <w:r w:rsidR="00AF48FB" w:rsidRPr="00E7592F">
        <w:rPr>
          <w:rFonts w:ascii="Times New Roman" w:eastAsia="Times New Roman" w:hAnsi="Times New Roman" w:cs="Times New Roman"/>
          <w:sz w:val="24"/>
          <w:szCs w:val="24"/>
          <w:lang w:val="pt-BR"/>
        </w:rPr>
        <w:t>rele</w:t>
      </w:r>
      <w:r w:rsidR="00AF48FB">
        <w:rPr>
          <w:rFonts w:ascii="Times New Roman" w:eastAsia="Times New Roman" w:hAnsi="Times New Roman" w:cs="Times New Roman"/>
          <w:sz w:val="24"/>
          <w:szCs w:val="24"/>
          <w:lang w:val="pt-BR"/>
        </w:rPr>
        <w:t>van</w:t>
      </w:r>
      <w:r w:rsidR="00AF48FB" w:rsidRPr="00E7592F">
        <w:rPr>
          <w:rFonts w:ascii="Times New Roman" w:eastAsia="Times New Roman" w:hAnsi="Times New Roman" w:cs="Times New Roman"/>
          <w:sz w:val="24"/>
          <w:szCs w:val="24"/>
          <w:lang w:val="pt-BR"/>
        </w:rPr>
        <w:t>te</w:t>
      </w:r>
      <w:r w:rsidR="00AF48FB">
        <w:rPr>
          <w:rFonts w:ascii="Times New Roman" w:eastAsia="Times New Roman" w:hAnsi="Times New Roman" w:cs="Times New Roman"/>
          <w:sz w:val="24"/>
          <w:szCs w:val="24"/>
          <w:lang w:val="pt-BR"/>
        </w:rPr>
        <w:t xml:space="preserve"> no cá</w:t>
      </w:r>
      <w:r w:rsidRPr="00E7592F">
        <w:rPr>
          <w:rFonts w:ascii="Times New Roman" w:eastAsia="Times New Roman" w:hAnsi="Times New Roman" w:cs="Times New Roman"/>
          <w:sz w:val="24"/>
          <w:szCs w:val="24"/>
          <w:lang w:val="pt-BR"/>
        </w:rPr>
        <w:t>lculo</w:t>
      </w:r>
      <w:r w:rsidR="00AF48FB">
        <w:rPr>
          <w:rFonts w:ascii="Times New Roman" w:eastAsia="Times New Roman" w:hAnsi="Times New Roman" w:cs="Times New Roman"/>
          <w:sz w:val="24"/>
          <w:szCs w:val="24"/>
          <w:lang w:val="pt-BR"/>
        </w:rPr>
        <w:t xml:space="preserve"> do INDEL. Os resultados são apresentados a seguir.</w:t>
      </w:r>
    </w:p>
    <w:p w14:paraId="65051DD3" w14:textId="77777777" w:rsidR="00AF48FB" w:rsidRDefault="00AF48FB" w:rsidP="00524517">
      <w:pPr>
        <w:rPr>
          <w:rFonts w:ascii="Times New Roman" w:eastAsia="Times New Roman" w:hAnsi="Times New Roman" w:cs="Times New Roman"/>
          <w:sz w:val="24"/>
          <w:szCs w:val="24"/>
          <w:lang w:val="pt-BR"/>
        </w:rPr>
      </w:pPr>
    </w:p>
    <w:p w14:paraId="0D4140C8" w14:textId="77777777" w:rsidR="00AE5023" w:rsidRDefault="00AE5023" w:rsidP="00524517">
      <w:pPr>
        <w:rPr>
          <w:rFonts w:ascii="Times New Roman" w:eastAsia="Times New Roman" w:hAnsi="Times New Roman" w:cs="Times New Roman"/>
          <w:sz w:val="24"/>
          <w:szCs w:val="24"/>
          <w:lang w:val="pt-BR"/>
        </w:rPr>
      </w:pPr>
    </w:p>
    <w:p w14:paraId="1B5F023D" w14:textId="77777777" w:rsidR="00AE5023" w:rsidRDefault="00AE5023" w:rsidP="00524517">
      <w:pPr>
        <w:rPr>
          <w:rFonts w:ascii="Times New Roman" w:eastAsia="Times New Roman" w:hAnsi="Times New Roman" w:cs="Times New Roman"/>
          <w:sz w:val="24"/>
          <w:szCs w:val="24"/>
          <w:lang w:val="pt-BR"/>
        </w:rPr>
      </w:pPr>
    </w:p>
    <w:p w14:paraId="26E59FE0" w14:textId="77777777" w:rsidR="00AE5023" w:rsidRDefault="00AE5023" w:rsidP="00524517">
      <w:pPr>
        <w:rPr>
          <w:rFonts w:ascii="Times New Roman" w:eastAsia="Times New Roman" w:hAnsi="Times New Roman" w:cs="Times New Roman"/>
          <w:sz w:val="24"/>
          <w:szCs w:val="24"/>
          <w:lang w:val="pt-BR"/>
        </w:rPr>
      </w:pPr>
    </w:p>
    <w:p w14:paraId="07D556BC" w14:textId="22ED8D4A" w:rsidR="0035427A" w:rsidRPr="00894560" w:rsidRDefault="00524517" w:rsidP="00524517">
      <w:pPr>
        <w:ind w:firstLine="0"/>
        <w:jc w:val="center"/>
        <w:rPr>
          <w:rFonts w:ascii="Times New Roman" w:eastAsia="Times New Roman" w:hAnsi="Times New Roman" w:cs="Times New Roman"/>
          <w:lang w:val="pt-BR"/>
        </w:rPr>
      </w:pPr>
      <w:r w:rsidRPr="00894560">
        <w:rPr>
          <w:rFonts w:ascii="Times New Roman" w:eastAsia="Times New Roman" w:hAnsi="Times New Roman" w:cs="Times New Roman"/>
          <w:lang w:val="pt-BR"/>
        </w:rPr>
        <w:t>Figura 6</w:t>
      </w:r>
      <w:r w:rsidR="0035427A" w:rsidRPr="00894560">
        <w:rPr>
          <w:rFonts w:ascii="Times New Roman" w:eastAsia="Times New Roman" w:hAnsi="Times New Roman" w:cs="Times New Roman"/>
          <w:lang w:val="pt-BR"/>
        </w:rPr>
        <w:t xml:space="preserve"> </w:t>
      </w:r>
      <w:r w:rsidR="00B16B78" w:rsidRPr="00894560">
        <w:rPr>
          <w:rFonts w:ascii="Times New Roman" w:eastAsia="Times New Roman" w:hAnsi="Times New Roman" w:cs="Times New Roman"/>
          <w:lang w:val="pt-BR"/>
        </w:rPr>
        <w:t>– Percentual do Investimento nas Receitas Correntes</w:t>
      </w:r>
    </w:p>
    <w:p w14:paraId="6D7C0460" w14:textId="105620BD" w:rsidR="00C9652B" w:rsidRPr="00AF48FB" w:rsidRDefault="00E7592F" w:rsidP="00524517">
      <w:pPr>
        <w:ind w:firstLine="0"/>
        <w:jc w:val="center"/>
        <w:rPr>
          <w:rFonts w:ascii="Times New Roman" w:eastAsia="Times New Roman" w:hAnsi="Times New Roman" w:cs="Times New Roman"/>
          <w:b/>
          <w:sz w:val="24"/>
          <w:szCs w:val="24"/>
          <w:lang w:val="pt-BR"/>
        </w:rPr>
      </w:pPr>
      <w:r w:rsidRPr="00E7592F">
        <w:rPr>
          <w:rFonts w:ascii="Times New Roman" w:eastAsia="Times New Roman" w:hAnsi="Times New Roman" w:cs="Times New Roman"/>
          <w:b/>
          <w:noProof/>
          <w:sz w:val="24"/>
          <w:szCs w:val="24"/>
          <w:lang w:val="pt-BR" w:eastAsia="pt-BR"/>
        </w:rPr>
        <w:drawing>
          <wp:inline distT="0" distB="0" distL="0" distR="0" wp14:anchorId="1A88642E" wp14:editId="06AD737C">
            <wp:extent cx="4419600" cy="982633"/>
            <wp:effectExtent l="0" t="0" r="0" b="8255"/>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4421740" cy="983109"/>
                    </a:xfrm>
                    <a:prstGeom prst="rect">
                      <a:avLst/>
                    </a:prstGeom>
                  </pic:spPr>
                </pic:pic>
              </a:graphicData>
            </a:graphic>
          </wp:inline>
        </w:drawing>
      </w:r>
    </w:p>
    <w:p w14:paraId="2E7B98E7" w14:textId="64061A9A" w:rsidR="00E7592F" w:rsidRDefault="00E7592F" w:rsidP="00524517">
      <w:pPr>
        <w:ind w:firstLine="0"/>
        <w:jc w:val="center"/>
        <w:rPr>
          <w:rFonts w:ascii="Times New Roman" w:eastAsia="Times New Roman" w:hAnsi="Times New Roman" w:cs="Times New Roman"/>
          <w:b/>
          <w:sz w:val="24"/>
          <w:szCs w:val="24"/>
        </w:rPr>
      </w:pPr>
      <w:r w:rsidRPr="00E7592F">
        <w:rPr>
          <w:rFonts w:ascii="Times New Roman" w:eastAsia="Times New Roman" w:hAnsi="Times New Roman" w:cs="Times New Roman"/>
          <w:b/>
          <w:noProof/>
          <w:sz w:val="24"/>
          <w:szCs w:val="24"/>
          <w:lang w:val="pt-BR" w:eastAsia="pt-BR"/>
        </w:rPr>
        <w:drawing>
          <wp:inline distT="0" distB="0" distL="0" distR="0" wp14:anchorId="593772F7" wp14:editId="71CAC786">
            <wp:extent cx="4373217" cy="1669774"/>
            <wp:effectExtent l="0" t="0" r="8890" b="6985"/>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4386516" cy="1674852"/>
                    </a:xfrm>
                    <a:prstGeom prst="rect">
                      <a:avLst/>
                    </a:prstGeom>
                  </pic:spPr>
                </pic:pic>
              </a:graphicData>
            </a:graphic>
          </wp:inline>
        </w:drawing>
      </w:r>
    </w:p>
    <w:p w14:paraId="7FBE5A2F" w14:textId="38180A68" w:rsidR="0035427A" w:rsidRPr="00894560" w:rsidRDefault="0035427A" w:rsidP="00524517">
      <w:pPr>
        <w:ind w:firstLine="0"/>
        <w:jc w:val="center"/>
        <w:rPr>
          <w:rFonts w:ascii="Times New Roman" w:eastAsia="Times New Roman" w:hAnsi="Times New Roman" w:cs="Times New Roman"/>
          <w:lang w:val="pt-BR"/>
        </w:rPr>
      </w:pPr>
      <w:r w:rsidRPr="00894560">
        <w:rPr>
          <w:rFonts w:ascii="Times New Roman" w:eastAsia="Times New Roman" w:hAnsi="Times New Roman" w:cs="Times New Roman"/>
          <w:lang w:val="pt-BR"/>
        </w:rPr>
        <w:t>Fonte: Autoria própria</w:t>
      </w:r>
    </w:p>
    <w:p w14:paraId="56A590D0" w14:textId="3423F93D" w:rsidR="00E7592F" w:rsidRDefault="00AF48FB" w:rsidP="00524517">
      <w:pPr>
        <w:rPr>
          <w:rFonts w:ascii="Times New Roman" w:eastAsia="Times New Roman" w:hAnsi="Times New Roman" w:cs="Times New Roman"/>
          <w:sz w:val="24"/>
          <w:szCs w:val="24"/>
          <w:lang w:val="pt-BR"/>
        </w:rPr>
      </w:pPr>
      <w:r w:rsidRPr="00AF48FB">
        <w:rPr>
          <w:rFonts w:ascii="Times New Roman" w:eastAsia="Times New Roman" w:hAnsi="Times New Roman" w:cs="Times New Roman"/>
          <w:sz w:val="24"/>
          <w:szCs w:val="24"/>
          <w:lang w:val="pt-BR"/>
        </w:rPr>
        <w:t>Uma primeira visão mostra a</w:t>
      </w:r>
      <w:r>
        <w:rPr>
          <w:rFonts w:ascii="Times New Roman" w:eastAsia="Times New Roman" w:hAnsi="Times New Roman" w:cs="Times New Roman"/>
          <w:sz w:val="24"/>
          <w:szCs w:val="24"/>
          <w:lang w:val="pt-BR"/>
        </w:rPr>
        <w:t xml:space="preserve"> fragilidade dos municípios</w:t>
      </w:r>
      <w:r w:rsidR="00EC7263">
        <w:rPr>
          <w:rFonts w:ascii="Times New Roman" w:eastAsia="Times New Roman" w:hAnsi="Times New Roman" w:cs="Times New Roman"/>
          <w:sz w:val="24"/>
          <w:szCs w:val="24"/>
          <w:lang w:val="pt-BR"/>
        </w:rPr>
        <w:t xml:space="preserve"> na formação do</w:t>
      </w:r>
      <w:r>
        <w:rPr>
          <w:rFonts w:ascii="Times New Roman" w:eastAsia="Times New Roman" w:hAnsi="Times New Roman" w:cs="Times New Roman"/>
          <w:sz w:val="24"/>
          <w:szCs w:val="24"/>
          <w:lang w:val="pt-BR"/>
        </w:rPr>
        <w:t xml:space="preserve"> investimento público. </w:t>
      </w:r>
      <w:r w:rsidR="006C5B09">
        <w:rPr>
          <w:rFonts w:ascii="Times New Roman" w:eastAsia="Times New Roman" w:hAnsi="Times New Roman" w:cs="Times New Roman"/>
          <w:sz w:val="24"/>
          <w:szCs w:val="24"/>
          <w:lang w:val="pt-BR"/>
        </w:rPr>
        <w:t xml:space="preserve">Apesar do destaque de </w:t>
      </w:r>
      <w:r>
        <w:rPr>
          <w:rFonts w:ascii="Times New Roman" w:eastAsia="Times New Roman" w:hAnsi="Times New Roman" w:cs="Times New Roman"/>
          <w:sz w:val="24"/>
          <w:szCs w:val="24"/>
          <w:lang w:val="pt-BR"/>
        </w:rPr>
        <w:t>Macaé nos anos de 2019 e 2002 e nos anos de 2023 e 2024</w:t>
      </w:r>
      <w:r w:rsidR="006C5B09">
        <w:rPr>
          <w:rFonts w:ascii="Times New Roman" w:eastAsia="Times New Roman" w:hAnsi="Times New Roman" w:cs="Times New Roman"/>
          <w:sz w:val="24"/>
          <w:szCs w:val="24"/>
          <w:lang w:val="pt-BR"/>
        </w:rPr>
        <w:t>,</w:t>
      </w:r>
      <w:r>
        <w:rPr>
          <w:rFonts w:ascii="Times New Roman" w:eastAsia="Times New Roman" w:hAnsi="Times New Roman" w:cs="Times New Roman"/>
          <w:sz w:val="24"/>
          <w:szCs w:val="24"/>
          <w:lang w:val="pt-BR"/>
        </w:rPr>
        <w:t xml:space="preserve"> perante aos outros municípios</w:t>
      </w:r>
      <w:r w:rsidR="006C5B09">
        <w:rPr>
          <w:rFonts w:ascii="Times New Roman" w:eastAsia="Times New Roman" w:hAnsi="Times New Roman" w:cs="Times New Roman"/>
          <w:sz w:val="24"/>
          <w:szCs w:val="24"/>
          <w:lang w:val="pt-BR"/>
        </w:rPr>
        <w:t>, a maior taxa média atingiu 4,99% no período. São João da Barra atingiu a taxa média de 3,33%; São Francisco de Itabapoana atingiu a taxa média de 3,30% e Campos dos Goytacazes atingiu a taxa média de 2,50% no mesmo período.</w:t>
      </w:r>
    </w:p>
    <w:p w14:paraId="23F7B144" w14:textId="7BE18DA0" w:rsidR="00EC7263" w:rsidRDefault="00EC7263" w:rsidP="00524517">
      <w:pPr>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Como o investimento tem papel fundamental como efeito multiplicador no processo de geração e apropriação de riqueza, o padrão apresentado pela mesorregião corrobora com precário índice de dinâmica econômica local.</w:t>
      </w:r>
    </w:p>
    <w:p w14:paraId="6F9BEF7B" w14:textId="7D348E91" w:rsidR="00AF48FB" w:rsidRDefault="00643FB1" w:rsidP="00524517">
      <w:pPr>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 xml:space="preserve">Um terceiro indicador muito consistente na materialização da dinâmica econômica local, indicado na metodologia, é o emprego renda no comércio. </w:t>
      </w:r>
      <w:r w:rsidR="00EC602C">
        <w:rPr>
          <w:rFonts w:ascii="Times New Roman" w:eastAsia="Times New Roman" w:hAnsi="Times New Roman" w:cs="Times New Roman"/>
          <w:sz w:val="24"/>
          <w:szCs w:val="24"/>
          <w:lang w:val="pt-BR"/>
        </w:rPr>
        <w:t xml:space="preserve">Esses elementos </w:t>
      </w:r>
      <w:r w:rsidR="00C65554">
        <w:rPr>
          <w:rFonts w:ascii="Times New Roman" w:eastAsia="Times New Roman" w:hAnsi="Times New Roman" w:cs="Times New Roman"/>
          <w:sz w:val="24"/>
          <w:szCs w:val="24"/>
          <w:lang w:val="pt-BR"/>
        </w:rPr>
        <w:t>captam</w:t>
      </w:r>
      <w:r w:rsidR="00EC602C">
        <w:rPr>
          <w:rFonts w:ascii="Times New Roman" w:eastAsia="Times New Roman" w:hAnsi="Times New Roman" w:cs="Times New Roman"/>
          <w:sz w:val="24"/>
          <w:szCs w:val="24"/>
          <w:lang w:val="pt-BR"/>
        </w:rPr>
        <w:t xml:space="preserve"> </w:t>
      </w:r>
      <w:r w:rsidR="00C65554">
        <w:rPr>
          <w:rFonts w:ascii="Times New Roman" w:eastAsia="Times New Roman" w:hAnsi="Times New Roman" w:cs="Times New Roman"/>
          <w:sz w:val="24"/>
          <w:szCs w:val="24"/>
          <w:lang w:val="pt-BR"/>
        </w:rPr>
        <w:t>a movimentação de valor adicionado no sistema e, sobretudo a parcela de informalidade da economia local.</w:t>
      </w:r>
    </w:p>
    <w:p w14:paraId="4717E4B4" w14:textId="2CB5ABF1" w:rsidR="00EC7263" w:rsidRPr="00894560" w:rsidRDefault="00524517" w:rsidP="00524517">
      <w:pPr>
        <w:ind w:firstLine="0"/>
        <w:jc w:val="center"/>
        <w:rPr>
          <w:rFonts w:ascii="Times New Roman" w:eastAsia="Times New Roman" w:hAnsi="Times New Roman" w:cs="Times New Roman"/>
          <w:lang w:val="pt-BR"/>
        </w:rPr>
      </w:pPr>
      <w:r w:rsidRPr="00894560">
        <w:rPr>
          <w:rFonts w:ascii="Times New Roman" w:eastAsia="Times New Roman" w:hAnsi="Times New Roman" w:cs="Times New Roman"/>
          <w:lang w:val="pt-BR"/>
        </w:rPr>
        <w:t>Figura 7</w:t>
      </w:r>
      <w:r w:rsidR="0035427A" w:rsidRPr="00894560">
        <w:rPr>
          <w:rFonts w:ascii="Times New Roman" w:eastAsia="Times New Roman" w:hAnsi="Times New Roman" w:cs="Times New Roman"/>
          <w:lang w:val="pt-BR"/>
        </w:rPr>
        <w:t xml:space="preserve"> </w:t>
      </w:r>
      <w:r w:rsidR="00B16B78" w:rsidRPr="00894560">
        <w:rPr>
          <w:rFonts w:ascii="Times New Roman" w:eastAsia="Times New Roman" w:hAnsi="Times New Roman" w:cs="Times New Roman"/>
          <w:lang w:val="pt-BR"/>
        </w:rPr>
        <w:t>– Percentual do emprego e renda no emprego total</w:t>
      </w:r>
    </w:p>
    <w:p w14:paraId="7A7ED01D" w14:textId="0762B046" w:rsidR="00C65554" w:rsidRDefault="009F5D8C" w:rsidP="00524517">
      <w:pPr>
        <w:ind w:firstLine="0"/>
        <w:jc w:val="center"/>
        <w:rPr>
          <w:rFonts w:ascii="Times New Roman" w:eastAsia="Times New Roman" w:hAnsi="Times New Roman" w:cs="Times New Roman"/>
          <w:sz w:val="24"/>
          <w:szCs w:val="24"/>
          <w:lang w:val="pt-BR"/>
        </w:rPr>
      </w:pPr>
      <w:r w:rsidRPr="009F5D8C">
        <w:rPr>
          <w:rFonts w:ascii="Times New Roman" w:eastAsia="Times New Roman" w:hAnsi="Times New Roman" w:cs="Times New Roman"/>
          <w:noProof/>
          <w:sz w:val="24"/>
          <w:szCs w:val="24"/>
          <w:lang w:val="pt-BR" w:eastAsia="pt-BR"/>
        </w:rPr>
        <w:drawing>
          <wp:inline distT="0" distB="0" distL="0" distR="0" wp14:anchorId="70112313" wp14:editId="109572A3">
            <wp:extent cx="3959750" cy="1017943"/>
            <wp:effectExtent l="0" t="0" r="3175"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3974412" cy="1021712"/>
                    </a:xfrm>
                    <a:prstGeom prst="rect">
                      <a:avLst/>
                    </a:prstGeom>
                  </pic:spPr>
                </pic:pic>
              </a:graphicData>
            </a:graphic>
          </wp:inline>
        </w:drawing>
      </w:r>
    </w:p>
    <w:p w14:paraId="2E7DBCBE" w14:textId="31401184" w:rsidR="0035427A" w:rsidRPr="00894560" w:rsidRDefault="0035427A" w:rsidP="00AC51DA">
      <w:pPr>
        <w:ind w:firstLine="0"/>
        <w:jc w:val="center"/>
        <w:rPr>
          <w:rFonts w:ascii="Times New Roman" w:eastAsia="Times New Roman" w:hAnsi="Times New Roman" w:cs="Times New Roman"/>
          <w:lang w:val="pt-BR"/>
        </w:rPr>
      </w:pPr>
      <w:r w:rsidRPr="00894560">
        <w:rPr>
          <w:rFonts w:ascii="Times New Roman" w:eastAsia="Times New Roman" w:hAnsi="Times New Roman" w:cs="Times New Roman"/>
          <w:lang w:val="pt-BR"/>
        </w:rPr>
        <w:t>Fonte: Autoria própria</w:t>
      </w:r>
    </w:p>
    <w:p w14:paraId="78BE5AC0" w14:textId="5BDA53AC" w:rsidR="009F5D8C" w:rsidRDefault="009F5D8C" w:rsidP="00524517">
      <w:pPr>
        <w:ind w:firstLine="0"/>
        <w:jc w:val="center"/>
        <w:rPr>
          <w:rFonts w:ascii="Times New Roman" w:eastAsia="Times New Roman" w:hAnsi="Times New Roman" w:cs="Times New Roman"/>
          <w:sz w:val="24"/>
          <w:szCs w:val="24"/>
          <w:lang w:val="pt-BR"/>
        </w:rPr>
      </w:pPr>
      <w:r w:rsidRPr="009F5D8C">
        <w:rPr>
          <w:rFonts w:ascii="Times New Roman" w:eastAsia="Times New Roman" w:hAnsi="Times New Roman" w:cs="Times New Roman"/>
          <w:noProof/>
          <w:sz w:val="24"/>
          <w:szCs w:val="24"/>
          <w:lang w:val="pt-BR" w:eastAsia="pt-BR"/>
        </w:rPr>
        <w:lastRenderedPageBreak/>
        <w:drawing>
          <wp:inline distT="0" distB="0" distL="0" distR="0" wp14:anchorId="61C8D003" wp14:editId="11A46A54">
            <wp:extent cx="4381500" cy="1894783"/>
            <wp:effectExtent l="0" t="0" r="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4390936" cy="1898864"/>
                    </a:xfrm>
                    <a:prstGeom prst="rect">
                      <a:avLst/>
                    </a:prstGeom>
                  </pic:spPr>
                </pic:pic>
              </a:graphicData>
            </a:graphic>
          </wp:inline>
        </w:drawing>
      </w:r>
    </w:p>
    <w:p w14:paraId="2E645B1F" w14:textId="0B55509A" w:rsidR="0035427A" w:rsidRPr="00894560" w:rsidRDefault="0035427A" w:rsidP="006C1CE0">
      <w:pPr>
        <w:ind w:firstLine="0"/>
        <w:jc w:val="center"/>
        <w:rPr>
          <w:rFonts w:ascii="Times New Roman" w:eastAsia="Times New Roman" w:hAnsi="Times New Roman" w:cs="Times New Roman"/>
          <w:lang w:val="pt-BR"/>
        </w:rPr>
      </w:pPr>
      <w:r w:rsidRPr="00894560">
        <w:rPr>
          <w:rFonts w:ascii="Times New Roman" w:eastAsia="Times New Roman" w:hAnsi="Times New Roman" w:cs="Times New Roman"/>
          <w:lang w:val="pt-BR"/>
        </w:rPr>
        <w:t>Fonte: Autoria própria</w:t>
      </w:r>
    </w:p>
    <w:p w14:paraId="39268CA8" w14:textId="05666C38" w:rsidR="00BE2153" w:rsidRDefault="006C04CB" w:rsidP="00524517">
      <w:pPr>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 xml:space="preserve">O presente indicador volta a acentuar São Francisco de </w:t>
      </w:r>
      <w:r w:rsidR="0079380A">
        <w:rPr>
          <w:rFonts w:ascii="Times New Roman" w:eastAsia="Times New Roman" w:hAnsi="Times New Roman" w:cs="Times New Roman"/>
          <w:sz w:val="24"/>
          <w:szCs w:val="24"/>
          <w:lang w:val="pt-BR"/>
        </w:rPr>
        <w:t>Itabapoana</w:t>
      </w:r>
      <w:r>
        <w:rPr>
          <w:rFonts w:ascii="Times New Roman" w:eastAsia="Times New Roman" w:hAnsi="Times New Roman" w:cs="Times New Roman"/>
          <w:sz w:val="24"/>
          <w:szCs w:val="24"/>
          <w:lang w:val="pt-BR"/>
        </w:rPr>
        <w:t xml:space="preserve"> </w:t>
      </w:r>
      <w:r w:rsidR="0079380A">
        <w:rPr>
          <w:rFonts w:ascii="Times New Roman" w:eastAsia="Times New Roman" w:hAnsi="Times New Roman" w:cs="Times New Roman"/>
          <w:sz w:val="24"/>
          <w:szCs w:val="24"/>
          <w:lang w:val="pt-BR"/>
        </w:rPr>
        <w:t xml:space="preserve">na avaliação do índice de emprego no comércio em relação ao emprego total. Mesmo com as diferenças já indicadas, o setor agropecuário é dinâmico </w:t>
      </w:r>
      <w:r w:rsidR="00BE2153">
        <w:rPr>
          <w:rFonts w:ascii="Times New Roman" w:eastAsia="Times New Roman" w:hAnsi="Times New Roman" w:cs="Times New Roman"/>
          <w:sz w:val="24"/>
          <w:szCs w:val="24"/>
          <w:lang w:val="pt-BR"/>
        </w:rPr>
        <w:t>e oferece</w:t>
      </w:r>
      <w:r w:rsidR="0079380A">
        <w:rPr>
          <w:rFonts w:ascii="Times New Roman" w:eastAsia="Times New Roman" w:hAnsi="Times New Roman" w:cs="Times New Roman"/>
          <w:sz w:val="24"/>
          <w:szCs w:val="24"/>
          <w:lang w:val="pt-BR"/>
        </w:rPr>
        <w:t xml:space="preserve"> a maior </w:t>
      </w:r>
      <w:r w:rsidR="00BE2153">
        <w:rPr>
          <w:rFonts w:ascii="Times New Roman" w:eastAsia="Times New Roman" w:hAnsi="Times New Roman" w:cs="Times New Roman"/>
          <w:sz w:val="24"/>
          <w:szCs w:val="24"/>
          <w:lang w:val="pt-BR"/>
        </w:rPr>
        <w:t xml:space="preserve">diversificação agrícola no contexto do estado. </w:t>
      </w:r>
      <w:r w:rsidR="001555E5">
        <w:rPr>
          <w:rFonts w:ascii="Times New Roman" w:eastAsia="Times New Roman" w:hAnsi="Times New Roman" w:cs="Times New Roman"/>
          <w:sz w:val="24"/>
          <w:szCs w:val="24"/>
          <w:lang w:val="pt-BR"/>
        </w:rPr>
        <w:t xml:space="preserve">A área colhida representa 40,95% </w:t>
      </w:r>
      <w:r w:rsidR="0069621A">
        <w:rPr>
          <w:rFonts w:ascii="Times New Roman" w:eastAsia="Times New Roman" w:hAnsi="Times New Roman" w:cs="Times New Roman"/>
          <w:sz w:val="24"/>
          <w:szCs w:val="24"/>
          <w:lang w:val="pt-BR"/>
        </w:rPr>
        <w:t>da</w:t>
      </w:r>
      <w:r w:rsidR="001555E5">
        <w:rPr>
          <w:rFonts w:ascii="Times New Roman" w:eastAsia="Times New Roman" w:hAnsi="Times New Roman" w:cs="Times New Roman"/>
          <w:sz w:val="24"/>
          <w:szCs w:val="24"/>
          <w:lang w:val="pt-BR"/>
        </w:rPr>
        <w:t xml:space="preserve"> área colhida da mesorregião e a produção leiteira 24,21%</w:t>
      </w:r>
      <w:r w:rsidR="0069621A">
        <w:rPr>
          <w:rFonts w:ascii="Times New Roman" w:eastAsia="Times New Roman" w:hAnsi="Times New Roman" w:cs="Times New Roman"/>
          <w:sz w:val="24"/>
          <w:szCs w:val="24"/>
          <w:lang w:val="pt-BR"/>
        </w:rPr>
        <w:t xml:space="preserve"> da produção total da mesorregião.</w:t>
      </w:r>
    </w:p>
    <w:p w14:paraId="06132E9F" w14:textId="771FA1F8" w:rsidR="00F95B35" w:rsidRDefault="00F95B35" w:rsidP="00524517">
      <w:pPr>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 xml:space="preserve">O município apresenta características especiais. Os indicadores tradicionais de emprego total, PIB e PIB per capita possibilitam a leitura de empobrecimento, entretanto as operações bancárias e o emprego no comércio confirmam um padrão importante de dinâmica econômica. As </w:t>
      </w:r>
      <w:r w:rsidR="0038621F">
        <w:rPr>
          <w:rFonts w:ascii="Times New Roman" w:eastAsia="Times New Roman" w:hAnsi="Times New Roman" w:cs="Times New Roman"/>
          <w:sz w:val="24"/>
          <w:szCs w:val="24"/>
          <w:lang w:val="pt-BR"/>
        </w:rPr>
        <w:t>pequenas</w:t>
      </w:r>
      <w:r>
        <w:rPr>
          <w:rFonts w:ascii="Times New Roman" w:eastAsia="Times New Roman" w:hAnsi="Times New Roman" w:cs="Times New Roman"/>
          <w:sz w:val="24"/>
          <w:szCs w:val="24"/>
          <w:lang w:val="pt-BR"/>
        </w:rPr>
        <w:t xml:space="preserve"> propriedades geram trabalho e renda</w:t>
      </w:r>
      <w:r w:rsidR="0038621F">
        <w:rPr>
          <w:rFonts w:ascii="Times New Roman" w:eastAsia="Times New Roman" w:hAnsi="Times New Roman" w:cs="Times New Roman"/>
          <w:sz w:val="24"/>
          <w:szCs w:val="24"/>
          <w:lang w:val="pt-BR"/>
        </w:rPr>
        <w:t>,</w:t>
      </w:r>
      <w:r>
        <w:rPr>
          <w:rFonts w:ascii="Times New Roman" w:eastAsia="Times New Roman" w:hAnsi="Times New Roman" w:cs="Times New Roman"/>
          <w:sz w:val="24"/>
          <w:szCs w:val="24"/>
          <w:lang w:val="pt-BR"/>
        </w:rPr>
        <w:t xml:space="preserve"> em muitos casos</w:t>
      </w:r>
      <w:r w:rsidR="0038621F">
        <w:rPr>
          <w:rFonts w:ascii="Times New Roman" w:eastAsia="Times New Roman" w:hAnsi="Times New Roman" w:cs="Times New Roman"/>
          <w:sz w:val="24"/>
          <w:szCs w:val="24"/>
          <w:lang w:val="pt-BR"/>
        </w:rPr>
        <w:t>,</w:t>
      </w:r>
      <w:r>
        <w:rPr>
          <w:rFonts w:ascii="Times New Roman" w:eastAsia="Times New Roman" w:hAnsi="Times New Roman" w:cs="Times New Roman"/>
          <w:sz w:val="24"/>
          <w:szCs w:val="24"/>
          <w:lang w:val="pt-BR"/>
        </w:rPr>
        <w:t xml:space="preserve"> em regime de informalidade</w:t>
      </w:r>
      <w:r w:rsidR="00850E92">
        <w:rPr>
          <w:rFonts w:ascii="Times New Roman" w:eastAsia="Times New Roman" w:hAnsi="Times New Roman" w:cs="Times New Roman"/>
          <w:sz w:val="24"/>
          <w:szCs w:val="24"/>
          <w:lang w:val="pt-BR"/>
        </w:rPr>
        <w:t>.</w:t>
      </w:r>
    </w:p>
    <w:p w14:paraId="13959863" w14:textId="77777777" w:rsidR="0035427A" w:rsidRPr="0035427A" w:rsidRDefault="0035427A" w:rsidP="00524517">
      <w:pPr>
        <w:rPr>
          <w:rFonts w:ascii="Times New Roman" w:eastAsia="Times New Roman" w:hAnsi="Times New Roman" w:cs="Times New Roman"/>
          <w:sz w:val="24"/>
          <w:szCs w:val="24"/>
          <w:lang w:val="pt-BR"/>
        </w:rPr>
      </w:pPr>
    </w:p>
    <w:p w14:paraId="1FB8DB1C" w14:textId="63FFE63B" w:rsidR="003D553F" w:rsidRPr="00A1255B" w:rsidRDefault="0035427A" w:rsidP="0035427A">
      <w:pPr>
        <w:ind w:firstLine="0"/>
        <w:rPr>
          <w:rFonts w:ascii="Times New Roman" w:eastAsia="Times New Roman" w:hAnsi="Times New Roman" w:cs="Times New Roman"/>
          <w:b/>
          <w:sz w:val="24"/>
          <w:szCs w:val="24"/>
          <w:lang w:val="pt-BR"/>
        </w:rPr>
      </w:pPr>
      <w:proofErr w:type="gramStart"/>
      <w:r w:rsidRPr="00A1255B">
        <w:rPr>
          <w:rFonts w:ascii="Times New Roman" w:eastAsia="Times New Roman" w:hAnsi="Times New Roman" w:cs="Times New Roman"/>
          <w:b/>
          <w:sz w:val="24"/>
          <w:szCs w:val="24"/>
          <w:lang w:val="pt-BR"/>
        </w:rPr>
        <w:t>5</w:t>
      </w:r>
      <w:proofErr w:type="gramEnd"/>
      <w:r w:rsidRPr="00A1255B">
        <w:rPr>
          <w:rFonts w:ascii="Times New Roman" w:eastAsia="Times New Roman" w:hAnsi="Times New Roman" w:cs="Times New Roman"/>
          <w:b/>
          <w:sz w:val="24"/>
          <w:szCs w:val="24"/>
          <w:lang w:val="pt-BR"/>
        </w:rPr>
        <w:t xml:space="preserve"> </w:t>
      </w:r>
      <w:r w:rsidR="00894560">
        <w:rPr>
          <w:rFonts w:ascii="Times New Roman" w:eastAsia="Times New Roman" w:hAnsi="Times New Roman" w:cs="Times New Roman"/>
          <w:b/>
          <w:sz w:val="24"/>
          <w:szCs w:val="24"/>
          <w:lang w:val="pt-BR"/>
        </w:rPr>
        <w:t>CONSIDERAÇÕES FINAIS</w:t>
      </w:r>
    </w:p>
    <w:p w14:paraId="38C0B9FD" w14:textId="4AC67AC6" w:rsidR="003D553F" w:rsidRPr="00F54386" w:rsidRDefault="00F54386" w:rsidP="00F54386">
      <w:pPr>
        <w:ind w:firstLine="720"/>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 xml:space="preserve">O artigo investigou a capacidade de absorção interna dos sistemas </w:t>
      </w:r>
      <w:r w:rsidR="0003117D">
        <w:rPr>
          <w:rFonts w:ascii="Times New Roman" w:eastAsia="Times New Roman" w:hAnsi="Times New Roman" w:cs="Times New Roman"/>
          <w:sz w:val="24"/>
          <w:szCs w:val="24"/>
          <w:lang w:val="pt-BR"/>
        </w:rPr>
        <w:t xml:space="preserve">econômicos locais pelo uso do INDEL, tendo como base </w:t>
      </w:r>
      <w:r>
        <w:rPr>
          <w:rFonts w:ascii="Times New Roman" w:eastAsia="Times New Roman" w:hAnsi="Times New Roman" w:cs="Times New Roman"/>
          <w:sz w:val="24"/>
          <w:szCs w:val="24"/>
          <w:lang w:val="pt-BR"/>
        </w:rPr>
        <w:t xml:space="preserve">o entendimento de que a dinâmica econômica representa o fundamento </w:t>
      </w:r>
      <w:r w:rsidR="0003117D">
        <w:rPr>
          <w:rFonts w:ascii="Times New Roman" w:eastAsia="Times New Roman" w:hAnsi="Times New Roman" w:cs="Times New Roman"/>
          <w:sz w:val="24"/>
          <w:szCs w:val="24"/>
          <w:lang w:val="pt-BR"/>
        </w:rPr>
        <w:t>essencial</w:t>
      </w:r>
      <w:r>
        <w:rPr>
          <w:rFonts w:ascii="Times New Roman" w:eastAsia="Times New Roman" w:hAnsi="Times New Roman" w:cs="Times New Roman"/>
          <w:sz w:val="24"/>
          <w:szCs w:val="24"/>
          <w:lang w:val="pt-BR"/>
        </w:rPr>
        <w:t xml:space="preserve"> para a </w:t>
      </w:r>
      <w:r w:rsidR="0003117D">
        <w:rPr>
          <w:rFonts w:ascii="Times New Roman" w:eastAsia="Times New Roman" w:hAnsi="Times New Roman" w:cs="Times New Roman"/>
          <w:sz w:val="24"/>
          <w:szCs w:val="24"/>
          <w:lang w:val="pt-BR"/>
        </w:rPr>
        <w:t>formulação</w:t>
      </w:r>
      <w:r>
        <w:rPr>
          <w:rFonts w:ascii="Times New Roman" w:eastAsia="Times New Roman" w:hAnsi="Times New Roman" w:cs="Times New Roman"/>
          <w:sz w:val="24"/>
          <w:szCs w:val="24"/>
          <w:lang w:val="pt-BR"/>
        </w:rPr>
        <w:t xml:space="preserve"> de politicas públicas </w:t>
      </w:r>
      <w:r w:rsidR="0003117D">
        <w:rPr>
          <w:rFonts w:ascii="Times New Roman" w:eastAsia="Times New Roman" w:hAnsi="Times New Roman" w:cs="Times New Roman"/>
          <w:sz w:val="24"/>
          <w:szCs w:val="24"/>
          <w:lang w:val="pt-BR"/>
        </w:rPr>
        <w:t xml:space="preserve">voltadas para o </w:t>
      </w:r>
      <w:r>
        <w:rPr>
          <w:rFonts w:ascii="Times New Roman" w:eastAsia="Times New Roman" w:hAnsi="Times New Roman" w:cs="Times New Roman"/>
          <w:sz w:val="24"/>
          <w:szCs w:val="24"/>
          <w:lang w:val="pt-BR"/>
        </w:rPr>
        <w:t>desenvolvimento econômico local.</w:t>
      </w:r>
    </w:p>
    <w:p w14:paraId="0D5A481A" w14:textId="7E4165A5" w:rsidR="00DE6DFF" w:rsidRDefault="00DE6DFF" w:rsidP="0035427A">
      <w:pPr>
        <w:ind w:firstLine="0"/>
        <w:rPr>
          <w:rFonts w:ascii="Times New Roman" w:eastAsia="Times New Roman" w:hAnsi="Times New Roman" w:cs="Times New Roman"/>
          <w:sz w:val="24"/>
          <w:szCs w:val="24"/>
          <w:lang w:val="pt-BR"/>
        </w:rPr>
      </w:pPr>
      <w:r w:rsidRPr="00F54386">
        <w:rPr>
          <w:rFonts w:ascii="Times New Roman" w:eastAsia="Times New Roman" w:hAnsi="Times New Roman" w:cs="Times New Roman"/>
          <w:sz w:val="24"/>
          <w:szCs w:val="24"/>
          <w:lang w:val="pt-BR"/>
        </w:rPr>
        <w:t xml:space="preserve"> </w:t>
      </w:r>
      <w:r w:rsidR="0003117D">
        <w:rPr>
          <w:rFonts w:ascii="Times New Roman" w:eastAsia="Times New Roman" w:hAnsi="Times New Roman" w:cs="Times New Roman"/>
          <w:sz w:val="24"/>
          <w:szCs w:val="24"/>
          <w:lang w:val="pt-BR"/>
        </w:rPr>
        <w:tab/>
      </w:r>
      <w:r w:rsidR="00390E34">
        <w:rPr>
          <w:rFonts w:ascii="Times New Roman" w:eastAsia="Times New Roman" w:hAnsi="Times New Roman" w:cs="Times New Roman"/>
          <w:sz w:val="24"/>
          <w:szCs w:val="24"/>
          <w:lang w:val="pt-BR"/>
        </w:rPr>
        <w:t>Sistemas econômicos locais de natureza heterogênea foram investigados e apresentaram resultados contraditórios na consideração riqueza gerada e internalizada. Nos sistemas de maior capacidade de geração de riqueza, em função de grandes projetos de investimento de característica exógena (Macaé e São João da Barra), ficou acentuada a dificuldade de absorção das externalidades positivas. Parte substancial da mesma riqueza se caracterizou como fugaz. O fornecimento de mão de obra e serviços de maio</w:t>
      </w:r>
      <w:r w:rsidR="00A1255B">
        <w:rPr>
          <w:rFonts w:ascii="Times New Roman" w:eastAsia="Times New Roman" w:hAnsi="Times New Roman" w:cs="Times New Roman"/>
          <w:sz w:val="24"/>
          <w:szCs w:val="24"/>
          <w:lang w:val="pt-BR"/>
        </w:rPr>
        <w:t>r padrão tecnológico depende de importação</w:t>
      </w:r>
      <w:r w:rsidR="00390E34">
        <w:rPr>
          <w:rFonts w:ascii="Times New Roman" w:eastAsia="Times New Roman" w:hAnsi="Times New Roman" w:cs="Times New Roman"/>
          <w:sz w:val="24"/>
          <w:szCs w:val="24"/>
          <w:lang w:val="pt-BR"/>
        </w:rPr>
        <w:t>, enquanto a absorção das externalidades negativas é automática.</w:t>
      </w:r>
      <w:r w:rsidR="003C7E98">
        <w:rPr>
          <w:rFonts w:ascii="Times New Roman" w:eastAsia="Times New Roman" w:hAnsi="Times New Roman" w:cs="Times New Roman"/>
          <w:sz w:val="24"/>
          <w:szCs w:val="24"/>
          <w:lang w:val="pt-BR"/>
        </w:rPr>
        <w:t xml:space="preserve"> </w:t>
      </w:r>
    </w:p>
    <w:p w14:paraId="1C25672A" w14:textId="5A8C66A4" w:rsidR="003C7E98" w:rsidRDefault="003C7E98" w:rsidP="0035427A">
      <w:pPr>
        <w:ind w:firstLine="0"/>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lastRenderedPageBreak/>
        <w:tab/>
      </w:r>
      <w:r w:rsidR="0023194E">
        <w:rPr>
          <w:rFonts w:ascii="Times New Roman" w:eastAsia="Times New Roman" w:hAnsi="Times New Roman" w:cs="Times New Roman"/>
          <w:sz w:val="24"/>
          <w:szCs w:val="24"/>
          <w:lang w:val="pt-BR"/>
        </w:rPr>
        <w:t xml:space="preserve">Os resultados indicaram que </w:t>
      </w:r>
      <w:r>
        <w:rPr>
          <w:rFonts w:ascii="Times New Roman" w:eastAsia="Times New Roman" w:hAnsi="Times New Roman" w:cs="Times New Roman"/>
          <w:sz w:val="24"/>
          <w:szCs w:val="24"/>
          <w:lang w:val="pt-BR"/>
        </w:rPr>
        <w:t>São João da Barra com o maior valor adicionado fiscal</w:t>
      </w:r>
      <w:r w:rsidR="004F112B">
        <w:rPr>
          <w:rFonts w:ascii="Times New Roman" w:eastAsia="Times New Roman" w:hAnsi="Times New Roman" w:cs="Times New Roman"/>
          <w:sz w:val="24"/>
          <w:szCs w:val="24"/>
          <w:lang w:val="pt-BR"/>
        </w:rPr>
        <w:t xml:space="preserve"> per capita</w:t>
      </w:r>
      <w:r>
        <w:rPr>
          <w:rFonts w:ascii="Times New Roman" w:eastAsia="Times New Roman" w:hAnsi="Times New Roman" w:cs="Times New Roman"/>
          <w:sz w:val="24"/>
          <w:szCs w:val="24"/>
          <w:lang w:val="pt-BR"/>
        </w:rPr>
        <w:t xml:space="preserve"> </w:t>
      </w:r>
      <w:r w:rsidR="0014563A">
        <w:rPr>
          <w:rFonts w:ascii="Times New Roman" w:eastAsia="Times New Roman" w:hAnsi="Times New Roman" w:cs="Times New Roman"/>
          <w:sz w:val="24"/>
          <w:szCs w:val="24"/>
          <w:lang w:val="pt-BR"/>
        </w:rPr>
        <w:t xml:space="preserve">em 2023 </w:t>
      </w:r>
      <w:r>
        <w:rPr>
          <w:rFonts w:ascii="Times New Roman" w:eastAsia="Times New Roman" w:hAnsi="Times New Roman" w:cs="Times New Roman"/>
          <w:sz w:val="24"/>
          <w:szCs w:val="24"/>
          <w:lang w:val="pt-BR"/>
        </w:rPr>
        <w:t xml:space="preserve">(R$304.689,51) entre os nove </w:t>
      </w:r>
      <w:r w:rsidR="00A84011">
        <w:rPr>
          <w:rFonts w:ascii="Times New Roman" w:eastAsia="Times New Roman" w:hAnsi="Times New Roman" w:cs="Times New Roman"/>
          <w:sz w:val="24"/>
          <w:szCs w:val="24"/>
          <w:lang w:val="pt-BR"/>
        </w:rPr>
        <w:t>municípios</w:t>
      </w:r>
      <w:r>
        <w:rPr>
          <w:rFonts w:ascii="Times New Roman" w:eastAsia="Times New Roman" w:hAnsi="Times New Roman" w:cs="Times New Roman"/>
          <w:sz w:val="24"/>
          <w:szCs w:val="24"/>
          <w:lang w:val="pt-BR"/>
        </w:rPr>
        <w:t xml:space="preserve"> d</w:t>
      </w:r>
      <w:r w:rsidR="00A84011">
        <w:rPr>
          <w:rFonts w:ascii="Times New Roman" w:eastAsia="Times New Roman" w:hAnsi="Times New Roman" w:cs="Times New Roman"/>
          <w:sz w:val="24"/>
          <w:szCs w:val="24"/>
          <w:lang w:val="pt-BR"/>
        </w:rPr>
        <w:t>a</w:t>
      </w:r>
      <w:r w:rsidR="00B91971">
        <w:rPr>
          <w:rFonts w:ascii="Times New Roman" w:eastAsia="Times New Roman" w:hAnsi="Times New Roman" w:cs="Times New Roman"/>
          <w:sz w:val="24"/>
          <w:szCs w:val="24"/>
          <w:lang w:val="pt-BR"/>
        </w:rPr>
        <w:t xml:space="preserve"> mesorregião Norte Fluminense, </w:t>
      </w:r>
      <w:r>
        <w:rPr>
          <w:rFonts w:ascii="Times New Roman" w:eastAsia="Times New Roman" w:hAnsi="Times New Roman" w:cs="Times New Roman"/>
          <w:sz w:val="24"/>
          <w:szCs w:val="24"/>
          <w:lang w:val="pt-BR"/>
        </w:rPr>
        <w:t xml:space="preserve">atingiu </w:t>
      </w:r>
      <w:r w:rsidR="0023194E">
        <w:rPr>
          <w:rFonts w:ascii="Times New Roman" w:eastAsia="Times New Roman" w:hAnsi="Times New Roman" w:cs="Times New Roman"/>
          <w:sz w:val="24"/>
          <w:szCs w:val="24"/>
          <w:lang w:val="pt-BR"/>
        </w:rPr>
        <w:t xml:space="preserve">o menor </w:t>
      </w:r>
      <w:r>
        <w:rPr>
          <w:rFonts w:ascii="Times New Roman" w:eastAsia="Times New Roman" w:hAnsi="Times New Roman" w:cs="Times New Roman"/>
          <w:sz w:val="24"/>
          <w:szCs w:val="24"/>
          <w:lang w:val="pt-BR"/>
        </w:rPr>
        <w:t xml:space="preserve">índice de </w:t>
      </w:r>
      <w:r w:rsidR="00A84011">
        <w:rPr>
          <w:rFonts w:ascii="Times New Roman" w:eastAsia="Times New Roman" w:hAnsi="Times New Roman" w:cs="Times New Roman"/>
          <w:sz w:val="24"/>
          <w:szCs w:val="24"/>
          <w:lang w:val="pt-BR"/>
        </w:rPr>
        <w:t>dinâmica</w:t>
      </w:r>
      <w:r>
        <w:rPr>
          <w:rFonts w:ascii="Times New Roman" w:eastAsia="Times New Roman" w:hAnsi="Times New Roman" w:cs="Times New Roman"/>
          <w:sz w:val="24"/>
          <w:szCs w:val="24"/>
          <w:lang w:val="pt-BR"/>
        </w:rPr>
        <w:t xml:space="preserve"> econômica </w:t>
      </w:r>
      <w:r w:rsidR="0023194E">
        <w:rPr>
          <w:rFonts w:ascii="Times New Roman" w:eastAsia="Times New Roman" w:hAnsi="Times New Roman" w:cs="Times New Roman"/>
          <w:sz w:val="24"/>
          <w:szCs w:val="24"/>
          <w:lang w:val="pt-BR"/>
        </w:rPr>
        <w:t>(</w:t>
      </w:r>
      <w:r>
        <w:rPr>
          <w:rFonts w:ascii="Times New Roman" w:eastAsia="Times New Roman" w:hAnsi="Times New Roman" w:cs="Times New Roman"/>
          <w:sz w:val="24"/>
          <w:szCs w:val="24"/>
          <w:lang w:val="pt-BR"/>
        </w:rPr>
        <w:t>0,473</w:t>
      </w:r>
      <w:r w:rsidR="0023194E">
        <w:rPr>
          <w:rFonts w:ascii="Times New Roman" w:eastAsia="Times New Roman" w:hAnsi="Times New Roman" w:cs="Times New Roman"/>
          <w:sz w:val="24"/>
          <w:szCs w:val="24"/>
          <w:lang w:val="pt-BR"/>
        </w:rPr>
        <w:t>)</w:t>
      </w:r>
      <w:r w:rsidR="00B91971">
        <w:rPr>
          <w:rFonts w:ascii="Times New Roman" w:eastAsia="Times New Roman" w:hAnsi="Times New Roman" w:cs="Times New Roman"/>
          <w:sz w:val="24"/>
          <w:szCs w:val="24"/>
          <w:lang w:val="pt-BR"/>
        </w:rPr>
        <w:t xml:space="preserve"> -</w:t>
      </w:r>
      <w:r w:rsidR="00A5663A">
        <w:rPr>
          <w:rFonts w:ascii="Times New Roman" w:eastAsia="Times New Roman" w:hAnsi="Times New Roman" w:cs="Times New Roman"/>
          <w:sz w:val="24"/>
          <w:szCs w:val="24"/>
          <w:lang w:val="pt-BR"/>
        </w:rPr>
        <w:t xml:space="preserve"> grau de </w:t>
      </w:r>
      <w:r>
        <w:rPr>
          <w:rFonts w:ascii="Times New Roman" w:eastAsia="Times New Roman" w:hAnsi="Times New Roman" w:cs="Times New Roman"/>
          <w:sz w:val="24"/>
          <w:szCs w:val="24"/>
          <w:lang w:val="pt-BR"/>
        </w:rPr>
        <w:t>dinâmica econômica regular</w:t>
      </w:r>
      <w:r w:rsidR="0014563A">
        <w:rPr>
          <w:rFonts w:ascii="Times New Roman" w:eastAsia="Times New Roman" w:hAnsi="Times New Roman" w:cs="Times New Roman"/>
          <w:sz w:val="24"/>
          <w:szCs w:val="24"/>
          <w:lang w:val="pt-BR"/>
        </w:rPr>
        <w:t>.</w:t>
      </w:r>
    </w:p>
    <w:p w14:paraId="4264F3CF" w14:textId="29899975" w:rsidR="005C0057" w:rsidRDefault="005C0057" w:rsidP="0035427A">
      <w:pPr>
        <w:ind w:firstLine="0"/>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ab/>
        <w:t xml:space="preserve">Campos dos Goytacazes, maior município da região em termos de território e população, ocupou o quinto lugar em valor adicionado fiscal (R$34.405,56) e o quarto lugar no INDEL (0,627), grau </w:t>
      </w:r>
      <w:r w:rsidR="00A90A0F">
        <w:rPr>
          <w:rFonts w:ascii="Times New Roman" w:eastAsia="Times New Roman" w:hAnsi="Times New Roman" w:cs="Times New Roman"/>
          <w:sz w:val="24"/>
          <w:szCs w:val="24"/>
          <w:lang w:val="pt-BR"/>
        </w:rPr>
        <w:t>de dinâmica econômica moderada no mesmo ano.</w:t>
      </w:r>
      <w:r w:rsidR="001E7A9C">
        <w:rPr>
          <w:rFonts w:ascii="Times New Roman" w:eastAsia="Times New Roman" w:hAnsi="Times New Roman" w:cs="Times New Roman"/>
          <w:sz w:val="24"/>
          <w:szCs w:val="24"/>
          <w:lang w:val="pt-BR"/>
        </w:rPr>
        <w:t xml:space="preserve"> O município é produtor de petróleo da bacia de Campos, mas a base das empresas operadoras está Macaé, com extensão para Rio das Ostras. </w:t>
      </w:r>
      <w:r w:rsidR="00B74870">
        <w:rPr>
          <w:rFonts w:ascii="Times New Roman" w:eastAsia="Times New Roman" w:hAnsi="Times New Roman" w:cs="Times New Roman"/>
          <w:sz w:val="24"/>
          <w:szCs w:val="24"/>
          <w:lang w:val="pt-BR"/>
        </w:rPr>
        <w:t>A sua posição estratégica entre Macaé e São João da Barra lhe permite absorver parte significante da riqueza produzida nesses sistemas econômicos, em função da estrutura mais consolidada de serviços. Campos dos Goytacazes se configura como uma cidade polo, cuja trajetória econômica pautada na indústria sucroalcooleira lhe permitiu a formação de uma estrutura consistente na área educacional, de saúde, habitação,</w:t>
      </w:r>
      <w:r w:rsidR="002A40EE">
        <w:rPr>
          <w:rFonts w:ascii="Times New Roman" w:eastAsia="Times New Roman" w:hAnsi="Times New Roman" w:cs="Times New Roman"/>
          <w:sz w:val="24"/>
          <w:szCs w:val="24"/>
          <w:lang w:val="pt-BR"/>
        </w:rPr>
        <w:t xml:space="preserve"> serviços financeiro e lazer.</w:t>
      </w:r>
    </w:p>
    <w:p w14:paraId="141F11E8" w14:textId="26B7F227" w:rsidR="00B74870" w:rsidRDefault="00874C16" w:rsidP="00874C16">
      <w:pPr>
        <w:ind w:firstLine="720"/>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Já São Francisco de Itabapoana, por não contar com afluxos importantes de investimento exógeno, precisa agir endogenamente. A economia tradicional é o pilar central, onde a agricultura se destaca como a mais diversificada do estado e a pecuária relevante, apesar da limit</w:t>
      </w:r>
      <w:r w:rsidR="00485956">
        <w:rPr>
          <w:rFonts w:ascii="Times New Roman" w:eastAsia="Times New Roman" w:hAnsi="Times New Roman" w:cs="Times New Roman"/>
          <w:sz w:val="24"/>
          <w:szCs w:val="24"/>
          <w:lang w:val="pt-BR"/>
        </w:rPr>
        <w:t>ação territorial</w:t>
      </w:r>
      <w:r>
        <w:rPr>
          <w:rFonts w:ascii="Times New Roman" w:eastAsia="Times New Roman" w:hAnsi="Times New Roman" w:cs="Times New Roman"/>
          <w:sz w:val="24"/>
          <w:szCs w:val="24"/>
          <w:lang w:val="pt-BR"/>
        </w:rPr>
        <w:t xml:space="preserve">. </w:t>
      </w:r>
    </w:p>
    <w:p w14:paraId="6EE8BBD3" w14:textId="55E1ACF4" w:rsidR="00874C16" w:rsidRDefault="00874C16" w:rsidP="00874C16">
      <w:pPr>
        <w:ind w:firstLine="720"/>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O município que a luz dos indicares tradicionais se constitui como o mais pobre do estado, na verdade apresenta uma renda bem distribuída que aparece no sistema b</w:t>
      </w:r>
      <w:r w:rsidR="00485956">
        <w:rPr>
          <w:rFonts w:ascii="Times New Roman" w:eastAsia="Times New Roman" w:hAnsi="Times New Roman" w:cs="Times New Roman"/>
          <w:sz w:val="24"/>
          <w:szCs w:val="24"/>
          <w:lang w:val="pt-BR"/>
        </w:rPr>
        <w:t>ancário e no comé</w:t>
      </w:r>
      <w:r>
        <w:rPr>
          <w:rFonts w:ascii="Times New Roman" w:eastAsia="Times New Roman" w:hAnsi="Times New Roman" w:cs="Times New Roman"/>
          <w:sz w:val="24"/>
          <w:szCs w:val="24"/>
          <w:lang w:val="pt-BR"/>
        </w:rPr>
        <w:t xml:space="preserve">rcio local. O padrão de informalidade é acentuado já que parte importante da população tem a sua pequena propriedade agrícola que gera </w:t>
      </w:r>
      <w:r w:rsidR="00E1005C">
        <w:rPr>
          <w:rFonts w:ascii="Times New Roman" w:eastAsia="Times New Roman" w:hAnsi="Times New Roman" w:cs="Times New Roman"/>
          <w:sz w:val="24"/>
          <w:szCs w:val="24"/>
          <w:lang w:val="pt-BR"/>
        </w:rPr>
        <w:t xml:space="preserve">uma </w:t>
      </w:r>
      <w:r>
        <w:rPr>
          <w:rFonts w:ascii="Times New Roman" w:eastAsia="Times New Roman" w:hAnsi="Times New Roman" w:cs="Times New Roman"/>
          <w:sz w:val="24"/>
          <w:szCs w:val="24"/>
          <w:lang w:val="pt-BR"/>
        </w:rPr>
        <w:t xml:space="preserve">renda familiar </w:t>
      </w:r>
      <w:r w:rsidR="00E1005C">
        <w:rPr>
          <w:rFonts w:ascii="Times New Roman" w:eastAsia="Times New Roman" w:hAnsi="Times New Roman" w:cs="Times New Roman"/>
          <w:sz w:val="24"/>
          <w:szCs w:val="24"/>
          <w:lang w:val="pt-BR"/>
        </w:rPr>
        <w:t xml:space="preserve">invisível. Tal condição permite o enquadramento desses indivíduos em programas de </w:t>
      </w:r>
      <w:r>
        <w:rPr>
          <w:rFonts w:ascii="Times New Roman" w:eastAsia="Times New Roman" w:hAnsi="Times New Roman" w:cs="Times New Roman"/>
          <w:sz w:val="24"/>
          <w:szCs w:val="24"/>
          <w:lang w:val="pt-BR"/>
        </w:rPr>
        <w:t xml:space="preserve">benefícios </w:t>
      </w:r>
      <w:r w:rsidR="00E1005C">
        <w:rPr>
          <w:rFonts w:ascii="Times New Roman" w:eastAsia="Times New Roman" w:hAnsi="Times New Roman" w:cs="Times New Roman"/>
          <w:sz w:val="24"/>
          <w:szCs w:val="24"/>
          <w:lang w:val="pt-BR"/>
        </w:rPr>
        <w:t>governamentais</w:t>
      </w:r>
      <w:r w:rsidR="00485956">
        <w:rPr>
          <w:rFonts w:ascii="Times New Roman" w:eastAsia="Times New Roman" w:hAnsi="Times New Roman" w:cs="Times New Roman"/>
          <w:sz w:val="24"/>
          <w:szCs w:val="24"/>
          <w:lang w:val="pt-BR"/>
        </w:rPr>
        <w:t>,</w:t>
      </w:r>
      <w:r w:rsidR="00E1005C">
        <w:rPr>
          <w:rFonts w:ascii="Times New Roman" w:eastAsia="Times New Roman" w:hAnsi="Times New Roman" w:cs="Times New Roman"/>
          <w:sz w:val="24"/>
          <w:szCs w:val="24"/>
          <w:lang w:val="pt-BR"/>
        </w:rPr>
        <w:t xml:space="preserve"> potencializando a renda familiar</w:t>
      </w:r>
      <w:r w:rsidR="00485956">
        <w:rPr>
          <w:rFonts w:ascii="Times New Roman" w:eastAsia="Times New Roman" w:hAnsi="Times New Roman" w:cs="Times New Roman"/>
          <w:sz w:val="24"/>
          <w:szCs w:val="24"/>
          <w:lang w:val="pt-BR"/>
        </w:rPr>
        <w:t xml:space="preserve"> refletida na movimentação bancá</w:t>
      </w:r>
      <w:r w:rsidR="00E1005C">
        <w:rPr>
          <w:rFonts w:ascii="Times New Roman" w:eastAsia="Times New Roman" w:hAnsi="Times New Roman" w:cs="Times New Roman"/>
          <w:sz w:val="24"/>
          <w:szCs w:val="24"/>
          <w:lang w:val="pt-BR"/>
        </w:rPr>
        <w:t>ria e no comércio. Isso explica</w:t>
      </w:r>
      <w:r w:rsidR="00485956">
        <w:rPr>
          <w:rFonts w:ascii="Times New Roman" w:eastAsia="Times New Roman" w:hAnsi="Times New Roman" w:cs="Times New Roman"/>
          <w:sz w:val="24"/>
          <w:szCs w:val="24"/>
          <w:lang w:val="pt-BR"/>
        </w:rPr>
        <w:t>,</w:t>
      </w:r>
      <w:r w:rsidR="00E1005C">
        <w:rPr>
          <w:rFonts w:ascii="Times New Roman" w:eastAsia="Times New Roman" w:hAnsi="Times New Roman" w:cs="Times New Roman"/>
          <w:sz w:val="24"/>
          <w:szCs w:val="24"/>
          <w:lang w:val="pt-BR"/>
        </w:rPr>
        <w:t xml:space="preserve"> por exemplo</w:t>
      </w:r>
      <w:r w:rsidR="00485956">
        <w:rPr>
          <w:rFonts w:ascii="Times New Roman" w:eastAsia="Times New Roman" w:hAnsi="Times New Roman" w:cs="Times New Roman"/>
          <w:sz w:val="24"/>
          <w:szCs w:val="24"/>
          <w:lang w:val="pt-BR"/>
        </w:rPr>
        <w:t>,</w:t>
      </w:r>
      <w:r w:rsidR="00E1005C">
        <w:rPr>
          <w:rFonts w:ascii="Times New Roman" w:eastAsia="Times New Roman" w:hAnsi="Times New Roman" w:cs="Times New Roman"/>
          <w:sz w:val="24"/>
          <w:szCs w:val="24"/>
          <w:lang w:val="pt-BR"/>
        </w:rPr>
        <w:t xml:space="preserve"> a movimentação no comércio e as operações de crédito bancário superior a São João da Barra, </w:t>
      </w:r>
      <w:r w:rsidR="00485956">
        <w:rPr>
          <w:rFonts w:ascii="Times New Roman" w:eastAsia="Times New Roman" w:hAnsi="Times New Roman" w:cs="Times New Roman"/>
          <w:sz w:val="24"/>
          <w:szCs w:val="24"/>
          <w:lang w:val="pt-BR"/>
        </w:rPr>
        <w:t>município produtor</w:t>
      </w:r>
      <w:r w:rsidR="00E1005C">
        <w:rPr>
          <w:rFonts w:ascii="Times New Roman" w:eastAsia="Times New Roman" w:hAnsi="Times New Roman" w:cs="Times New Roman"/>
          <w:sz w:val="24"/>
          <w:szCs w:val="24"/>
          <w:lang w:val="pt-BR"/>
        </w:rPr>
        <w:t xml:space="preserve"> de petróleo e sede do porto do Açu.</w:t>
      </w:r>
    </w:p>
    <w:p w14:paraId="4DB4DFBC" w14:textId="562D15E6" w:rsidR="00485956" w:rsidRDefault="00485956" w:rsidP="00874C16">
      <w:pPr>
        <w:ind w:firstLine="720"/>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Dos nove municípios da região São Francisco de Itabapoana foi o único a obter o grau de alta dinâmica econômica, registrado em 2002. No ano seguinte de 2023, atingiu o segundo melhor INDEL (0,661) dinâmica econômica moderada</w:t>
      </w:r>
      <w:r w:rsidR="006F4CC1">
        <w:rPr>
          <w:rFonts w:ascii="Times New Roman" w:eastAsia="Times New Roman" w:hAnsi="Times New Roman" w:cs="Times New Roman"/>
          <w:sz w:val="24"/>
          <w:szCs w:val="24"/>
          <w:lang w:val="pt-BR"/>
        </w:rPr>
        <w:t>, mesmo enquadro em sexto lugar em valor adicionado fiscal per capita, ou seja, R$13.229,46 no mesmo ano.</w:t>
      </w:r>
    </w:p>
    <w:p w14:paraId="0169518E" w14:textId="08230C13" w:rsidR="00442107" w:rsidRDefault="00337B54" w:rsidP="002F7482">
      <w:pPr>
        <w:ind w:firstLine="720"/>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 xml:space="preserve">Conclusivamente, os indicadores apresentados são importantes para um melhor conhecimento do sistema econômico em análise e posterior esforço de elaboração </w:t>
      </w:r>
      <w:r w:rsidR="002F7482">
        <w:rPr>
          <w:rFonts w:ascii="Times New Roman" w:eastAsia="Times New Roman" w:hAnsi="Times New Roman" w:cs="Times New Roman"/>
          <w:sz w:val="24"/>
          <w:szCs w:val="24"/>
          <w:lang w:val="pt-BR"/>
        </w:rPr>
        <w:t>das estratégias promovedoras do</w:t>
      </w:r>
      <w:r>
        <w:rPr>
          <w:rFonts w:ascii="Times New Roman" w:eastAsia="Times New Roman" w:hAnsi="Times New Roman" w:cs="Times New Roman"/>
          <w:sz w:val="24"/>
          <w:szCs w:val="24"/>
          <w:lang w:val="pt-BR"/>
        </w:rPr>
        <w:t xml:space="preserve"> desenvolvimento econômico local regional.</w:t>
      </w:r>
    </w:p>
    <w:p w14:paraId="4392E78E" w14:textId="77777777" w:rsidR="002F7482" w:rsidRPr="002F7482" w:rsidRDefault="002F7482" w:rsidP="002F7482">
      <w:pPr>
        <w:ind w:firstLine="720"/>
        <w:rPr>
          <w:rFonts w:ascii="Times New Roman" w:eastAsia="Times New Roman" w:hAnsi="Times New Roman" w:cs="Times New Roman"/>
          <w:sz w:val="24"/>
          <w:szCs w:val="24"/>
          <w:lang w:val="pt-BR"/>
        </w:rPr>
      </w:pPr>
    </w:p>
    <w:p w14:paraId="406A5D92" w14:textId="71E205B0" w:rsidR="00442107" w:rsidRPr="00A1255B" w:rsidRDefault="007E7239" w:rsidP="00415219">
      <w:pPr>
        <w:spacing w:line="240" w:lineRule="auto"/>
        <w:ind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REFERÊNCIAS BIBLIOGRÁFICAS </w:t>
      </w:r>
    </w:p>
    <w:p w14:paraId="7E6D3F12" w14:textId="77777777" w:rsidR="00415219" w:rsidRDefault="00415219" w:rsidP="00415219">
      <w:pPr>
        <w:spacing w:line="240" w:lineRule="auto"/>
        <w:ind w:firstLine="0"/>
        <w:rPr>
          <w:rFonts w:ascii="Times New Roman" w:hAnsi="Times New Roman" w:cs="Times New Roman"/>
          <w:sz w:val="24"/>
          <w:szCs w:val="24"/>
        </w:rPr>
      </w:pPr>
      <w:bookmarkStart w:id="13" w:name="_heading=h.tk7dpfwlf05l" w:colFirst="0" w:colLast="0"/>
      <w:bookmarkEnd w:id="13"/>
    </w:p>
    <w:p w14:paraId="722612BC" w14:textId="77777777" w:rsidR="00C91B0A" w:rsidRPr="00C91B0A" w:rsidRDefault="00C91B0A" w:rsidP="00894560">
      <w:pPr>
        <w:spacing w:line="240" w:lineRule="auto"/>
        <w:ind w:firstLine="0"/>
        <w:jc w:val="left"/>
        <w:rPr>
          <w:rFonts w:ascii="Times New Roman" w:hAnsi="Times New Roman" w:cs="Times New Roman"/>
          <w:sz w:val="24"/>
          <w:szCs w:val="24"/>
        </w:rPr>
      </w:pPr>
      <w:proofErr w:type="gramStart"/>
      <w:r w:rsidRPr="00A1255B">
        <w:rPr>
          <w:rFonts w:ascii="Times New Roman" w:hAnsi="Times New Roman" w:cs="Times New Roman"/>
          <w:sz w:val="24"/>
          <w:szCs w:val="24"/>
        </w:rPr>
        <w:t>ASH, AMIN.</w:t>
      </w:r>
      <w:proofErr w:type="gramEnd"/>
      <w:r w:rsidRPr="00A1255B">
        <w:rPr>
          <w:rFonts w:ascii="Times New Roman" w:hAnsi="Times New Roman" w:cs="Times New Roman"/>
          <w:sz w:val="24"/>
          <w:szCs w:val="24"/>
        </w:rPr>
        <w:t xml:space="preserve"> </w:t>
      </w:r>
      <w:proofErr w:type="gramStart"/>
      <w:r w:rsidRPr="00C91B0A">
        <w:rPr>
          <w:rFonts w:ascii="Times New Roman" w:hAnsi="Times New Roman" w:cs="Times New Roman"/>
          <w:i/>
          <w:sz w:val="24"/>
          <w:szCs w:val="24"/>
        </w:rPr>
        <w:t>An institutionalist perspective on regional economic development</w:t>
      </w:r>
      <w:r w:rsidRPr="00C91B0A">
        <w:rPr>
          <w:rFonts w:ascii="Times New Roman" w:hAnsi="Times New Roman" w:cs="Times New Roman"/>
          <w:sz w:val="24"/>
          <w:szCs w:val="24"/>
        </w:rPr>
        <w:t>.</w:t>
      </w:r>
      <w:proofErr w:type="gramEnd"/>
      <w:r w:rsidRPr="00C91B0A">
        <w:rPr>
          <w:rFonts w:ascii="Times New Roman" w:hAnsi="Times New Roman" w:cs="Times New Roman"/>
          <w:sz w:val="24"/>
          <w:szCs w:val="24"/>
        </w:rPr>
        <w:t xml:space="preserve"> Paper presented at the Economic Geography Research Group Seminar “Institutions and Governance”, July 3 1998. </w:t>
      </w:r>
      <w:proofErr w:type="gramStart"/>
      <w:r w:rsidRPr="00C91B0A">
        <w:rPr>
          <w:rFonts w:ascii="Times New Roman" w:hAnsi="Times New Roman" w:cs="Times New Roman"/>
          <w:sz w:val="24"/>
          <w:szCs w:val="24"/>
        </w:rPr>
        <w:t>Department of Geography UCL, London.</w:t>
      </w:r>
      <w:proofErr w:type="gramEnd"/>
    </w:p>
    <w:p w14:paraId="052C22FC" w14:textId="77777777" w:rsidR="00D62DA2" w:rsidRDefault="00D62DA2" w:rsidP="00894560">
      <w:pPr>
        <w:spacing w:line="240" w:lineRule="auto"/>
        <w:ind w:firstLine="0"/>
        <w:jc w:val="left"/>
        <w:rPr>
          <w:rFonts w:ascii="Times New Roman" w:hAnsi="Times New Roman" w:cs="Times New Roman"/>
          <w:sz w:val="24"/>
          <w:szCs w:val="24"/>
        </w:rPr>
      </w:pPr>
    </w:p>
    <w:p w14:paraId="3FCAF2AA" w14:textId="024AA86E" w:rsidR="00C91B0A" w:rsidRPr="00C91B0A" w:rsidRDefault="00C91B0A" w:rsidP="00894560">
      <w:pPr>
        <w:spacing w:line="240" w:lineRule="auto"/>
        <w:ind w:firstLine="0"/>
        <w:jc w:val="left"/>
        <w:rPr>
          <w:rFonts w:ascii="Times New Roman" w:hAnsi="Times New Roman" w:cs="Times New Roman"/>
          <w:sz w:val="24"/>
          <w:szCs w:val="24"/>
        </w:rPr>
      </w:pPr>
      <w:proofErr w:type="gramStart"/>
      <w:r w:rsidRPr="00C91B0A">
        <w:rPr>
          <w:rFonts w:ascii="Times New Roman" w:hAnsi="Times New Roman" w:cs="Times New Roman"/>
          <w:sz w:val="24"/>
          <w:szCs w:val="24"/>
        </w:rPr>
        <w:t>ASH, AMIN e JOHN GODDARD.</w:t>
      </w:r>
      <w:proofErr w:type="gramEnd"/>
      <w:r w:rsidRPr="00C91B0A">
        <w:rPr>
          <w:rFonts w:ascii="Times New Roman" w:hAnsi="Times New Roman" w:cs="Times New Roman"/>
          <w:sz w:val="24"/>
          <w:szCs w:val="24"/>
        </w:rPr>
        <w:t xml:space="preserve"> </w:t>
      </w:r>
      <w:proofErr w:type="gramStart"/>
      <w:r w:rsidRPr="00C91B0A">
        <w:rPr>
          <w:rFonts w:ascii="Times New Roman" w:hAnsi="Times New Roman" w:cs="Times New Roman"/>
          <w:sz w:val="24"/>
          <w:szCs w:val="24"/>
        </w:rPr>
        <w:t xml:space="preserve">Technological </w:t>
      </w:r>
      <w:r w:rsidRPr="00C91B0A">
        <w:rPr>
          <w:rFonts w:ascii="Times New Roman" w:hAnsi="Times New Roman" w:cs="Times New Roman"/>
          <w:i/>
          <w:sz w:val="24"/>
          <w:szCs w:val="24"/>
        </w:rPr>
        <w:t>Change, Industrial Restructuring and Regional Development.</w:t>
      </w:r>
      <w:proofErr w:type="gramEnd"/>
      <w:r w:rsidRPr="00C91B0A">
        <w:rPr>
          <w:rFonts w:ascii="Times New Roman" w:hAnsi="Times New Roman" w:cs="Times New Roman"/>
          <w:sz w:val="24"/>
          <w:szCs w:val="24"/>
        </w:rPr>
        <w:t xml:space="preserve"> Routledge Library Editions: The Economics and Business of Technology, 2018.</w:t>
      </w:r>
    </w:p>
    <w:p w14:paraId="0946D8AC" w14:textId="77777777" w:rsidR="00D62DA2" w:rsidRDefault="00D62DA2" w:rsidP="00894560">
      <w:pPr>
        <w:spacing w:line="240" w:lineRule="auto"/>
        <w:ind w:firstLine="0"/>
        <w:jc w:val="left"/>
        <w:rPr>
          <w:rFonts w:ascii="Times New Roman" w:hAnsi="Times New Roman" w:cs="Times New Roman"/>
          <w:sz w:val="24"/>
          <w:szCs w:val="24"/>
          <w:lang w:val="pt-BR"/>
        </w:rPr>
      </w:pPr>
    </w:p>
    <w:p w14:paraId="1E19AE26" w14:textId="77777777" w:rsidR="00C91B0A" w:rsidRPr="00C91B0A" w:rsidRDefault="00C91B0A" w:rsidP="00894560">
      <w:pPr>
        <w:spacing w:line="240" w:lineRule="auto"/>
        <w:ind w:firstLine="0"/>
        <w:jc w:val="left"/>
        <w:rPr>
          <w:rFonts w:ascii="Times New Roman" w:hAnsi="Times New Roman" w:cs="Times New Roman"/>
          <w:sz w:val="24"/>
          <w:szCs w:val="24"/>
        </w:rPr>
      </w:pPr>
      <w:r w:rsidRPr="00C91B0A">
        <w:rPr>
          <w:rFonts w:ascii="Times New Roman" w:hAnsi="Times New Roman" w:cs="Times New Roman"/>
          <w:sz w:val="24"/>
          <w:szCs w:val="24"/>
          <w:lang w:val="pt-BR"/>
        </w:rPr>
        <w:t xml:space="preserve">AMARAL FILHO, J. </w:t>
      </w:r>
      <w:r w:rsidRPr="00C91B0A">
        <w:rPr>
          <w:rFonts w:ascii="Times New Roman" w:hAnsi="Times New Roman" w:cs="Times New Roman"/>
          <w:i/>
          <w:sz w:val="24"/>
          <w:szCs w:val="24"/>
          <w:lang w:val="pt-BR"/>
        </w:rPr>
        <w:t xml:space="preserve">A </w:t>
      </w:r>
      <w:proofErr w:type="spellStart"/>
      <w:r w:rsidRPr="00C91B0A">
        <w:rPr>
          <w:rFonts w:ascii="Times New Roman" w:hAnsi="Times New Roman" w:cs="Times New Roman"/>
          <w:i/>
          <w:sz w:val="24"/>
          <w:szCs w:val="24"/>
          <w:lang w:val="pt-BR"/>
        </w:rPr>
        <w:t>Endoneização</w:t>
      </w:r>
      <w:proofErr w:type="spellEnd"/>
      <w:r w:rsidRPr="00C91B0A">
        <w:rPr>
          <w:rFonts w:ascii="Times New Roman" w:hAnsi="Times New Roman" w:cs="Times New Roman"/>
          <w:i/>
          <w:sz w:val="24"/>
          <w:szCs w:val="24"/>
          <w:lang w:val="pt-BR"/>
        </w:rPr>
        <w:t xml:space="preserve"> no desenvolvimento econômico regional e local</w:t>
      </w:r>
      <w:r w:rsidRPr="00C91B0A">
        <w:rPr>
          <w:rFonts w:ascii="Times New Roman" w:hAnsi="Times New Roman" w:cs="Times New Roman"/>
          <w:sz w:val="24"/>
          <w:szCs w:val="24"/>
          <w:lang w:val="pt-BR"/>
        </w:rPr>
        <w:t xml:space="preserve">. </w:t>
      </w:r>
      <w:proofErr w:type="spellStart"/>
      <w:proofErr w:type="gramStart"/>
      <w:r w:rsidRPr="00C91B0A">
        <w:rPr>
          <w:rFonts w:ascii="Times New Roman" w:hAnsi="Times New Roman" w:cs="Times New Roman"/>
          <w:sz w:val="24"/>
          <w:szCs w:val="24"/>
        </w:rPr>
        <w:t>Planejamento</w:t>
      </w:r>
      <w:proofErr w:type="spellEnd"/>
      <w:r w:rsidRPr="00C91B0A">
        <w:rPr>
          <w:rFonts w:ascii="Times New Roman" w:hAnsi="Times New Roman" w:cs="Times New Roman"/>
          <w:sz w:val="24"/>
          <w:szCs w:val="24"/>
        </w:rPr>
        <w:t xml:space="preserve"> e </w:t>
      </w:r>
      <w:proofErr w:type="spellStart"/>
      <w:r w:rsidRPr="00C91B0A">
        <w:rPr>
          <w:rFonts w:ascii="Times New Roman" w:hAnsi="Times New Roman" w:cs="Times New Roman"/>
          <w:sz w:val="24"/>
          <w:szCs w:val="24"/>
        </w:rPr>
        <w:t>Políticas</w:t>
      </w:r>
      <w:proofErr w:type="spellEnd"/>
      <w:r w:rsidRPr="00C91B0A">
        <w:rPr>
          <w:rFonts w:ascii="Times New Roman" w:hAnsi="Times New Roman" w:cs="Times New Roman"/>
          <w:sz w:val="24"/>
          <w:szCs w:val="24"/>
        </w:rPr>
        <w:t xml:space="preserve"> </w:t>
      </w:r>
      <w:proofErr w:type="spellStart"/>
      <w:r w:rsidRPr="00C91B0A">
        <w:rPr>
          <w:rFonts w:ascii="Times New Roman" w:hAnsi="Times New Roman" w:cs="Times New Roman"/>
          <w:sz w:val="24"/>
          <w:szCs w:val="24"/>
        </w:rPr>
        <w:t>Públicas</w:t>
      </w:r>
      <w:proofErr w:type="spellEnd"/>
      <w:r w:rsidRPr="00C91B0A">
        <w:rPr>
          <w:rFonts w:ascii="Times New Roman" w:hAnsi="Times New Roman" w:cs="Times New Roman"/>
          <w:sz w:val="24"/>
          <w:szCs w:val="24"/>
        </w:rPr>
        <w:t xml:space="preserve"> </w:t>
      </w:r>
      <w:proofErr w:type="spellStart"/>
      <w:r w:rsidRPr="00C91B0A">
        <w:rPr>
          <w:rFonts w:ascii="Times New Roman" w:hAnsi="Times New Roman" w:cs="Times New Roman"/>
          <w:sz w:val="24"/>
          <w:szCs w:val="24"/>
        </w:rPr>
        <w:t>ppp</w:t>
      </w:r>
      <w:proofErr w:type="spellEnd"/>
      <w:r w:rsidRPr="00C91B0A">
        <w:rPr>
          <w:rFonts w:ascii="Times New Roman" w:hAnsi="Times New Roman" w:cs="Times New Roman"/>
          <w:sz w:val="24"/>
          <w:szCs w:val="24"/>
        </w:rPr>
        <w:t>.</w:t>
      </w:r>
      <w:proofErr w:type="gramEnd"/>
      <w:r w:rsidRPr="00C91B0A">
        <w:rPr>
          <w:rFonts w:ascii="Times New Roman" w:hAnsi="Times New Roman" w:cs="Times New Roman"/>
          <w:sz w:val="24"/>
          <w:szCs w:val="24"/>
        </w:rPr>
        <w:t xml:space="preserve"> N. 23, jun. 2001.</w:t>
      </w:r>
    </w:p>
    <w:p w14:paraId="7DF2EEA7" w14:textId="77777777" w:rsidR="00D62DA2" w:rsidRDefault="00D62DA2" w:rsidP="00894560">
      <w:pPr>
        <w:spacing w:line="240" w:lineRule="auto"/>
        <w:ind w:firstLine="0"/>
        <w:jc w:val="left"/>
        <w:rPr>
          <w:rFonts w:ascii="Times New Roman" w:hAnsi="Times New Roman" w:cs="Times New Roman"/>
          <w:sz w:val="24"/>
          <w:szCs w:val="24"/>
        </w:rPr>
      </w:pPr>
    </w:p>
    <w:p w14:paraId="166871C5" w14:textId="77777777" w:rsidR="00C91B0A" w:rsidRDefault="00C91B0A" w:rsidP="00894560">
      <w:pPr>
        <w:spacing w:line="240" w:lineRule="auto"/>
        <w:ind w:firstLine="0"/>
        <w:jc w:val="left"/>
        <w:rPr>
          <w:rFonts w:ascii="Times New Roman" w:hAnsi="Times New Roman" w:cs="Times New Roman"/>
          <w:sz w:val="24"/>
          <w:szCs w:val="24"/>
        </w:rPr>
      </w:pPr>
      <w:proofErr w:type="gramStart"/>
      <w:r w:rsidRPr="00C91B0A">
        <w:rPr>
          <w:rFonts w:ascii="Times New Roman" w:hAnsi="Times New Roman" w:cs="Times New Roman"/>
          <w:sz w:val="24"/>
          <w:szCs w:val="24"/>
        </w:rPr>
        <w:t>BARQUERO, A. V; Inward investment and endogenous development.</w:t>
      </w:r>
      <w:proofErr w:type="gramEnd"/>
      <w:r w:rsidRPr="00C91B0A">
        <w:rPr>
          <w:rFonts w:ascii="Times New Roman" w:hAnsi="Times New Roman" w:cs="Times New Roman"/>
          <w:sz w:val="24"/>
          <w:szCs w:val="24"/>
        </w:rPr>
        <w:t xml:space="preserve"> </w:t>
      </w:r>
      <w:proofErr w:type="gramStart"/>
      <w:r w:rsidRPr="00C91B0A">
        <w:rPr>
          <w:rFonts w:ascii="Times New Roman" w:hAnsi="Times New Roman" w:cs="Times New Roman"/>
          <w:sz w:val="24"/>
          <w:szCs w:val="24"/>
        </w:rPr>
        <w:t>The convergence of the strategies of large firms and territories?</w:t>
      </w:r>
      <w:proofErr w:type="gramEnd"/>
      <w:r w:rsidRPr="00C91B0A">
        <w:rPr>
          <w:rFonts w:ascii="Times New Roman" w:hAnsi="Times New Roman" w:cs="Times New Roman"/>
          <w:sz w:val="24"/>
          <w:szCs w:val="24"/>
        </w:rPr>
        <w:t xml:space="preserve"> </w:t>
      </w:r>
      <w:proofErr w:type="gramStart"/>
      <w:r w:rsidRPr="00C91B0A">
        <w:rPr>
          <w:rFonts w:ascii="Times New Roman" w:hAnsi="Times New Roman" w:cs="Times New Roman"/>
          <w:sz w:val="24"/>
          <w:szCs w:val="24"/>
        </w:rPr>
        <w:t>Entrepreneurship &amp; Regional Development, 1999.</w:t>
      </w:r>
      <w:proofErr w:type="gramEnd"/>
    </w:p>
    <w:p w14:paraId="6BBA65BE" w14:textId="77777777" w:rsidR="00D62DA2" w:rsidRDefault="00D62DA2" w:rsidP="00894560">
      <w:pPr>
        <w:spacing w:line="240" w:lineRule="auto"/>
        <w:ind w:firstLine="0"/>
        <w:jc w:val="left"/>
        <w:rPr>
          <w:rFonts w:ascii="Times New Roman" w:hAnsi="Times New Roman" w:cs="Times New Roman"/>
          <w:sz w:val="24"/>
          <w:szCs w:val="24"/>
        </w:rPr>
      </w:pPr>
    </w:p>
    <w:p w14:paraId="4C64A87E" w14:textId="3FE13D5A" w:rsidR="00C91B0A" w:rsidRPr="00C91B0A" w:rsidRDefault="00C91B0A" w:rsidP="00894560">
      <w:pPr>
        <w:spacing w:line="240" w:lineRule="auto"/>
        <w:ind w:firstLine="0"/>
        <w:jc w:val="left"/>
        <w:rPr>
          <w:rFonts w:ascii="Times New Roman" w:hAnsi="Times New Roman" w:cs="Times New Roman"/>
          <w:sz w:val="24"/>
          <w:szCs w:val="24"/>
        </w:rPr>
      </w:pPr>
      <w:r w:rsidRPr="00C91B0A">
        <w:rPr>
          <w:rFonts w:ascii="Times New Roman" w:hAnsi="Times New Roman" w:cs="Times New Roman"/>
          <w:sz w:val="24"/>
          <w:szCs w:val="24"/>
        </w:rPr>
        <w:t xml:space="preserve">BARQUERO, A. V.; GIL, J. A. </w:t>
      </w:r>
      <w:r w:rsidRPr="00C91B0A">
        <w:rPr>
          <w:rFonts w:ascii="Times New Roman" w:hAnsi="Times New Roman" w:cs="Times New Roman"/>
          <w:i/>
          <w:sz w:val="24"/>
          <w:szCs w:val="24"/>
        </w:rPr>
        <w:t xml:space="preserve">Endogenous development in the tropics: the relevance of institutions. </w:t>
      </w:r>
      <w:proofErr w:type="gramStart"/>
      <w:r w:rsidRPr="00C91B0A">
        <w:rPr>
          <w:rFonts w:ascii="Times New Roman" w:hAnsi="Times New Roman" w:cs="Times New Roman"/>
          <w:sz w:val="24"/>
          <w:szCs w:val="24"/>
        </w:rPr>
        <w:t>International Forestry Review, v. 17, n. 1, p. 97-110, 2015.</w:t>
      </w:r>
      <w:proofErr w:type="gramEnd"/>
    </w:p>
    <w:p w14:paraId="68DE24AE" w14:textId="77777777" w:rsidR="00D62DA2" w:rsidRDefault="00D62DA2" w:rsidP="00894560">
      <w:pPr>
        <w:spacing w:line="240" w:lineRule="auto"/>
        <w:ind w:firstLine="0"/>
        <w:jc w:val="left"/>
        <w:rPr>
          <w:rFonts w:ascii="Times New Roman" w:hAnsi="Times New Roman" w:cs="Times New Roman"/>
          <w:sz w:val="24"/>
          <w:szCs w:val="24"/>
        </w:rPr>
      </w:pPr>
    </w:p>
    <w:p w14:paraId="4CA0C410" w14:textId="77777777" w:rsidR="00C91B0A" w:rsidRPr="00C91B0A" w:rsidRDefault="00C91B0A" w:rsidP="00894560">
      <w:pPr>
        <w:spacing w:line="240" w:lineRule="auto"/>
        <w:ind w:firstLine="0"/>
        <w:jc w:val="left"/>
        <w:rPr>
          <w:rFonts w:ascii="Times New Roman" w:hAnsi="Times New Roman" w:cs="Times New Roman"/>
          <w:sz w:val="24"/>
          <w:szCs w:val="24"/>
        </w:rPr>
      </w:pPr>
      <w:r w:rsidRPr="00C91B0A">
        <w:rPr>
          <w:rFonts w:ascii="Times New Roman" w:hAnsi="Times New Roman" w:cs="Times New Roman"/>
          <w:sz w:val="24"/>
          <w:szCs w:val="24"/>
        </w:rPr>
        <w:t xml:space="preserve">COHEN, W.; LEVINTHAL, D. </w:t>
      </w:r>
      <w:r w:rsidRPr="00C91B0A">
        <w:rPr>
          <w:rFonts w:ascii="Times New Roman" w:hAnsi="Times New Roman" w:cs="Times New Roman"/>
          <w:i/>
          <w:sz w:val="24"/>
          <w:szCs w:val="24"/>
        </w:rPr>
        <w:t>Absorptive capacity: a new perspective on learning and innovation.</w:t>
      </w:r>
      <w:r w:rsidRPr="00C91B0A">
        <w:rPr>
          <w:rFonts w:ascii="Times New Roman" w:hAnsi="Times New Roman" w:cs="Times New Roman"/>
          <w:sz w:val="24"/>
          <w:szCs w:val="24"/>
        </w:rPr>
        <w:t xml:space="preserve"> </w:t>
      </w:r>
      <w:proofErr w:type="gramStart"/>
      <w:r w:rsidRPr="00C91B0A">
        <w:rPr>
          <w:rFonts w:ascii="Times New Roman" w:hAnsi="Times New Roman" w:cs="Times New Roman"/>
          <w:sz w:val="24"/>
          <w:szCs w:val="24"/>
        </w:rPr>
        <w:t>Source.</w:t>
      </w:r>
      <w:proofErr w:type="gramEnd"/>
      <w:r w:rsidRPr="00C91B0A">
        <w:rPr>
          <w:rFonts w:ascii="Times New Roman" w:hAnsi="Times New Roman" w:cs="Times New Roman"/>
          <w:sz w:val="24"/>
          <w:szCs w:val="24"/>
        </w:rPr>
        <w:t xml:space="preserve"> Administrative Science Quarterly, v. 35, n. 1, Special Issue: Technology, Organizations and Innovation, p. 128-152, 1990.</w:t>
      </w:r>
    </w:p>
    <w:p w14:paraId="2D320E63" w14:textId="77777777" w:rsidR="00D62DA2" w:rsidRPr="00731A3F" w:rsidRDefault="00D62DA2" w:rsidP="00894560">
      <w:pPr>
        <w:spacing w:line="240" w:lineRule="auto"/>
        <w:ind w:firstLine="0"/>
        <w:jc w:val="left"/>
        <w:rPr>
          <w:rFonts w:ascii="Times New Roman" w:hAnsi="Times New Roman" w:cs="Times New Roman"/>
          <w:sz w:val="24"/>
          <w:szCs w:val="24"/>
        </w:rPr>
      </w:pPr>
    </w:p>
    <w:p w14:paraId="4942877D" w14:textId="77777777" w:rsidR="00C91B0A" w:rsidRPr="00C91B0A" w:rsidRDefault="00C91B0A" w:rsidP="00894560">
      <w:pPr>
        <w:spacing w:line="240" w:lineRule="auto"/>
        <w:ind w:firstLine="0"/>
        <w:jc w:val="left"/>
        <w:rPr>
          <w:rFonts w:ascii="Times New Roman" w:hAnsi="Times New Roman" w:cs="Times New Roman"/>
          <w:sz w:val="24"/>
          <w:szCs w:val="24"/>
          <w:lang w:val="pt-BR"/>
        </w:rPr>
      </w:pPr>
      <w:r w:rsidRPr="00C91B0A">
        <w:rPr>
          <w:rFonts w:ascii="Times New Roman" w:hAnsi="Times New Roman" w:cs="Times New Roman"/>
          <w:sz w:val="24"/>
          <w:szCs w:val="24"/>
          <w:lang w:val="pt-BR"/>
        </w:rPr>
        <w:t xml:space="preserve">CROCCO, M., GALINARI, R., SANTOS, F., </w:t>
      </w:r>
      <w:proofErr w:type="gramStart"/>
      <w:r w:rsidRPr="00C91B0A">
        <w:rPr>
          <w:rFonts w:ascii="Times New Roman" w:hAnsi="Times New Roman" w:cs="Times New Roman"/>
          <w:sz w:val="24"/>
          <w:szCs w:val="24"/>
          <w:lang w:val="pt-BR"/>
        </w:rPr>
        <w:t>LEMOS,</w:t>
      </w:r>
      <w:proofErr w:type="gramEnd"/>
      <w:r w:rsidRPr="00C91B0A">
        <w:rPr>
          <w:rFonts w:ascii="Times New Roman" w:hAnsi="Times New Roman" w:cs="Times New Roman"/>
          <w:sz w:val="24"/>
          <w:szCs w:val="24"/>
          <w:lang w:val="pt-BR"/>
        </w:rPr>
        <w:t xml:space="preserve"> M., e SIMÕES, R. </w:t>
      </w:r>
      <w:r w:rsidRPr="00C91B0A">
        <w:rPr>
          <w:rFonts w:ascii="Times New Roman" w:hAnsi="Times New Roman" w:cs="Times New Roman"/>
          <w:i/>
          <w:sz w:val="24"/>
          <w:szCs w:val="24"/>
          <w:lang w:val="pt-BR"/>
        </w:rPr>
        <w:t>Metodologia de Identificação de Aglomerados Produtivos Locais</w:t>
      </w:r>
      <w:r w:rsidRPr="00C91B0A">
        <w:rPr>
          <w:rFonts w:ascii="Times New Roman" w:hAnsi="Times New Roman" w:cs="Times New Roman"/>
          <w:sz w:val="24"/>
          <w:szCs w:val="24"/>
          <w:lang w:val="pt-BR"/>
        </w:rPr>
        <w:t>. CEDEPLAR/UFMG, 2006.</w:t>
      </w:r>
    </w:p>
    <w:p w14:paraId="185496E3" w14:textId="77777777" w:rsidR="00C91B0A" w:rsidRPr="00C91B0A" w:rsidRDefault="00C91B0A" w:rsidP="00894560">
      <w:pPr>
        <w:spacing w:line="240" w:lineRule="auto"/>
        <w:ind w:firstLine="0"/>
        <w:jc w:val="left"/>
        <w:rPr>
          <w:rFonts w:ascii="Times New Roman" w:hAnsi="Times New Roman" w:cs="Times New Roman"/>
          <w:sz w:val="24"/>
          <w:szCs w:val="24"/>
        </w:rPr>
      </w:pPr>
      <w:r w:rsidRPr="00C91B0A">
        <w:rPr>
          <w:rFonts w:ascii="Times New Roman" w:hAnsi="Times New Roman" w:cs="Times New Roman"/>
          <w:sz w:val="24"/>
          <w:szCs w:val="24"/>
          <w:lang w:val="pt-BR"/>
        </w:rPr>
        <w:t xml:space="preserve">FURTADO, Celso. El mito </w:t>
      </w:r>
      <w:proofErr w:type="spellStart"/>
      <w:proofErr w:type="gramStart"/>
      <w:r w:rsidRPr="00C91B0A">
        <w:rPr>
          <w:rFonts w:ascii="Times New Roman" w:hAnsi="Times New Roman" w:cs="Times New Roman"/>
          <w:sz w:val="24"/>
          <w:szCs w:val="24"/>
          <w:lang w:val="pt-BR"/>
        </w:rPr>
        <w:t>del</w:t>
      </w:r>
      <w:proofErr w:type="spellEnd"/>
      <w:proofErr w:type="gramEnd"/>
      <w:r w:rsidRPr="00C91B0A">
        <w:rPr>
          <w:rFonts w:ascii="Times New Roman" w:hAnsi="Times New Roman" w:cs="Times New Roman"/>
          <w:sz w:val="24"/>
          <w:szCs w:val="24"/>
          <w:lang w:val="pt-BR"/>
        </w:rPr>
        <w:t xml:space="preserve"> </w:t>
      </w:r>
      <w:proofErr w:type="spellStart"/>
      <w:r w:rsidRPr="00C91B0A">
        <w:rPr>
          <w:rFonts w:ascii="Times New Roman" w:hAnsi="Times New Roman" w:cs="Times New Roman"/>
          <w:sz w:val="24"/>
          <w:szCs w:val="24"/>
          <w:lang w:val="pt-BR"/>
        </w:rPr>
        <w:t>desarrollo</w:t>
      </w:r>
      <w:proofErr w:type="spellEnd"/>
      <w:r w:rsidRPr="00C91B0A">
        <w:rPr>
          <w:rFonts w:ascii="Times New Roman" w:hAnsi="Times New Roman" w:cs="Times New Roman"/>
          <w:sz w:val="24"/>
          <w:szCs w:val="24"/>
          <w:lang w:val="pt-BR"/>
        </w:rPr>
        <w:t xml:space="preserve"> y </w:t>
      </w:r>
      <w:proofErr w:type="spellStart"/>
      <w:r w:rsidRPr="00C91B0A">
        <w:rPr>
          <w:rFonts w:ascii="Times New Roman" w:hAnsi="Times New Roman" w:cs="Times New Roman"/>
          <w:sz w:val="24"/>
          <w:szCs w:val="24"/>
          <w:lang w:val="pt-BR"/>
        </w:rPr>
        <w:t>el</w:t>
      </w:r>
      <w:proofErr w:type="spellEnd"/>
      <w:r w:rsidRPr="00C91B0A">
        <w:rPr>
          <w:rFonts w:ascii="Times New Roman" w:hAnsi="Times New Roman" w:cs="Times New Roman"/>
          <w:sz w:val="24"/>
          <w:szCs w:val="24"/>
          <w:lang w:val="pt-BR"/>
        </w:rPr>
        <w:t xml:space="preserve"> futuro </w:t>
      </w:r>
      <w:proofErr w:type="spellStart"/>
      <w:r w:rsidRPr="00C91B0A">
        <w:rPr>
          <w:rFonts w:ascii="Times New Roman" w:hAnsi="Times New Roman" w:cs="Times New Roman"/>
          <w:sz w:val="24"/>
          <w:szCs w:val="24"/>
          <w:lang w:val="pt-BR"/>
        </w:rPr>
        <w:t>del</w:t>
      </w:r>
      <w:proofErr w:type="spellEnd"/>
      <w:r w:rsidRPr="00C91B0A">
        <w:rPr>
          <w:rFonts w:ascii="Times New Roman" w:hAnsi="Times New Roman" w:cs="Times New Roman"/>
          <w:sz w:val="24"/>
          <w:szCs w:val="24"/>
          <w:lang w:val="pt-BR"/>
        </w:rPr>
        <w:t xml:space="preserve"> </w:t>
      </w:r>
      <w:proofErr w:type="spellStart"/>
      <w:r w:rsidRPr="00C91B0A">
        <w:rPr>
          <w:rFonts w:ascii="Times New Roman" w:hAnsi="Times New Roman" w:cs="Times New Roman"/>
          <w:sz w:val="24"/>
          <w:szCs w:val="24"/>
          <w:lang w:val="pt-BR"/>
        </w:rPr>
        <w:t>Tercer</w:t>
      </w:r>
      <w:proofErr w:type="spellEnd"/>
      <w:r w:rsidRPr="00C91B0A">
        <w:rPr>
          <w:rFonts w:ascii="Times New Roman" w:hAnsi="Times New Roman" w:cs="Times New Roman"/>
          <w:sz w:val="24"/>
          <w:szCs w:val="24"/>
          <w:lang w:val="pt-BR"/>
        </w:rPr>
        <w:t xml:space="preserve"> Mundo. </w:t>
      </w:r>
      <w:proofErr w:type="gramStart"/>
      <w:r w:rsidRPr="00C91B0A">
        <w:rPr>
          <w:rFonts w:ascii="Times New Roman" w:hAnsi="Times New Roman" w:cs="Times New Roman"/>
          <w:sz w:val="24"/>
          <w:szCs w:val="24"/>
        </w:rPr>
        <w:t xml:space="preserve">El </w:t>
      </w:r>
      <w:proofErr w:type="spellStart"/>
      <w:r w:rsidRPr="00C91B0A">
        <w:rPr>
          <w:rFonts w:ascii="Times New Roman" w:hAnsi="Times New Roman" w:cs="Times New Roman"/>
          <w:sz w:val="24"/>
          <w:szCs w:val="24"/>
        </w:rPr>
        <w:t>trimestre</w:t>
      </w:r>
      <w:proofErr w:type="spellEnd"/>
      <w:r w:rsidRPr="00C91B0A">
        <w:rPr>
          <w:rFonts w:ascii="Times New Roman" w:hAnsi="Times New Roman" w:cs="Times New Roman"/>
          <w:sz w:val="24"/>
          <w:szCs w:val="24"/>
        </w:rPr>
        <w:t xml:space="preserve"> </w:t>
      </w:r>
      <w:proofErr w:type="spellStart"/>
      <w:r w:rsidRPr="00C91B0A">
        <w:rPr>
          <w:rFonts w:ascii="Times New Roman" w:hAnsi="Times New Roman" w:cs="Times New Roman"/>
          <w:sz w:val="24"/>
          <w:szCs w:val="24"/>
        </w:rPr>
        <w:t>econômico</w:t>
      </w:r>
      <w:proofErr w:type="spellEnd"/>
      <w:r w:rsidRPr="00C91B0A">
        <w:rPr>
          <w:rFonts w:ascii="Times New Roman" w:hAnsi="Times New Roman" w:cs="Times New Roman"/>
          <w:sz w:val="24"/>
          <w:szCs w:val="24"/>
        </w:rPr>
        <w:t>, 1974 JSTOR.</w:t>
      </w:r>
      <w:proofErr w:type="gramEnd"/>
    </w:p>
    <w:p w14:paraId="745ECA5F" w14:textId="77777777" w:rsidR="00D62DA2" w:rsidRDefault="00D62DA2" w:rsidP="00894560">
      <w:pPr>
        <w:spacing w:line="240" w:lineRule="auto"/>
        <w:ind w:firstLine="0"/>
        <w:jc w:val="left"/>
        <w:rPr>
          <w:rFonts w:ascii="Times New Roman" w:hAnsi="Times New Roman" w:cs="Times New Roman"/>
          <w:sz w:val="24"/>
          <w:szCs w:val="24"/>
        </w:rPr>
      </w:pPr>
    </w:p>
    <w:p w14:paraId="61F3EACA" w14:textId="77777777" w:rsidR="00C91B0A" w:rsidRPr="00C91B0A" w:rsidRDefault="00C91B0A" w:rsidP="00894560">
      <w:pPr>
        <w:spacing w:line="240" w:lineRule="auto"/>
        <w:ind w:firstLine="0"/>
        <w:jc w:val="left"/>
        <w:rPr>
          <w:rFonts w:ascii="Times New Roman" w:hAnsi="Times New Roman" w:cs="Times New Roman"/>
          <w:sz w:val="24"/>
          <w:szCs w:val="24"/>
        </w:rPr>
      </w:pPr>
      <w:proofErr w:type="gramStart"/>
      <w:r w:rsidRPr="00C91B0A">
        <w:rPr>
          <w:rFonts w:ascii="Times New Roman" w:hAnsi="Times New Roman" w:cs="Times New Roman"/>
          <w:sz w:val="24"/>
          <w:szCs w:val="24"/>
        </w:rPr>
        <w:t xml:space="preserve">PIKE, A. RODRIGUEZ-POSE, A. </w:t>
      </w:r>
      <w:r w:rsidRPr="00C91B0A">
        <w:rPr>
          <w:rFonts w:ascii="Times New Roman" w:hAnsi="Times New Roman" w:cs="Times New Roman"/>
          <w:i/>
          <w:sz w:val="24"/>
          <w:szCs w:val="24"/>
        </w:rPr>
        <w:t>Local and Regional Development</w:t>
      </w:r>
      <w:r w:rsidRPr="00C91B0A">
        <w:rPr>
          <w:rFonts w:ascii="Times New Roman" w:hAnsi="Times New Roman" w:cs="Times New Roman"/>
          <w:sz w:val="24"/>
          <w:szCs w:val="24"/>
        </w:rPr>
        <w:t>.</w:t>
      </w:r>
      <w:proofErr w:type="gramEnd"/>
      <w:r w:rsidRPr="00C91B0A">
        <w:rPr>
          <w:rFonts w:ascii="Times New Roman" w:hAnsi="Times New Roman" w:cs="Times New Roman"/>
          <w:sz w:val="24"/>
          <w:szCs w:val="24"/>
        </w:rPr>
        <w:t xml:space="preserve"> </w:t>
      </w:r>
      <w:proofErr w:type="gramStart"/>
      <w:r w:rsidRPr="00C91B0A">
        <w:rPr>
          <w:rFonts w:ascii="Times New Roman" w:hAnsi="Times New Roman" w:cs="Times New Roman"/>
          <w:sz w:val="24"/>
          <w:szCs w:val="24"/>
        </w:rPr>
        <w:t>Routledge, Taylor &amp;Francis Group – London and New York, 2016.</w:t>
      </w:r>
      <w:proofErr w:type="gramEnd"/>
    </w:p>
    <w:p w14:paraId="7386999E" w14:textId="77777777" w:rsidR="00D62DA2" w:rsidRPr="00795015" w:rsidRDefault="00D62DA2" w:rsidP="00894560">
      <w:pPr>
        <w:spacing w:line="240" w:lineRule="auto"/>
        <w:ind w:firstLine="0"/>
        <w:jc w:val="left"/>
        <w:rPr>
          <w:rFonts w:ascii="Times New Roman" w:hAnsi="Times New Roman" w:cs="Times New Roman"/>
          <w:sz w:val="24"/>
          <w:szCs w:val="24"/>
        </w:rPr>
      </w:pPr>
    </w:p>
    <w:p w14:paraId="755BC835" w14:textId="77777777" w:rsidR="00C91B0A" w:rsidRPr="00C91B0A" w:rsidRDefault="00C91B0A" w:rsidP="00894560">
      <w:pPr>
        <w:spacing w:line="240" w:lineRule="auto"/>
        <w:ind w:firstLine="0"/>
        <w:jc w:val="left"/>
        <w:rPr>
          <w:rFonts w:ascii="Times New Roman" w:hAnsi="Times New Roman" w:cs="Times New Roman"/>
          <w:sz w:val="24"/>
          <w:szCs w:val="24"/>
          <w:lang w:val="pt-BR"/>
        </w:rPr>
      </w:pPr>
      <w:r w:rsidRPr="00C91B0A">
        <w:rPr>
          <w:rFonts w:ascii="Times New Roman" w:hAnsi="Times New Roman" w:cs="Times New Roman"/>
          <w:sz w:val="24"/>
          <w:szCs w:val="24"/>
          <w:lang w:val="pt-BR"/>
        </w:rPr>
        <w:t>RIBEIRO, Alcimar e ARICA, Jose</w:t>
      </w:r>
      <w:r w:rsidRPr="00C91B0A">
        <w:rPr>
          <w:rFonts w:ascii="Times New Roman" w:hAnsi="Times New Roman" w:cs="Times New Roman"/>
          <w:i/>
          <w:sz w:val="24"/>
          <w:szCs w:val="24"/>
          <w:lang w:val="pt-BR"/>
        </w:rPr>
        <w:t>. Organização Produtiva Local: uma estratégia para capacitar espaços periféricos.</w:t>
      </w:r>
      <w:r w:rsidRPr="00C91B0A">
        <w:rPr>
          <w:rFonts w:ascii="Times New Roman" w:hAnsi="Times New Roman" w:cs="Times New Roman"/>
          <w:sz w:val="24"/>
          <w:szCs w:val="24"/>
          <w:lang w:val="pt-BR"/>
        </w:rPr>
        <w:t xml:space="preserve"> Revista Econômica do Nordeste, v. 35, nº 4, out-dez, 2004.</w:t>
      </w:r>
    </w:p>
    <w:p w14:paraId="0DC02D06" w14:textId="77777777" w:rsidR="00D62DA2" w:rsidRDefault="00D62DA2" w:rsidP="00894560">
      <w:pPr>
        <w:spacing w:line="240" w:lineRule="auto"/>
        <w:ind w:firstLine="0"/>
        <w:jc w:val="left"/>
        <w:rPr>
          <w:rFonts w:ascii="Times New Roman" w:hAnsi="Times New Roman" w:cs="Times New Roman"/>
          <w:sz w:val="24"/>
          <w:szCs w:val="24"/>
          <w:lang w:val="pt-BR"/>
        </w:rPr>
      </w:pPr>
    </w:p>
    <w:p w14:paraId="2B384646" w14:textId="77777777" w:rsidR="00C91B0A" w:rsidRPr="00C91B0A" w:rsidRDefault="00C91B0A" w:rsidP="00894560">
      <w:pPr>
        <w:spacing w:line="240" w:lineRule="auto"/>
        <w:ind w:firstLine="0"/>
        <w:jc w:val="left"/>
        <w:rPr>
          <w:rFonts w:ascii="Times New Roman" w:hAnsi="Times New Roman" w:cs="Times New Roman"/>
          <w:sz w:val="24"/>
          <w:szCs w:val="24"/>
          <w:lang w:val="pt-BR"/>
        </w:rPr>
      </w:pPr>
      <w:r w:rsidRPr="00C91B0A">
        <w:rPr>
          <w:rFonts w:ascii="Times New Roman" w:hAnsi="Times New Roman" w:cs="Times New Roman"/>
          <w:sz w:val="24"/>
          <w:szCs w:val="24"/>
          <w:lang w:val="pt-BR"/>
        </w:rPr>
        <w:t>RIBEIRO, Alcimar</w:t>
      </w:r>
      <w:proofErr w:type="gramStart"/>
      <w:r w:rsidRPr="00C91B0A">
        <w:rPr>
          <w:rFonts w:ascii="Times New Roman" w:hAnsi="Times New Roman" w:cs="Times New Roman"/>
          <w:sz w:val="24"/>
          <w:szCs w:val="24"/>
          <w:lang w:val="pt-BR"/>
        </w:rPr>
        <w:t>.,</w:t>
      </w:r>
      <w:proofErr w:type="gramEnd"/>
      <w:r w:rsidRPr="00C91B0A">
        <w:rPr>
          <w:rFonts w:ascii="Times New Roman" w:hAnsi="Times New Roman" w:cs="Times New Roman"/>
          <w:sz w:val="24"/>
          <w:szCs w:val="24"/>
          <w:lang w:val="pt-BR"/>
        </w:rPr>
        <w:t xml:space="preserve"> ZANOTTO, Francis e MARTINELLI, Victor. Estrutura Metodológica de Investigação Econômica em Espaços Territoriais: o caso do Território Fluminense. In: IV Simpósio latino-americano de Estudos de Desenvolvimento Regional – IV SLAEDR e V Seminário Internacional da Rede Ibero-Americana de Estudos sobre Desenvolvimento Territorial e Governança – V SIDETEG, 2024, Ijuí- RS.</w:t>
      </w:r>
    </w:p>
    <w:p w14:paraId="208C04F1" w14:textId="77777777" w:rsidR="00D62DA2" w:rsidRDefault="00D62DA2" w:rsidP="00894560">
      <w:pPr>
        <w:spacing w:line="240" w:lineRule="auto"/>
        <w:ind w:firstLine="0"/>
        <w:jc w:val="left"/>
        <w:rPr>
          <w:rFonts w:ascii="Times New Roman" w:hAnsi="Times New Roman" w:cs="Times New Roman"/>
          <w:sz w:val="24"/>
          <w:szCs w:val="24"/>
          <w:lang w:val="pt-BR"/>
        </w:rPr>
      </w:pPr>
    </w:p>
    <w:p w14:paraId="1A4548B0" w14:textId="77777777" w:rsidR="00C91B0A" w:rsidRPr="00C91B0A" w:rsidRDefault="00C91B0A" w:rsidP="00894560">
      <w:pPr>
        <w:spacing w:line="240" w:lineRule="auto"/>
        <w:ind w:firstLine="0"/>
        <w:jc w:val="left"/>
        <w:rPr>
          <w:rFonts w:ascii="Times New Roman" w:hAnsi="Times New Roman" w:cs="Times New Roman"/>
          <w:sz w:val="24"/>
          <w:szCs w:val="24"/>
        </w:rPr>
      </w:pPr>
      <w:r w:rsidRPr="00C91B0A">
        <w:rPr>
          <w:rFonts w:ascii="Times New Roman" w:hAnsi="Times New Roman" w:cs="Times New Roman"/>
          <w:sz w:val="24"/>
          <w:szCs w:val="24"/>
          <w:lang w:val="pt-BR"/>
        </w:rPr>
        <w:t xml:space="preserve">MASQUIETTO, C. NETO, M. e GIULIANI, A. </w:t>
      </w:r>
      <w:r w:rsidRPr="00C91B0A">
        <w:rPr>
          <w:rFonts w:ascii="Times New Roman" w:hAnsi="Times New Roman" w:cs="Times New Roman"/>
          <w:i/>
          <w:sz w:val="24"/>
          <w:szCs w:val="24"/>
          <w:lang w:val="pt-BR"/>
        </w:rPr>
        <w:t>Identificação de Arranjos Produtivos Locais: o caso do Arranjo Produtivo Local do Álcool de Piracicaba</w:t>
      </w:r>
      <w:r w:rsidRPr="00C91B0A">
        <w:rPr>
          <w:rFonts w:ascii="Times New Roman" w:hAnsi="Times New Roman" w:cs="Times New Roman"/>
          <w:sz w:val="24"/>
          <w:szCs w:val="24"/>
          <w:lang w:val="pt-BR"/>
        </w:rPr>
        <w:t xml:space="preserve">. </w:t>
      </w:r>
      <w:proofErr w:type="spellStart"/>
      <w:proofErr w:type="gramStart"/>
      <w:r w:rsidRPr="00C91B0A">
        <w:rPr>
          <w:rFonts w:ascii="Times New Roman" w:hAnsi="Times New Roman" w:cs="Times New Roman"/>
          <w:sz w:val="24"/>
          <w:szCs w:val="24"/>
        </w:rPr>
        <w:t>Gestão</w:t>
      </w:r>
      <w:proofErr w:type="spellEnd"/>
      <w:r w:rsidRPr="00C91B0A">
        <w:rPr>
          <w:rFonts w:ascii="Times New Roman" w:hAnsi="Times New Roman" w:cs="Times New Roman"/>
          <w:sz w:val="24"/>
          <w:szCs w:val="24"/>
        </w:rPr>
        <w:t xml:space="preserve"> e </w:t>
      </w:r>
      <w:proofErr w:type="spellStart"/>
      <w:r w:rsidRPr="00C91B0A">
        <w:rPr>
          <w:rFonts w:ascii="Times New Roman" w:hAnsi="Times New Roman" w:cs="Times New Roman"/>
          <w:sz w:val="24"/>
          <w:szCs w:val="24"/>
        </w:rPr>
        <w:t>Regionalidade</w:t>
      </w:r>
      <w:proofErr w:type="spellEnd"/>
      <w:r w:rsidRPr="00C91B0A">
        <w:rPr>
          <w:rFonts w:ascii="Times New Roman" w:hAnsi="Times New Roman" w:cs="Times New Roman"/>
          <w:sz w:val="24"/>
          <w:szCs w:val="24"/>
        </w:rPr>
        <w:t>, v. 26 n. 77 (2010).</w:t>
      </w:r>
      <w:proofErr w:type="gramEnd"/>
    </w:p>
    <w:p w14:paraId="36A64926" w14:textId="77777777" w:rsidR="00D62DA2" w:rsidRDefault="00D62DA2" w:rsidP="00894560">
      <w:pPr>
        <w:spacing w:line="240" w:lineRule="auto"/>
        <w:ind w:firstLine="0"/>
        <w:jc w:val="left"/>
        <w:textAlignment w:val="baseline"/>
        <w:rPr>
          <w:rFonts w:ascii="Times New Roman" w:hAnsi="Times New Roman" w:cs="Times New Roman"/>
          <w:sz w:val="22"/>
          <w:szCs w:val="22"/>
        </w:rPr>
      </w:pPr>
    </w:p>
    <w:p w14:paraId="43944458" w14:textId="77777777" w:rsidR="00C91B0A" w:rsidRPr="00C91B0A" w:rsidRDefault="00C91B0A" w:rsidP="00894560">
      <w:pPr>
        <w:spacing w:line="240" w:lineRule="auto"/>
        <w:ind w:firstLine="0"/>
        <w:jc w:val="left"/>
        <w:textAlignment w:val="baseline"/>
        <w:rPr>
          <w:rFonts w:ascii="Tahoma" w:eastAsia="Times New Roman" w:hAnsi="Tahoma" w:cs="Tahoma"/>
          <w:color w:val="326C99"/>
          <w:sz w:val="17"/>
          <w:szCs w:val="17"/>
          <w:lang w:eastAsia="pt-BR"/>
        </w:rPr>
      </w:pPr>
      <w:r w:rsidRPr="00C91B0A">
        <w:rPr>
          <w:rFonts w:ascii="Times New Roman" w:hAnsi="Times New Roman" w:cs="Times New Roman"/>
          <w:sz w:val="22"/>
          <w:szCs w:val="22"/>
        </w:rPr>
        <w:t xml:space="preserve">ROMER, P. M. Increasing returns and long-run growth. </w:t>
      </w:r>
      <w:proofErr w:type="gramStart"/>
      <w:r w:rsidRPr="00C91B0A">
        <w:rPr>
          <w:rFonts w:ascii="Times New Roman" w:hAnsi="Times New Roman" w:cs="Times New Roman"/>
          <w:sz w:val="22"/>
          <w:szCs w:val="22"/>
        </w:rPr>
        <w:t>Journal of Political Economy, Chicago, v. 94, n.5, p. 1002-1037, 1986.</w:t>
      </w:r>
      <w:proofErr w:type="gramEnd"/>
    </w:p>
    <w:p w14:paraId="125542B8" w14:textId="77777777" w:rsidR="00C91B0A" w:rsidRPr="00C91B0A" w:rsidRDefault="00C91B0A" w:rsidP="00894560">
      <w:pPr>
        <w:spacing w:line="240" w:lineRule="auto"/>
        <w:ind w:firstLine="0"/>
        <w:jc w:val="left"/>
        <w:rPr>
          <w:rFonts w:ascii="Times New Roman" w:hAnsi="Times New Roman" w:cs="Times New Roman"/>
          <w:sz w:val="22"/>
          <w:szCs w:val="22"/>
        </w:rPr>
      </w:pPr>
      <w:r w:rsidRPr="00C91B0A">
        <w:rPr>
          <w:rFonts w:ascii="Times New Roman" w:hAnsi="Times New Roman" w:cs="Times New Roman"/>
          <w:sz w:val="22"/>
          <w:szCs w:val="22"/>
        </w:rPr>
        <w:t xml:space="preserve">SOLOW, R. </w:t>
      </w:r>
      <w:proofErr w:type="gramStart"/>
      <w:r w:rsidRPr="00C91B0A">
        <w:rPr>
          <w:rFonts w:ascii="Times New Roman" w:hAnsi="Times New Roman" w:cs="Times New Roman"/>
          <w:sz w:val="22"/>
          <w:szCs w:val="22"/>
        </w:rPr>
        <w:t>A Contribution to the theory of economic growth.</w:t>
      </w:r>
      <w:proofErr w:type="gramEnd"/>
      <w:r w:rsidRPr="00C91B0A">
        <w:rPr>
          <w:rFonts w:ascii="Times New Roman" w:hAnsi="Times New Roman" w:cs="Times New Roman"/>
          <w:sz w:val="22"/>
          <w:szCs w:val="22"/>
        </w:rPr>
        <w:t xml:space="preserve"> </w:t>
      </w:r>
      <w:proofErr w:type="gramStart"/>
      <w:r w:rsidRPr="00C91B0A">
        <w:rPr>
          <w:rFonts w:ascii="Times New Roman" w:hAnsi="Times New Roman" w:cs="Times New Roman"/>
          <w:sz w:val="22"/>
          <w:szCs w:val="22"/>
        </w:rPr>
        <w:t>The Quarterly Journal Economics, Cambridge, v.70, n.1, p. 65-94, 1956.</w:t>
      </w:r>
      <w:proofErr w:type="gramEnd"/>
    </w:p>
    <w:p w14:paraId="54D52D0B" w14:textId="77777777" w:rsidR="00415219" w:rsidRDefault="00415219" w:rsidP="00894560">
      <w:pPr>
        <w:spacing w:line="240" w:lineRule="auto"/>
        <w:ind w:firstLine="0"/>
        <w:jc w:val="left"/>
        <w:rPr>
          <w:rFonts w:ascii="Times New Roman" w:hAnsi="Times New Roman" w:cs="Times New Roman"/>
          <w:sz w:val="22"/>
          <w:szCs w:val="22"/>
        </w:rPr>
      </w:pPr>
    </w:p>
    <w:p w14:paraId="44B08681" w14:textId="1977B2C0" w:rsidR="00220C9E" w:rsidRPr="00220C9E" w:rsidRDefault="00C91B0A" w:rsidP="00894560">
      <w:pPr>
        <w:spacing w:line="240" w:lineRule="auto"/>
        <w:ind w:firstLine="0"/>
        <w:jc w:val="left"/>
        <w:rPr>
          <w:rFonts w:ascii="Times New Roman" w:hAnsi="Times New Roman" w:cs="Times New Roman"/>
          <w:sz w:val="24"/>
          <w:szCs w:val="24"/>
        </w:rPr>
      </w:pPr>
      <w:proofErr w:type="gramStart"/>
      <w:r w:rsidRPr="00C91B0A">
        <w:rPr>
          <w:rFonts w:ascii="Times New Roman" w:hAnsi="Times New Roman" w:cs="Times New Roman"/>
          <w:sz w:val="22"/>
          <w:szCs w:val="22"/>
        </w:rPr>
        <w:t>FREEMAN, C. Innovation and growth.</w:t>
      </w:r>
      <w:proofErr w:type="gramEnd"/>
      <w:r w:rsidRPr="00C91B0A">
        <w:rPr>
          <w:rFonts w:ascii="Times New Roman" w:hAnsi="Times New Roman" w:cs="Times New Roman"/>
          <w:sz w:val="22"/>
          <w:szCs w:val="22"/>
        </w:rPr>
        <w:t xml:space="preserve"> In: DODGSON, M., ROTHWELL, R. (Eds.). </w:t>
      </w:r>
      <w:proofErr w:type="gramStart"/>
      <w:r w:rsidRPr="00C91B0A">
        <w:rPr>
          <w:rFonts w:ascii="Times New Roman" w:hAnsi="Times New Roman" w:cs="Times New Roman"/>
          <w:sz w:val="22"/>
          <w:szCs w:val="22"/>
        </w:rPr>
        <w:t>The Handbook of industrial innovation.</w:t>
      </w:r>
      <w:proofErr w:type="gramEnd"/>
      <w:r w:rsidRPr="00C91B0A">
        <w:rPr>
          <w:rFonts w:ascii="Times New Roman" w:hAnsi="Times New Roman" w:cs="Times New Roman"/>
          <w:sz w:val="22"/>
          <w:szCs w:val="22"/>
        </w:rPr>
        <w:t xml:space="preserve"> </w:t>
      </w:r>
      <w:proofErr w:type="spellStart"/>
      <w:r w:rsidRPr="00C91B0A">
        <w:rPr>
          <w:rFonts w:ascii="Times New Roman" w:hAnsi="Times New Roman" w:cs="Times New Roman"/>
          <w:sz w:val="22"/>
          <w:szCs w:val="22"/>
        </w:rPr>
        <w:t>Aldershot</w:t>
      </w:r>
      <w:proofErr w:type="spellEnd"/>
      <w:r w:rsidRPr="00C91B0A">
        <w:rPr>
          <w:rFonts w:ascii="Times New Roman" w:hAnsi="Times New Roman" w:cs="Times New Roman"/>
          <w:sz w:val="22"/>
          <w:szCs w:val="22"/>
        </w:rPr>
        <w:t>: Edward Elgar, 1994 b,</w:t>
      </w:r>
      <w:r w:rsidRPr="00C91B0A">
        <w:rPr>
          <w:rFonts w:ascii="Times New Roman" w:hAnsi="Times New Roman" w:cs="Times New Roman"/>
          <w:sz w:val="24"/>
          <w:szCs w:val="24"/>
        </w:rPr>
        <w:t xml:space="preserve"> p. 78-93</w:t>
      </w:r>
    </w:p>
    <w:p w14:paraId="7953B170" w14:textId="77777777" w:rsidR="00C91B0A" w:rsidRPr="00C91B0A" w:rsidRDefault="00C91B0A" w:rsidP="00894560">
      <w:pPr>
        <w:spacing w:line="240" w:lineRule="auto"/>
        <w:ind w:firstLine="0"/>
        <w:jc w:val="left"/>
        <w:rPr>
          <w:rFonts w:ascii="Times New Roman" w:hAnsi="Times New Roman" w:cs="Times New Roman"/>
          <w:sz w:val="24"/>
          <w:szCs w:val="24"/>
          <w:lang w:val="pt-BR"/>
        </w:rPr>
      </w:pPr>
      <w:r w:rsidRPr="00C91B0A">
        <w:rPr>
          <w:rFonts w:ascii="Times New Roman" w:hAnsi="Times New Roman" w:cs="Times New Roman"/>
          <w:sz w:val="24"/>
          <w:szCs w:val="24"/>
          <w:lang w:val="pt-BR"/>
        </w:rPr>
        <w:lastRenderedPageBreak/>
        <w:t>RIBEIRO, Alcimar. Estrutura Metodológica para Construção de um Índice de Dinâmica Econômica Local – INDEL. Cadernos do Desenvolvimento Fluminense – Rio de Janeiro – jul./dez. 2023</w:t>
      </w:r>
    </w:p>
    <w:p w14:paraId="54B69AAA" w14:textId="77777777" w:rsidR="00C91B0A" w:rsidRPr="00C91B0A" w:rsidRDefault="00C91B0A" w:rsidP="00894560">
      <w:pPr>
        <w:spacing w:line="240" w:lineRule="auto"/>
        <w:ind w:firstLine="0"/>
        <w:jc w:val="left"/>
        <w:rPr>
          <w:rFonts w:ascii="Times New Roman" w:hAnsi="Times New Roman" w:cs="Times New Roman"/>
          <w:sz w:val="24"/>
          <w:szCs w:val="24"/>
          <w:lang w:val="pt-BR"/>
        </w:rPr>
      </w:pPr>
    </w:p>
    <w:p w14:paraId="7C5847FE" w14:textId="77777777" w:rsidR="00C91B0A" w:rsidRDefault="00C91B0A" w:rsidP="00894560">
      <w:pPr>
        <w:spacing w:line="240" w:lineRule="auto"/>
        <w:ind w:firstLine="0"/>
        <w:jc w:val="left"/>
        <w:rPr>
          <w:rFonts w:ascii="Times New Roman" w:hAnsi="Times New Roman" w:cs="Times New Roman"/>
          <w:sz w:val="24"/>
          <w:szCs w:val="24"/>
          <w:lang w:val="pt-BR"/>
        </w:rPr>
      </w:pPr>
      <w:proofErr w:type="gramStart"/>
      <w:r w:rsidRPr="00C91B0A">
        <w:rPr>
          <w:rFonts w:ascii="Times New Roman" w:hAnsi="Times New Roman" w:cs="Times New Roman"/>
          <w:sz w:val="24"/>
          <w:szCs w:val="24"/>
          <w:lang w:val="pt-BR"/>
        </w:rPr>
        <w:t>RIBEIRO, Alcimar e HASENCLEVER, Lia</w:t>
      </w:r>
      <w:proofErr w:type="gramEnd"/>
      <w:r w:rsidRPr="00C91B0A">
        <w:rPr>
          <w:rFonts w:ascii="Times New Roman" w:hAnsi="Times New Roman" w:cs="Times New Roman"/>
          <w:sz w:val="24"/>
          <w:szCs w:val="24"/>
          <w:lang w:val="pt-BR"/>
        </w:rPr>
        <w:t xml:space="preserve">. </w:t>
      </w:r>
      <w:r w:rsidRPr="00C91B0A">
        <w:rPr>
          <w:rFonts w:ascii="Times New Roman" w:hAnsi="Times New Roman" w:cs="Times New Roman"/>
          <w:i/>
          <w:sz w:val="24"/>
          <w:szCs w:val="24"/>
          <w:lang w:val="pt-BR"/>
        </w:rPr>
        <w:t>Investigação sobre a capacidade de absorção de externalidades positivas geradas por grandes projetos no estado do Rio de Janeiro</w:t>
      </w:r>
      <w:r w:rsidRPr="00C91B0A">
        <w:rPr>
          <w:rFonts w:ascii="Times New Roman" w:hAnsi="Times New Roman" w:cs="Times New Roman"/>
          <w:sz w:val="24"/>
          <w:szCs w:val="24"/>
          <w:lang w:val="pt-BR"/>
        </w:rPr>
        <w:t>. Rev. Econ. NE, Fortaleza, v.50, n. 2, p. 133-145, abr./jun., 2019.</w:t>
      </w:r>
    </w:p>
    <w:p w14:paraId="20111F1C" w14:textId="77777777" w:rsidR="00220C9E" w:rsidRDefault="00220C9E" w:rsidP="00894560">
      <w:pPr>
        <w:spacing w:line="240" w:lineRule="auto"/>
        <w:ind w:firstLine="0"/>
        <w:jc w:val="left"/>
        <w:rPr>
          <w:rFonts w:ascii="Times New Roman" w:hAnsi="Times New Roman" w:cs="Times New Roman"/>
          <w:sz w:val="24"/>
          <w:szCs w:val="24"/>
          <w:lang w:val="pt-BR"/>
        </w:rPr>
      </w:pPr>
    </w:p>
    <w:p w14:paraId="4BE32F39" w14:textId="5BF369D8" w:rsidR="00220C9E" w:rsidRDefault="00220C9E" w:rsidP="00894560">
      <w:pPr>
        <w:spacing w:line="240" w:lineRule="auto"/>
        <w:ind w:firstLine="0"/>
        <w:jc w:val="left"/>
        <w:rPr>
          <w:rFonts w:ascii="Times New Roman" w:hAnsi="Times New Roman" w:cs="Times New Roman"/>
          <w:sz w:val="24"/>
          <w:szCs w:val="24"/>
          <w:lang w:val="pt-BR"/>
        </w:rPr>
      </w:pPr>
      <w:r>
        <w:rPr>
          <w:rFonts w:ascii="Times New Roman" w:hAnsi="Times New Roman" w:cs="Times New Roman"/>
          <w:sz w:val="24"/>
          <w:szCs w:val="24"/>
          <w:lang w:val="pt-BR"/>
        </w:rPr>
        <w:t>RIBEIRO, Alcimar. A Economia Fluminense: Análise da Conjuntura e Perspectivas. Autografia, RJ</w:t>
      </w:r>
      <w:proofErr w:type="gramStart"/>
      <w:r>
        <w:rPr>
          <w:rFonts w:ascii="Times New Roman" w:hAnsi="Times New Roman" w:cs="Times New Roman"/>
          <w:sz w:val="24"/>
          <w:szCs w:val="24"/>
          <w:lang w:val="pt-BR"/>
        </w:rPr>
        <w:t>.,</w:t>
      </w:r>
      <w:proofErr w:type="gramEnd"/>
      <w:r>
        <w:rPr>
          <w:rFonts w:ascii="Times New Roman" w:hAnsi="Times New Roman" w:cs="Times New Roman"/>
          <w:sz w:val="24"/>
          <w:szCs w:val="24"/>
          <w:lang w:val="pt-BR"/>
        </w:rPr>
        <w:t xml:space="preserve"> 2019.</w:t>
      </w:r>
    </w:p>
    <w:p w14:paraId="559872E1" w14:textId="77777777" w:rsidR="00220C9E" w:rsidRDefault="00220C9E" w:rsidP="00894560">
      <w:pPr>
        <w:spacing w:line="240" w:lineRule="auto"/>
        <w:ind w:firstLine="0"/>
        <w:jc w:val="left"/>
        <w:rPr>
          <w:rFonts w:ascii="Times New Roman" w:hAnsi="Times New Roman" w:cs="Times New Roman"/>
          <w:sz w:val="24"/>
          <w:szCs w:val="24"/>
          <w:lang w:val="pt-BR"/>
        </w:rPr>
      </w:pPr>
    </w:p>
    <w:p w14:paraId="0042B072" w14:textId="77777777" w:rsidR="00220C9E" w:rsidRPr="00C91B0A" w:rsidRDefault="00220C9E" w:rsidP="00220C9E">
      <w:pPr>
        <w:spacing w:line="240" w:lineRule="auto"/>
        <w:ind w:firstLine="0"/>
        <w:jc w:val="left"/>
        <w:rPr>
          <w:rFonts w:ascii="Times New Roman" w:hAnsi="Times New Roman" w:cs="Times New Roman"/>
          <w:sz w:val="24"/>
          <w:szCs w:val="24"/>
          <w:lang w:val="pt-BR"/>
        </w:rPr>
      </w:pPr>
      <w:r w:rsidRPr="00C91B0A">
        <w:rPr>
          <w:rFonts w:ascii="Times New Roman" w:hAnsi="Times New Roman" w:cs="Times New Roman"/>
          <w:sz w:val="24"/>
          <w:szCs w:val="24"/>
          <w:lang w:val="pt-BR"/>
        </w:rPr>
        <w:t xml:space="preserve">RODRIGUEZ-POSE, ANDRÉS; KROIJER, ANNE. </w:t>
      </w:r>
      <w:proofErr w:type="gramStart"/>
      <w:r w:rsidRPr="00C91B0A">
        <w:rPr>
          <w:rFonts w:ascii="Times New Roman" w:hAnsi="Times New Roman" w:cs="Times New Roman"/>
          <w:i/>
          <w:sz w:val="24"/>
          <w:szCs w:val="24"/>
        </w:rPr>
        <w:t>Fiscal Decentralization and Economic Growth in Central and Eastern Europ</w:t>
      </w:r>
      <w:r w:rsidRPr="00C91B0A">
        <w:rPr>
          <w:rFonts w:ascii="Times New Roman" w:hAnsi="Times New Roman" w:cs="Times New Roman"/>
          <w:sz w:val="24"/>
          <w:szCs w:val="24"/>
        </w:rPr>
        <w:t>e.</w:t>
      </w:r>
      <w:proofErr w:type="gramEnd"/>
      <w:r w:rsidRPr="00C91B0A">
        <w:rPr>
          <w:rFonts w:ascii="Times New Roman" w:hAnsi="Times New Roman" w:cs="Times New Roman"/>
          <w:sz w:val="24"/>
          <w:szCs w:val="24"/>
        </w:rPr>
        <w:t xml:space="preserve"> </w:t>
      </w:r>
      <w:proofErr w:type="spellStart"/>
      <w:r w:rsidRPr="00C91B0A">
        <w:rPr>
          <w:rFonts w:ascii="Times New Roman" w:hAnsi="Times New Roman" w:cs="Times New Roman"/>
          <w:sz w:val="24"/>
          <w:szCs w:val="24"/>
          <w:lang w:val="pt-BR"/>
        </w:rPr>
        <w:t>Working</w:t>
      </w:r>
      <w:proofErr w:type="spellEnd"/>
      <w:r w:rsidRPr="00C91B0A">
        <w:rPr>
          <w:rFonts w:ascii="Times New Roman" w:hAnsi="Times New Roman" w:cs="Times New Roman"/>
          <w:sz w:val="24"/>
          <w:szCs w:val="24"/>
          <w:lang w:val="pt-BR"/>
        </w:rPr>
        <w:t xml:space="preserve"> </w:t>
      </w:r>
      <w:proofErr w:type="spellStart"/>
      <w:r w:rsidRPr="00C91B0A">
        <w:rPr>
          <w:rFonts w:ascii="Times New Roman" w:hAnsi="Times New Roman" w:cs="Times New Roman"/>
          <w:sz w:val="24"/>
          <w:szCs w:val="24"/>
          <w:lang w:val="pt-BR"/>
        </w:rPr>
        <w:t>Paper</w:t>
      </w:r>
      <w:proofErr w:type="spellEnd"/>
      <w:r w:rsidRPr="00C91B0A">
        <w:rPr>
          <w:rFonts w:ascii="Times New Roman" w:hAnsi="Times New Roman" w:cs="Times New Roman"/>
          <w:sz w:val="24"/>
          <w:szCs w:val="24"/>
          <w:lang w:val="pt-BR"/>
        </w:rPr>
        <w:t>, 2009.</w:t>
      </w:r>
    </w:p>
    <w:p w14:paraId="547BFE33" w14:textId="77777777" w:rsidR="00220C9E" w:rsidRPr="00C91B0A" w:rsidRDefault="00220C9E" w:rsidP="00894560">
      <w:pPr>
        <w:spacing w:line="240" w:lineRule="auto"/>
        <w:ind w:firstLine="0"/>
        <w:jc w:val="left"/>
        <w:rPr>
          <w:rFonts w:ascii="Times New Roman" w:hAnsi="Times New Roman" w:cs="Times New Roman"/>
          <w:sz w:val="24"/>
          <w:szCs w:val="24"/>
          <w:lang w:val="pt-BR"/>
        </w:rPr>
      </w:pPr>
    </w:p>
    <w:p w14:paraId="557963A7" w14:textId="77777777" w:rsidR="00C91B0A" w:rsidRPr="00C91B0A" w:rsidRDefault="00C91B0A" w:rsidP="00894560">
      <w:pPr>
        <w:spacing w:line="240" w:lineRule="auto"/>
        <w:ind w:firstLine="0"/>
        <w:jc w:val="left"/>
        <w:rPr>
          <w:rFonts w:ascii="Times New Roman" w:hAnsi="Times New Roman" w:cs="Times New Roman"/>
          <w:sz w:val="24"/>
          <w:szCs w:val="24"/>
        </w:rPr>
      </w:pPr>
      <w:bookmarkStart w:id="14" w:name="_GoBack"/>
      <w:bookmarkEnd w:id="14"/>
      <w:r w:rsidRPr="00C91B0A">
        <w:rPr>
          <w:rFonts w:ascii="Times New Roman" w:hAnsi="Times New Roman" w:cs="Times New Roman"/>
          <w:sz w:val="24"/>
          <w:szCs w:val="24"/>
          <w:lang w:val="pt-BR"/>
        </w:rPr>
        <w:t xml:space="preserve">SANTOS, M. </w:t>
      </w:r>
      <w:r w:rsidRPr="00C91B0A">
        <w:rPr>
          <w:rFonts w:ascii="Times New Roman" w:hAnsi="Times New Roman" w:cs="Times New Roman"/>
          <w:i/>
          <w:sz w:val="24"/>
          <w:szCs w:val="24"/>
          <w:lang w:val="pt-BR"/>
        </w:rPr>
        <w:t>Pobreza Urbana</w:t>
      </w:r>
      <w:r w:rsidRPr="00C91B0A">
        <w:rPr>
          <w:rFonts w:ascii="Times New Roman" w:hAnsi="Times New Roman" w:cs="Times New Roman"/>
          <w:sz w:val="24"/>
          <w:szCs w:val="24"/>
          <w:lang w:val="pt-BR"/>
        </w:rPr>
        <w:t xml:space="preserve">. Editora Universidade de São Paulo – São Paulo. </w:t>
      </w:r>
      <w:proofErr w:type="gramStart"/>
      <w:r w:rsidRPr="00C91B0A">
        <w:rPr>
          <w:rFonts w:ascii="Times New Roman" w:hAnsi="Times New Roman" w:cs="Times New Roman"/>
          <w:sz w:val="24"/>
          <w:szCs w:val="24"/>
        </w:rPr>
        <w:t>3ª ed.; 2009.</w:t>
      </w:r>
      <w:proofErr w:type="gramEnd"/>
      <w:r w:rsidRPr="00C91B0A">
        <w:rPr>
          <w:rFonts w:ascii="Times New Roman" w:hAnsi="Times New Roman" w:cs="Times New Roman"/>
          <w:sz w:val="24"/>
          <w:szCs w:val="24"/>
        </w:rPr>
        <w:t xml:space="preserve">  </w:t>
      </w:r>
    </w:p>
    <w:p w14:paraId="30AD6F33" w14:textId="77777777" w:rsidR="00C91B0A" w:rsidRPr="00C91B0A" w:rsidRDefault="00C91B0A" w:rsidP="00894560">
      <w:pPr>
        <w:spacing w:line="240" w:lineRule="auto"/>
        <w:ind w:firstLine="0"/>
        <w:jc w:val="left"/>
        <w:rPr>
          <w:rFonts w:ascii="Times New Roman" w:hAnsi="Times New Roman" w:cs="Times New Roman"/>
          <w:sz w:val="24"/>
          <w:szCs w:val="24"/>
        </w:rPr>
      </w:pPr>
      <w:proofErr w:type="gramStart"/>
      <w:r w:rsidRPr="00C91B0A">
        <w:rPr>
          <w:rFonts w:ascii="Times New Roman" w:hAnsi="Times New Roman" w:cs="Times New Roman"/>
          <w:sz w:val="24"/>
          <w:szCs w:val="24"/>
        </w:rPr>
        <w:t xml:space="preserve">SC Ray, E </w:t>
      </w:r>
      <w:proofErr w:type="spellStart"/>
      <w:r w:rsidRPr="00C91B0A">
        <w:rPr>
          <w:rFonts w:ascii="Times New Roman" w:hAnsi="Times New Roman" w:cs="Times New Roman"/>
          <w:sz w:val="24"/>
          <w:szCs w:val="24"/>
        </w:rPr>
        <w:t>Desli</w:t>
      </w:r>
      <w:proofErr w:type="spellEnd"/>
      <w:r w:rsidRPr="00C91B0A">
        <w:rPr>
          <w:rFonts w:ascii="Times New Roman" w:hAnsi="Times New Roman" w:cs="Times New Roman"/>
          <w:sz w:val="24"/>
          <w:szCs w:val="24"/>
        </w:rPr>
        <w:t>.</w:t>
      </w:r>
      <w:proofErr w:type="gramEnd"/>
      <w:r w:rsidRPr="00C91B0A">
        <w:rPr>
          <w:rFonts w:ascii="Times New Roman" w:hAnsi="Times New Roman" w:cs="Times New Roman"/>
          <w:sz w:val="24"/>
          <w:szCs w:val="24"/>
        </w:rPr>
        <w:t xml:space="preserve"> </w:t>
      </w:r>
      <w:r w:rsidRPr="00C91B0A">
        <w:rPr>
          <w:rFonts w:ascii="Times New Roman" w:hAnsi="Times New Roman" w:cs="Times New Roman"/>
          <w:i/>
          <w:sz w:val="24"/>
          <w:szCs w:val="24"/>
        </w:rPr>
        <w:t>Productivity growth, technical progress, and efficiency change in industrialized countries: comment.</w:t>
      </w:r>
      <w:r w:rsidRPr="00C91B0A">
        <w:rPr>
          <w:rFonts w:ascii="Times New Roman" w:hAnsi="Times New Roman" w:cs="Times New Roman"/>
          <w:sz w:val="24"/>
          <w:szCs w:val="24"/>
        </w:rPr>
        <w:t xml:space="preserve"> </w:t>
      </w:r>
      <w:proofErr w:type="gramStart"/>
      <w:r w:rsidRPr="00C91B0A">
        <w:rPr>
          <w:rFonts w:ascii="Times New Roman" w:hAnsi="Times New Roman" w:cs="Times New Roman"/>
          <w:sz w:val="24"/>
          <w:szCs w:val="24"/>
        </w:rPr>
        <w:t>The American economic review, 1997 – JSTOR.</w:t>
      </w:r>
      <w:proofErr w:type="gramEnd"/>
    </w:p>
    <w:p w14:paraId="4D628F8F" w14:textId="77777777" w:rsidR="00415219" w:rsidRDefault="00415219" w:rsidP="00894560">
      <w:pPr>
        <w:spacing w:line="240" w:lineRule="auto"/>
        <w:ind w:firstLine="0"/>
        <w:jc w:val="left"/>
        <w:rPr>
          <w:rFonts w:ascii="Times New Roman" w:hAnsi="Times New Roman" w:cs="Times New Roman"/>
          <w:sz w:val="24"/>
          <w:szCs w:val="24"/>
        </w:rPr>
      </w:pPr>
    </w:p>
    <w:p w14:paraId="0D54D7DF" w14:textId="77777777" w:rsidR="00C91B0A" w:rsidRPr="00C91B0A" w:rsidRDefault="00C91B0A" w:rsidP="00894560">
      <w:pPr>
        <w:spacing w:line="240" w:lineRule="auto"/>
        <w:ind w:firstLine="0"/>
        <w:jc w:val="left"/>
        <w:rPr>
          <w:rFonts w:ascii="Times New Roman" w:hAnsi="Times New Roman" w:cs="Times New Roman"/>
          <w:sz w:val="24"/>
          <w:szCs w:val="24"/>
        </w:rPr>
      </w:pPr>
      <w:r w:rsidRPr="00C91B0A">
        <w:rPr>
          <w:rFonts w:ascii="Times New Roman" w:hAnsi="Times New Roman" w:cs="Times New Roman"/>
          <w:sz w:val="24"/>
          <w:szCs w:val="24"/>
        </w:rPr>
        <w:t>S. BRUSCO., M. PEZZINI. Small-scale enterprise in the ideology of the Italian left, in in PYKE, F., BECATTINI, G. and SENGENBERGER, W. (Eds.) Industrial Districts and Inter-firm, 1992.</w:t>
      </w:r>
    </w:p>
    <w:p w14:paraId="0BDA7895" w14:textId="77777777" w:rsidR="006C1CE0" w:rsidRDefault="006C1CE0" w:rsidP="00894560">
      <w:pPr>
        <w:spacing w:line="240" w:lineRule="auto"/>
        <w:ind w:firstLine="0"/>
        <w:jc w:val="left"/>
        <w:rPr>
          <w:rFonts w:ascii="Times New Roman" w:hAnsi="Times New Roman" w:cs="Times New Roman"/>
          <w:sz w:val="22"/>
          <w:szCs w:val="22"/>
        </w:rPr>
      </w:pPr>
    </w:p>
    <w:sectPr w:rsidR="006C1CE0" w:rsidSect="000E18FB">
      <w:pgSz w:w="11906" w:h="16838"/>
      <w:pgMar w:top="1701" w:right="1134" w:bottom="1134" w:left="1701" w:header="720" w:footer="720" w:gutter="0"/>
      <w:pgNumType w:start="1"/>
      <w:cols w:space="720"/>
    </w:sectPr>
  </w:body>
</w:document>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88" w15:done="0"/>
  <w15:commentEx w15:paraId="0000008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EE42B0" w14:textId="77777777" w:rsidR="00C73B58" w:rsidRDefault="00C73B58" w:rsidP="00B23276">
      <w:pPr>
        <w:spacing w:line="240" w:lineRule="auto"/>
      </w:pPr>
      <w:r>
        <w:separator/>
      </w:r>
    </w:p>
  </w:endnote>
  <w:endnote w:type="continuationSeparator" w:id="0">
    <w:p w14:paraId="0EA464E8" w14:textId="77777777" w:rsidR="00C73B58" w:rsidRDefault="00C73B58" w:rsidP="00B232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0B1CB7" w14:textId="77777777" w:rsidR="00C73B58" w:rsidRDefault="00C73B58" w:rsidP="00B23276">
      <w:pPr>
        <w:spacing w:line="240" w:lineRule="auto"/>
      </w:pPr>
      <w:r>
        <w:separator/>
      </w:r>
    </w:p>
  </w:footnote>
  <w:footnote w:type="continuationSeparator" w:id="0">
    <w:p w14:paraId="3DA5D866" w14:textId="77777777" w:rsidR="00C73B58" w:rsidRDefault="00C73B58" w:rsidP="00B23276">
      <w:pPr>
        <w:spacing w:line="240" w:lineRule="auto"/>
      </w:pPr>
      <w:r>
        <w:continuationSeparator/>
      </w:r>
    </w:p>
  </w:footnote>
  <w:footnote w:id="1">
    <w:p w14:paraId="0EB2157B" w14:textId="77777777" w:rsidR="00DC65DB" w:rsidRDefault="00DC65DB">
      <w:pPr>
        <w:pStyle w:val="Textodenotaderodap"/>
        <w:rPr>
          <w:lang w:val="pt-BR"/>
        </w:rPr>
      </w:pPr>
      <w:r>
        <w:rPr>
          <w:rStyle w:val="Refdenotaderodap"/>
        </w:rPr>
        <w:footnoteRef/>
      </w:r>
      <w:r w:rsidRPr="00DC65DB">
        <w:rPr>
          <w:lang w:val="pt-BR"/>
        </w:rPr>
        <w:t xml:space="preserve"> </w:t>
      </w:r>
      <w:r>
        <w:rPr>
          <w:lang w:val="pt-BR"/>
        </w:rPr>
        <w:t xml:space="preserve">Economista, professor da UENF </w:t>
      </w:r>
    </w:p>
    <w:p w14:paraId="296E08FC" w14:textId="60EED883" w:rsidR="00DC65DB" w:rsidRPr="00DC65DB" w:rsidRDefault="00DC65DB">
      <w:pPr>
        <w:pStyle w:val="Textodenotaderodap"/>
        <w:rPr>
          <w:lang w:val="pt-BR"/>
        </w:rPr>
      </w:pPr>
      <w:r>
        <w:rPr>
          <w:lang w:val="pt-BR"/>
        </w:rPr>
        <w:t>alcimar@uenf.bbr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12C33"/>
    <w:multiLevelType w:val="hybridMultilevel"/>
    <w:tmpl w:val="0116135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4216926"/>
    <w:multiLevelType w:val="hybridMultilevel"/>
    <w:tmpl w:val="2AF8D55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1E4A21D1"/>
    <w:multiLevelType w:val="hybridMultilevel"/>
    <w:tmpl w:val="E430BD80"/>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57108DF"/>
    <w:multiLevelType w:val="multilevel"/>
    <w:tmpl w:val="20BC409C"/>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nsid w:val="257C2F3A"/>
    <w:multiLevelType w:val="hybridMultilevel"/>
    <w:tmpl w:val="ADBE05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B7026D4"/>
    <w:multiLevelType w:val="hybridMultilevel"/>
    <w:tmpl w:val="ED1AAF7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33252F4"/>
    <w:multiLevelType w:val="multilevel"/>
    <w:tmpl w:val="ACDE677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35EA0BBA"/>
    <w:multiLevelType w:val="multilevel"/>
    <w:tmpl w:val="FBFA3262"/>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nsid w:val="5C6F6575"/>
    <w:multiLevelType w:val="multilevel"/>
    <w:tmpl w:val="5C6F657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6BB25D31"/>
    <w:multiLevelType w:val="hybridMultilevel"/>
    <w:tmpl w:val="AC4452FA"/>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6CE71725"/>
    <w:multiLevelType w:val="hybridMultilevel"/>
    <w:tmpl w:val="CE46F02C"/>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79E34B5E"/>
    <w:multiLevelType w:val="hybridMultilevel"/>
    <w:tmpl w:val="126AC03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7F6D430A"/>
    <w:multiLevelType w:val="multilevel"/>
    <w:tmpl w:val="267835A4"/>
    <w:lvl w:ilvl="0">
      <w:start w:val="1"/>
      <w:numFmt w:val="lowerRoman"/>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7"/>
  </w:num>
  <w:num w:numId="2">
    <w:abstractNumId w:val="6"/>
  </w:num>
  <w:num w:numId="3">
    <w:abstractNumId w:val="3"/>
  </w:num>
  <w:num w:numId="4">
    <w:abstractNumId w:val="12"/>
  </w:num>
  <w:num w:numId="5">
    <w:abstractNumId w:val="11"/>
  </w:num>
  <w:num w:numId="6">
    <w:abstractNumId w:val="1"/>
  </w:num>
  <w:num w:numId="7">
    <w:abstractNumId w:val="4"/>
  </w:num>
  <w:num w:numId="8">
    <w:abstractNumId w:val="5"/>
  </w:num>
  <w:num w:numId="9">
    <w:abstractNumId w:val="0"/>
  </w:num>
  <w:num w:numId="10">
    <w:abstractNumId w:val="9"/>
  </w:num>
  <w:num w:numId="11">
    <w:abstractNumId w:val="2"/>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D413E8"/>
    <w:rsid w:val="00001E6D"/>
    <w:rsid w:val="0000647F"/>
    <w:rsid w:val="0003117D"/>
    <w:rsid w:val="00042ED6"/>
    <w:rsid w:val="000501D5"/>
    <w:rsid w:val="00050632"/>
    <w:rsid w:val="00053D38"/>
    <w:rsid w:val="00054D05"/>
    <w:rsid w:val="000606D4"/>
    <w:rsid w:val="000B374C"/>
    <w:rsid w:val="000C0E50"/>
    <w:rsid w:val="000D5558"/>
    <w:rsid w:val="000D6F20"/>
    <w:rsid w:val="000D79ED"/>
    <w:rsid w:val="000E18FB"/>
    <w:rsid w:val="000E1C69"/>
    <w:rsid w:val="000F0E33"/>
    <w:rsid w:val="000F1023"/>
    <w:rsid w:val="000F4542"/>
    <w:rsid w:val="000F69F8"/>
    <w:rsid w:val="000F775E"/>
    <w:rsid w:val="001017C0"/>
    <w:rsid w:val="00121DEF"/>
    <w:rsid w:val="001332EA"/>
    <w:rsid w:val="0014563A"/>
    <w:rsid w:val="001555E5"/>
    <w:rsid w:val="00157AD4"/>
    <w:rsid w:val="00166044"/>
    <w:rsid w:val="0017387E"/>
    <w:rsid w:val="00174E51"/>
    <w:rsid w:val="00192376"/>
    <w:rsid w:val="00192476"/>
    <w:rsid w:val="001A6513"/>
    <w:rsid w:val="001A6B79"/>
    <w:rsid w:val="001B0BDA"/>
    <w:rsid w:val="001B0F69"/>
    <w:rsid w:val="001C2834"/>
    <w:rsid w:val="001C4CA6"/>
    <w:rsid w:val="001C59E3"/>
    <w:rsid w:val="001C6E3D"/>
    <w:rsid w:val="001D6E19"/>
    <w:rsid w:val="001E356E"/>
    <w:rsid w:val="001E7A9C"/>
    <w:rsid w:val="001F12F4"/>
    <w:rsid w:val="00212697"/>
    <w:rsid w:val="00216FA2"/>
    <w:rsid w:val="00220C9E"/>
    <w:rsid w:val="0022101F"/>
    <w:rsid w:val="00224123"/>
    <w:rsid w:val="0023194E"/>
    <w:rsid w:val="00250846"/>
    <w:rsid w:val="002562EA"/>
    <w:rsid w:val="00257B36"/>
    <w:rsid w:val="00263144"/>
    <w:rsid w:val="002811D7"/>
    <w:rsid w:val="002874A6"/>
    <w:rsid w:val="00293B75"/>
    <w:rsid w:val="002A02E1"/>
    <w:rsid w:val="002A40EE"/>
    <w:rsid w:val="002B29E9"/>
    <w:rsid w:val="002B4E97"/>
    <w:rsid w:val="002B6915"/>
    <w:rsid w:val="002C4D3B"/>
    <w:rsid w:val="002D273A"/>
    <w:rsid w:val="002D3F6E"/>
    <w:rsid w:val="002F7482"/>
    <w:rsid w:val="00300653"/>
    <w:rsid w:val="00301BE5"/>
    <w:rsid w:val="00311A2C"/>
    <w:rsid w:val="003320A6"/>
    <w:rsid w:val="00336141"/>
    <w:rsid w:val="00337B54"/>
    <w:rsid w:val="003479FE"/>
    <w:rsid w:val="00353105"/>
    <w:rsid w:val="0035427A"/>
    <w:rsid w:val="00370BB9"/>
    <w:rsid w:val="00381392"/>
    <w:rsid w:val="00383A72"/>
    <w:rsid w:val="0038621F"/>
    <w:rsid w:val="00387E86"/>
    <w:rsid w:val="00390E34"/>
    <w:rsid w:val="0039409A"/>
    <w:rsid w:val="00395E6E"/>
    <w:rsid w:val="003A10B9"/>
    <w:rsid w:val="003B6C18"/>
    <w:rsid w:val="003C19C5"/>
    <w:rsid w:val="003C3013"/>
    <w:rsid w:val="003C5D6B"/>
    <w:rsid w:val="003C7119"/>
    <w:rsid w:val="003C7C9F"/>
    <w:rsid w:val="003C7E98"/>
    <w:rsid w:val="003D135C"/>
    <w:rsid w:val="003D246D"/>
    <w:rsid w:val="003D553F"/>
    <w:rsid w:val="003D5F14"/>
    <w:rsid w:val="003E7687"/>
    <w:rsid w:val="003F50F2"/>
    <w:rsid w:val="003F6C95"/>
    <w:rsid w:val="00415032"/>
    <w:rsid w:val="00415219"/>
    <w:rsid w:val="00415725"/>
    <w:rsid w:val="004349A9"/>
    <w:rsid w:val="004362F1"/>
    <w:rsid w:val="00442107"/>
    <w:rsid w:val="00445DD0"/>
    <w:rsid w:val="004549B0"/>
    <w:rsid w:val="00457274"/>
    <w:rsid w:val="004574DD"/>
    <w:rsid w:val="00460152"/>
    <w:rsid w:val="00465A65"/>
    <w:rsid w:val="00475AFA"/>
    <w:rsid w:val="00477763"/>
    <w:rsid w:val="00484023"/>
    <w:rsid w:val="00485956"/>
    <w:rsid w:val="00497F1E"/>
    <w:rsid w:val="004A71ED"/>
    <w:rsid w:val="004B36A2"/>
    <w:rsid w:val="004C6A22"/>
    <w:rsid w:val="004D33F3"/>
    <w:rsid w:val="004E2920"/>
    <w:rsid w:val="004E3FF2"/>
    <w:rsid w:val="004E6E39"/>
    <w:rsid w:val="004F112B"/>
    <w:rsid w:val="004F3639"/>
    <w:rsid w:val="00504738"/>
    <w:rsid w:val="00511DB3"/>
    <w:rsid w:val="00524517"/>
    <w:rsid w:val="0054100D"/>
    <w:rsid w:val="005573BB"/>
    <w:rsid w:val="005723D2"/>
    <w:rsid w:val="00576685"/>
    <w:rsid w:val="00581626"/>
    <w:rsid w:val="0059053D"/>
    <w:rsid w:val="005951F3"/>
    <w:rsid w:val="005B10BB"/>
    <w:rsid w:val="005B65DE"/>
    <w:rsid w:val="005B6BEE"/>
    <w:rsid w:val="005B6FC4"/>
    <w:rsid w:val="005C0057"/>
    <w:rsid w:val="005C1755"/>
    <w:rsid w:val="005E16F3"/>
    <w:rsid w:val="005E46DC"/>
    <w:rsid w:val="006157E6"/>
    <w:rsid w:val="00616504"/>
    <w:rsid w:val="00616A2B"/>
    <w:rsid w:val="00621707"/>
    <w:rsid w:val="00623DAA"/>
    <w:rsid w:val="006252A4"/>
    <w:rsid w:val="00631D40"/>
    <w:rsid w:val="00632424"/>
    <w:rsid w:val="00634906"/>
    <w:rsid w:val="00636064"/>
    <w:rsid w:val="0064344A"/>
    <w:rsid w:val="00643FB1"/>
    <w:rsid w:val="00650E9E"/>
    <w:rsid w:val="006547B3"/>
    <w:rsid w:val="00661168"/>
    <w:rsid w:val="00676117"/>
    <w:rsid w:val="006763C8"/>
    <w:rsid w:val="006771F7"/>
    <w:rsid w:val="00687794"/>
    <w:rsid w:val="00690D67"/>
    <w:rsid w:val="00692294"/>
    <w:rsid w:val="00694C20"/>
    <w:rsid w:val="0069621A"/>
    <w:rsid w:val="006A7BFB"/>
    <w:rsid w:val="006C04CB"/>
    <w:rsid w:val="006C1CE0"/>
    <w:rsid w:val="006C2CCE"/>
    <w:rsid w:val="006C5B09"/>
    <w:rsid w:val="006D2843"/>
    <w:rsid w:val="006D3FBF"/>
    <w:rsid w:val="006E42B2"/>
    <w:rsid w:val="006E7F3B"/>
    <w:rsid w:val="006F4393"/>
    <w:rsid w:val="006F4CC1"/>
    <w:rsid w:val="007021FC"/>
    <w:rsid w:val="00706DFA"/>
    <w:rsid w:val="007072B1"/>
    <w:rsid w:val="0072138E"/>
    <w:rsid w:val="007255F7"/>
    <w:rsid w:val="00731A3F"/>
    <w:rsid w:val="0073720D"/>
    <w:rsid w:val="0075057B"/>
    <w:rsid w:val="0075510B"/>
    <w:rsid w:val="00760876"/>
    <w:rsid w:val="00786B3A"/>
    <w:rsid w:val="0079380A"/>
    <w:rsid w:val="00795015"/>
    <w:rsid w:val="007A7291"/>
    <w:rsid w:val="007B346E"/>
    <w:rsid w:val="007B58BD"/>
    <w:rsid w:val="007C1BA6"/>
    <w:rsid w:val="007D3F22"/>
    <w:rsid w:val="007E614F"/>
    <w:rsid w:val="007E63FC"/>
    <w:rsid w:val="007E7239"/>
    <w:rsid w:val="0080159B"/>
    <w:rsid w:val="008050CA"/>
    <w:rsid w:val="00805512"/>
    <w:rsid w:val="00807E34"/>
    <w:rsid w:val="00810208"/>
    <w:rsid w:val="00810F53"/>
    <w:rsid w:val="00815C2D"/>
    <w:rsid w:val="0082581A"/>
    <w:rsid w:val="00842711"/>
    <w:rsid w:val="00844193"/>
    <w:rsid w:val="008452CC"/>
    <w:rsid w:val="008457B5"/>
    <w:rsid w:val="00850E92"/>
    <w:rsid w:val="008721FE"/>
    <w:rsid w:val="00874C16"/>
    <w:rsid w:val="00875CAD"/>
    <w:rsid w:val="008777C2"/>
    <w:rsid w:val="00881133"/>
    <w:rsid w:val="008869A8"/>
    <w:rsid w:val="00886FC0"/>
    <w:rsid w:val="00894560"/>
    <w:rsid w:val="008976F5"/>
    <w:rsid w:val="008D51B1"/>
    <w:rsid w:val="008E050B"/>
    <w:rsid w:val="008F1427"/>
    <w:rsid w:val="008F3C72"/>
    <w:rsid w:val="008F5DDE"/>
    <w:rsid w:val="00901988"/>
    <w:rsid w:val="00905372"/>
    <w:rsid w:val="009168A7"/>
    <w:rsid w:val="00950967"/>
    <w:rsid w:val="009521C0"/>
    <w:rsid w:val="00960732"/>
    <w:rsid w:val="00960EF0"/>
    <w:rsid w:val="0096145E"/>
    <w:rsid w:val="009660F0"/>
    <w:rsid w:val="009712BE"/>
    <w:rsid w:val="009801D6"/>
    <w:rsid w:val="00981ABA"/>
    <w:rsid w:val="0098339B"/>
    <w:rsid w:val="00987733"/>
    <w:rsid w:val="00994136"/>
    <w:rsid w:val="009956E2"/>
    <w:rsid w:val="009A38DB"/>
    <w:rsid w:val="009A47F7"/>
    <w:rsid w:val="009B1976"/>
    <w:rsid w:val="009C3744"/>
    <w:rsid w:val="009D0E06"/>
    <w:rsid w:val="009D1B32"/>
    <w:rsid w:val="009E4281"/>
    <w:rsid w:val="009F2E03"/>
    <w:rsid w:val="009F3CA4"/>
    <w:rsid w:val="009F5D8C"/>
    <w:rsid w:val="00A06650"/>
    <w:rsid w:val="00A1255B"/>
    <w:rsid w:val="00A221BF"/>
    <w:rsid w:val="00A5663A"/>
    <w:rsid w:val="00A707CF"/>
    <w:rsid w:val="00A73BA5"/>
    <w:rsid w:val="00A84011"/>
    <w:rsid w:val="00A90A0F"/>
    <w:rsid w:val="00A940B9"/>
    <w:rsid w:val="00AA23B2"/>
    <w:rsid w:val="00AB263C"/>
    <w:rsid w:val="00AB2C0F"/>
    <w:rsid w:val="00AC51DA"/>
    <w:rsid w:val="00AD4BE5"/>
    <w:rsid w:val="00AE5023"/>
    <w:rsid w:val="00AF48FB"/>
    <w:rsid w:val="00B07F23"/>
    <w:rsid w:val="00B142BD"/>
    <w:rsid w:val="00B16B78"/>
    <w:rsid w:val="00B17FD8"/>
    <w:rsid w:val="00B23276"/>
    <w:rsid w:val="00B2374D"/>
    <w:rsid w:val="00B23C2B"/>
    <w:rsid w:val="00B3473A"/>
    <w:rsid w:val="00B419DE"/>
    <w:rsid w:val="00B44FD8"/>
    <w:rsid w:val="00B50D98"/>
    <w:rsid w:val="00B57CBD"/>
    <w:rsid w:val="00B67120"/>
    <w:rsid w:val="00B7255D"/>
    <w:rsid w:val="00B74870"/>
    <w:rsid w:val="00B905EA"/>
    <w:rsid w:val="00B91971"/>
    <w:rsid w:val="00B94AD2"/>
    <w:rsid w:val="00B960BE"/>
    <w:rsid w:val="00BA1D00"/>
    <w:rsid w:val="00BC6137"/>
    <w:rsid w:val="00BC622D"/>
    <w:rsid w:val="00BC7BD5"/>
    <w:rsid w:val="00BE2153"/>
    <w:rsid w:val="00BE2A3B"/>
    <w:rsid w:val="00BE3EE5"/>
    <w:rsid w:val="00BE6AA9"/>
    <w:rsid w:val="00BF0A85"/>
    <w:rsid w:val="00BF42C9"/>
    <w:rsid w:val="00C109E0"/>
    <w:rsid w:val="00C24D7C"/>
    <w:rsid w:val="00C3199C"/>
    <w:rsid w:val="00C34754"/>
    <w:rsid w:val="00C349D7"/>
    <w:rsid w:val="00C35BAA"/>
    <w:rsid w:val="00C4417E"/>
    <w:rsid w:val="00C53A58"/>
    <w:rsid w:val="00C53E00"/>
    <w:rsid w:val="00C65554"/>
    <w:rsid w:val="00C66FE0"/>
    <w:rsid w:val="00C73B58"/>
    <w:rsid w:val="00C822E2"/>
    <w:rsid w:val="00C91B0A"/>
    <w:rsid w:val="00C94AB9"/>
    <w:rsid w:val="00C95716"/>
    <w:rsid w:val="00C9652B"/>
    <w:rsid w:val="00CB0C4D"/>
    <w:rsid w:val="00CC42F5"/>
    <w:rsid w:val="00CC52CF"/>
    <w:rsid w:val="00CC6CA4"/>
    <w:rsid w:val="00CD3691"/>
    <w:rsid w:val="00CD5652"/>
    <w:rsid w:val="00CF4318"/>
    <w:rsid w:val="00D02B4D"/>
    <w:rsid w:val="00D03197"/>
    <w:rsid w:val="00D03E63"/>
    <w:rsid w:val="00D04260"/>
    <w:rsid w:val="00D043A8"/>
    <w:rsid w:val="00D07372"/>
    <w:rsid w:val="00D2495C"/>
    <w:rsid w:val="00D2538D"/>
    <w:rsid w:val="00D26A0E"/>
    <w:rsid w:val="00D32FBE"/>
    <w:rsid w:val="00D413E8"/>
    <w:rsid w:val="00D573E3"/>
    <w:rsid w:val="00D62DA2"/>
    <w:rsid w:val="00D65416"/>
    <w:rsid w:val="00D767FE"/>
    <w:rsid w:val="00D92C50"/>
    <w:rsid w:val="00D954E1"/>
    <w:rsid w:val="00DA1C47"/>
    <w:rsid w:val="00DA3B0A"/>
    <w:rsid w:val="00DC65DB"/>
    <w:rsid w:val="00DD0B7C"/>
    <w:rsid w:val="00DD2303"/>
    <w:rsid w:val="00DE6DFF"/>
    <w:rsid w:val="00DE73A3"/>
    <w:rsid w:val="00DF3770"/>
    <w:rsid w:val="00DF62A8"/>
    <w:rsid w:val="00E01896"/>
    <w:rsid w:val="00E07DA6"/>
    <w:rsid w:val="00E1005C"/>
    <w:rsid w:val="00E153E3"/>
    <w:rsid w:val="00E23664"/>
    <w:rsid w:val="00E4013B"/>
    <w:rsid w:val="00E4203F"/>
    <w:rsid w:val="00E46E7B"/>
    <w:rsid w:val="00E61262"/>
    <w:rsid w:val="00E6369E"/>
    <w:rsid w:val="00E7592F"/>
    <w:rsid w:val="00E820FE"/>
    <w:rsid w:val="00E96580"/>
    <w:rsid w:val="00EA48E3"/>
    <w:rsid w:val="00EB21B9"/>
    <w:rsid w:val="00EC602C"/>
    <w:rsid w:val="00EC7263"/>
    <w:rsid w:val="00EF3F22"/>
    <w:rsid w:val="00F04960"/>
    <w:rsid w:val="00F05504"/>
    <w:rsid w:val="00F1065F"/>
    <w:rsid w:val="00F13A65"/>
    <w:rsid w:val="00F14B9D"/>
    <w:rsid w:val="00F54386"/>
    <w:rsid w:val="00F625DB"/>
    <w:rsid w:val="00F675BE"/>
    <w:rsid w:val="00F70C93"/>
    <w:rsid w:val="00F72F5A"/>
    <w:rsid w:val="00F855A9"/>
    <w:rsid w:val="00F86A3C"/>
    <w:rsid w:val="00F95B35"/>
    <w:rsid w:val="00FA0C04"/>
    <w:rsid w:val="00FA25B7"/>
    <w:rsid w:val="00FB59B7"/>
    <w:rsid w:val="00FC0CBC"/>
    <w:rsid w:val="00FC313B"/>
    <w:rsid w:val="00FC601B"/>
    <w:rsid w:val="00FD0762"/>
    <w:rsid w:val="00FD4746"/>
    <w:rsid w:val="00FE10CE"/>
    <w:rsid w:val="00FE6C32"/>
    <w:rsid w:val="00FF714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pt-BR" w:eastAsia="pt-BR" w:bidi="ar-SA"/>
      </w:rPr>
    </w:rPrDefault>
    <w:pPrDefault>
      <w:pPr>
        <w:spacing w:line="360" w:lineRule="auto"/>
        <w:ind w:firstLine="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EastAsia" w:hAnsiTheme="minorHAnsi" w:cstheme="minorBidi"/>
      <w:lang w:val="en-US" w:eastAsia="zh-CN"/>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TableNormal0">
    <w:name w:val="Table Normal"/>
    <w:qFormat/>
    <w:tblPr>
      <w:tblCellMar>
        <w:top w:w="0" w:type="dxa"/>
        <w:left w:w="0" w:type="dxa"/>
        <w:bottom w:w="0" w:type="dxa"/>
        <w:right w:w="0" w:type="dxa"/>
      </w:tblCellMar>
    </w:tblPr>
  </w:style>
  <w:style w:type="paragraph" w:styleId="PargrafodaLista">
    <w:name w:val="List Paragraph"/>
    <w:basedOn w:val="Normal"/>
    <w:uiPriority w:val="34"/>
    <w:qFormat/>
    <w:pPr>
      <w:ind w:left="720"/>
      <w:contextualSpacing/>
    </w:pPr>
  </w:style>
  <w:style w:type="paragraph" w:styleId="Textodecomentrio">
    <w:name w:val="annotation text"/>
    <w:basedOn w:val="Normal"/>
    <w:link w:val="TextodecomentrioChar"/>
    <w:uiPriority w:val="99"/>
    <w:semiHidden/>
    <w:unhideWhenUsed/>
  </w:style>
  <w:style w:type="character" w:customStyle="1" w:styleId="TextodecomentrioChar">
    <w:name w:val="Texto de comentário Char"/>
    <w:basedOn w:val="Fontepargpadro"/>
    <w:link w:val="Textodecomentrio"/>
    <w:uiPriority w:val="99"/>
    <w:semiHidden/>
    <w:rPr>
      <w:rFonts w:asciiTheme="minorHAnsi" w:eastAsiaTheme="minorEastAsia" w:hAnsiTheme="minorHAnsi" w:cstheme="minorBidi"/>
      <w:lang w:val="en-US" w:eastAsia="zh-CN"/>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311A2C"/>
    <w:rPr>
      <w:rFonts w:ascii="Tahoma" w:hAnsi="Tahoma" w:cs="Tahoma"/>
      <w:sz w:val="16"/>
      <w:szCs w:val="16"/>
    </w:rPr>
  </w:style>
  <w:style w:type="character" w:customStyle="1" w:styleId="TextodebaloChar">
    <w:name w:val="Texto de balão Char"/>
    <w:basedOn w:val="Fontepargpadro"/>
    <w:link w:val="Textodebalo"/>
    <w:uiPriority w:val="99"/>
    <w:semiHidden/>
    <w:rsid w:val="00311A2C"/>
    <w:rPr>
      <w:rFonts w:ascii="Tahoma" w:eastAsiaTheme="minorEastAsia" w:hAnsi="Tahoma" w:cs="Tahoma"/>
      <w:sz w:val="16"/>
      <w:szCs w:val="16"/>
      <w:lang w:val="en-US" w:eastAsia="zh-CN"/>
    </w:rPr>
  </w:style>
  <w:style w:type="paragraph" w:styleId="Legenda">
    <w:name w:val="caption"/>
    <w:basedOn w:val="Normal"/>
    <w:next w:val="Normal"/>
    <w:uiPriority w:val="35"/>
    <w:unhideWhenUsed/>
    <w:qFormat/>
    <w:rsid w:val="000E18FB"/>
    <w:pPr>
      <w:spacing w:after="200" w:line="240" w:lineRule="auto"/>
    </w:pPr>
    <w:rPr>
      <w:b/>
      <w:bCs/>
      <w:color w:val="5B9BD5" w:themeColor="accent1"/>
      <w:sz w:val="18"/>
      <w:szCs w:val="18"/>
    </w:rPr>
  </w:style>
  <w:style w:type="paragraph" w:styleId="Textodenotaderodap">
    <w:name w:val="footnote text"/>
    <w:basedOn w:val="Normal"/>
    <w:link w:val="TextodenotaderodapChar"/>
    <w:uiPriority w:val="99"/>
    <w:semiHidden/>
    <w:unhideWhenUsed/>
    <w:rsid w:val="00B23276"/>
    <w:pPr>
      <w:spacing w:line="240" w:lineRule="auto"/>
    </w:pPr>
  </w:style>
  <w:style w:type="character" w:customStyle="1" w:styleId="TextodenotaderodapChar">
    <w:name w:val="Texto de nota de rodapé Char"/>
    <w:basedOn w:val="Fontepargpadro"/>
    <w:link w:val="Textodenotaderodap"/>
    <w:uiPriority w:val="99"/>
    <w:semiHidden/>
    <w:rsid w:val="00B23276"/>
    <w:rPr>
      <w:rFonts w:asciiTheme="minorHAnsi" w:eastAsiaTheme="minorEastAsia" w:hAnsiTheme="minorHAnsi" w:cstheme="minorBidi"/>
      <w:lang w:val="en-US" w:eastAsia="zh-CN"/>
    </w:rPr>
  </w:style>
  <w:style w:type="character" w:styleId="Refdenotaderodap">
    <w:name w:val="footnote reference"/>
    <w:basedOn w:val="Fontepargpadro"/>
    <w:uiPriority w:val="99"/>
    <w:semiHidden/>
    <w:unhideWhenUsed/>
    <w:rsid w:val="00B23276"/>
    <w:rPr>
      <w:vertAlign w:val="superscript"/>
    </w:rPr>
  </w:style>
  <w:style w:type="paragraph" w:styleId="Cabealho">
    <w:name w:val="header"/>
    <w:basedOn w:val="Normal"/>
    <w:link w:val="CabealhoChar"/>
    <w:uiPriority w:val="99"/>
    <w:unhideWhenUsed/>
    <w:rsid w:val="00415219"/>
    <w:pPr>
      <w:tabs>
        <w:tab w:val="center" w:pos="4252"/>
        <w:tab w:val="right" w:pos="8504"/>
      </w:tabs>
      <w:spacing w:line="240" w:lineRule="auto"/>
    </w:pPr>
  </w:style>
  <w:style w:type="character" w:customStyle="1" w:styleId="CabealhoChar">
    <w:name w:val="Cabeçalho Char"/>
    <w:basedOn w:val="Fontepargpadro"/>
    <w:link w:val="Cabealho"/>
    <w:uiPriority w:val="99"/>
    <w:rsid w:val="00415219"/>
    <w:rPr>
      <w:rFonts w:asciiTheme="minorHAnsi" w:eastAsiaTheme="minorEastAsia" w:hAnsiTheme="minorHAnsi" w:cstheme="minorBidi"/>
      <w:lang w:val="en-US" w:eastAsia="zh-CN"/>
    </w:rPr>
  </w:style>
  <w:style w:type="paragraph" w:styleId="Rodap">
    <w:name w:val="footer"/>
    <w:basedOn w:val="Normal"/>
    <w:link w:val="RodapChar"/>
    <w:uiPriority w:val="99"/>
    <w:unhideWhenUsed/>
    <w:rsid w:val="00415219"/>
    <w:pPr>
      <w:tabs>
        <w:tab w:val="center" w:pos="4252"/>
        <w:tab w:val="right" w:pos="8504"/>
      </w:tabs>
      <w:spacing w:line="240" w:lineRule="auto"/>
    </w:pPr>
  </w:style>
  <w:style w:type="character" w:customStyle="1" w:styleId="RodapChar">
    <w:name w:val="Rodapé Char"/>
    <w:basedOn w:val="Fontepargpadro"/>
    <w:link w:val="Rodap"/>
    <w:uiPriority w:val="99"/>
    <w:rsid w:val="00415219"/>
    <w:rPr>
      <w:rFonts w:asciiTheme="minorHAnsi" w:eastAsiaTheme="minorEastAsia" w:hAnsiTheme="minorHAnsi" w:cstheme="minorBidi"/>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pt-BR" w:eastAsia="pt-BR" w:bidi="ar-SA"/>
      </w:rPr>
    </w:rPrDefault>
    <w:pPrDefault>
      <w:pPr>
        <w:spacing w:line="360" w:lineRule="auto"/>
        <w:ind w:firstLine="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EastAsia" w:hAnsiTheme="minorHAnsi" w:cstheme="minorBidi"/>
      <w:lang w:val="en-US" w:eastAsia="zh-CN"/>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TableNormal0">
    <w:name w:val="Table Normal"/>
    <w:qFormat/>
    <w:tblPr>
      <w:tblCellMar>
        <w:top w:w="0" w:type="dxa"/>
        <w:left w:w="0" w:type="dxa"/>
        <w:bottom w:w="0" w:type="dxa"/>
        <w:right w:w="0" w:type="dxa"/>
      </w:tblCellMar>
    </w:tblPr>
  </w:style>
  <w:style w:type="paragraph" w:styleId="PargrafodaLista">
    <w:name w:val="List Paragraph"/>
    <w:basedOn w:val="Normal"/>
    <w:uiPriority w:val="34"/>
    <w:qFormat/>
    <w:pPr>
      <w:ind w:left="720"/>
      <w:contextualSpacing/>
    </w:pPr>
  </w:style>
  <w:style w:type="paragraph" w:styleId="Textodecomentrio">
    <w:name w:val="annotation text"/>
    <w:basedOn w:val="Normal"/>
    <w:link w:val="TextodecomentrioChar"/>
    <w:uiPriority w:val="99"/>
    <w:semiHidden/>
    <w:unhideWhenUsed/>
  </w:style>
  <w:style w:type="character" w:customStyle="1" w:styleId="TextodecomentrioChar">
    <w:name w:val="Texto de comentário Char"/>
    <w:basedOn w:val="Fontepargpadro"/>
    <w:link w:val="Textodecomentrio"/>
    <w:uiPriority w:val="99"/>
    <w:semiHidden/>
    <w:rPr>
      <w:rFonts w:asciiTheme="minorHAnsi" w:eastAsiaTheme="minorEastAsia" w:hAnsiTheme="minorHAnsi" w:cstheme="minorBidi"/>
      <w:lang w:val="en-US" w:eastAsia="zh-CN"/>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311A2C"/>
    <w:rPr>
      <w:rFonts w:ascii="Tahoma" w:hAnsi="Tahoma" w:cs="Tahoma"/>
      <w:sz w:val="16"/>
      <w:szCs w:val="16"/>
    </w:rPr>
  </w:style>
  <w:style w:type="character" w:customStyle="1" w:styleId="TextodebaloChar">
    <w:name w:val="Texto de balão Char"/>
    <w:basedOn w:val="Fontepargpadro"/>
    <w:link w:val="Textodebalo"/>
    <w:uiPriority w:val="99"/>
    <w:semiHidden/>
    <w:rsid w:val="00311A2C"/>
    <w:rPr>
      <w:rFonts w:ascii="Tahoma" w:eastAsiaTheme="minorEastAsia" w:hAnsi="Tahoma" w:cs="Tahoma"/>
      <w:sz w:val="16"/>
      <w:szCs w:val="16"/>
      <w:lang w:val="en-US" w:eastAsia="zh-CN"/>
    </w:rPr>
  </w:style>
  <w:style w:type="paragraph" w:styleId="Legenda">
    <w:name w:val="caption"/>
    <w:basedOn w:val="Normal"/>
    <w:next w:val="Normal"/>
    <w:uiPriority w:val="35"/>
    <w:unhideWhenUsed/>
    <w:qFormat/>
    <w:rsid w:val="000E18FB"/>
    <w:pPr>
      <w:spacing w:after="200" w:line="240" w:lineRule="auto"/>
    </w:pPr>
    <w:rPr>
      <w:b/>
      <w:bCs/>
      <w:color w:val="5B9BD5" w:themeColor="accent1"/>
      <w:sz w:val="18"/>
      <w:szCs w:val="18"/>
    </w:rPr>
  </w:style>
  <w:style w:type="paragraph" w:styleId="Textodenotaderodap">
    <w:name w:val="footnote text"/>
    <w:basedOn w:val="Normal"/>
    <w:link w:val="TextodenotaderodapChar"/>
    <w:uiPriority w:val="99"/>
    <w:semiHidden/>
    <w:unhideWhenUsed/>
    <w:rsid w:val="00B23276"/>
    <w:pPr>
      <w:spacing w:line="240" w:lineRule="auto"/>
    </w:pPr>
  </w:style>
  <w:style w:type="character" w:customStyle="1" w:styleId="TextodenotaderodapChar">
    <w:name w:val="Texto de nota de rodapé Char"/>
    <w:basedOn w:val="Fontepargpadro"/>
    <w:link w:val="Textodenotaderodap"/>
    <w:uiPriority w:val="99"/>
    <w:semiHidden/>
    <w:rsid w:val="00B23276"/>
    <w:rPr>
      <w:rFonts w:asciiTheme="minorHAnsi" w:eastAsiaTheme="minorEastAsia" w:hAnsiTheme="minorHAnsi" w:cstheme="minorBidi"/>
      <w:lang w:val="en-US" w:eastAsia="zh-CN"/>
    </w:rPr>
  </w:style>
  <w:style w:type="character" w:styleId="Refdenotaderodap">
    <w:name w:val="footnote reference"/>
    <w:basedOn w:val="Fontepargpadro"/>
    <w:uiPriority w:val="99"/>
    <w:semiHidden/>
    <w:unhideWhenUsed/>
    <w:rsid w:val="00B23276"/>
    <w:rPr>
      <w:vertAlign w:val="superscript"/>
    </w:rPr>
  </w:style>
  <w:style w:type="paragraph" w:styleId="Cabealho">
    <w:name w:val="header"/>
    <w:basedOn w:val="Normal"/>
    <w:link w:val="CabealhoChar"/>
    <w:uiPriority w:val="99"/>
    <w:unhideWhenUsed/>
    <w:rsid w:val="00415219"/>
    <w:pPr>
      <w:tabs>
        <w:tab w:val="center" w:pos="4252"/>
        <w:tab w:val="right" w:pos="8504"/>
      </w:tabs>
      <w:spacing w:line="240" w:lineRule="auto"/>
    </w:pPr>
  </w:style>
  <w:style w:type="character" w:customStyle="1" w:styleId="CabealhoChar">
    <w:name w:val="Cabeçalho Char"/>
    <w:basedOn w:val="Fontepargpadro"/>
    <w:link w:val="Cabealho"/>
    <w:uiPriority w:val="99"/>
    <w:rsid w:val="00415219"/>
    <w:rPr>
      <w:rFonts w:asciiTheme="minorHAnsi" w:eastAsiaTheme="minorEastAsia" w:hAnsiTheme="minorHAnsi" w:cstheme="minorBidi"/>
      <w:lang w:val="en-US" w:eastAsia="zh-CN"/>
    </w:rPr>
  </w:style>
  <w:style w:type="paragraph" w:styleId="Rodap">
    <w:name w:val="footer"/>
    <w:basedOn w:val="Normal"/>
    <w:link w:val="RodapChar"/>
    <w:uiPriority w:val="99"/>
    <w:unhideWhenUsed/>
    <w:rsid w:val="00415219"/>
    <w:pPr>
      <w:tabs>
        <w:tab w:val="center" w:pos="4252"/>
        <w:tab w:val="right" w:pos="8504"/>
      </w:tabs>
      <w:spacing w:line="240" w:lineRule="auto"/>
    </w:pPr>
  </w:style>
  <w:style w:type="character" w:customStyle="1" w:styleId="RodapChar">
    <w:name w:val="Rodapé Char"/>
    <w:basedOn w:val="Fontepargpadro"/>
    <w:link w:val="Rodap"/>
    <w:uiPriority w:val="99"/>
    <w:rsid w:val="00415219"/>
    <w:rPr>
      <w:rFonts w:asciiTheme="minorHAnsi" w:eastAsiaTheme="minorEastAsia" w:hAnsiTheme="minorHAnsi" w:cstheme="minorBidi"/>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numbering" Target="numbering.xml"/><Relationship Id="rId21" Type="http://schemas.openxmlformats.org/officeDocument/2006/relationships/image" Target="media/image12.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microsoft.com/office/2011/relationships/commentsExtended" Target="commentsExtended.xml"/><Relationship Id="rId5" Type="http://schemas.microsoft.com/office/2007/relationships/stylesWithEffects" Target="stylesWithEffect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kYp/qJY8SyFsPjOS0dy6LWY3ew==">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</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F93F629-EEF8-470F-A018-C0BCF123A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18</Pages>
  <Words>5348</Words>
  <Characters>28885</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dc:creator>
  <cp:lastModifiedBy>Alcimar Ribeiro</cp:lastModifiedBy>
  <cp:revision>11</cp:revision>
  <dcterms:created xsi:type="dcterms:W3CDTF">2025-10-16T18:59:00Z</dcterms:created>
  <dcterms:modified xsi:type="dcterms:W3CDTF">2025-10-16T19:11:00Z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1046-11.2.0.11537</vt:lpwstr>
  </property>
  <property fmtid="{D5CDD505-2E9C-101B-9397-08002B2CF9AE}" pid="3" name="ICV">
    <vt:lpwstr>1EAB68788D4747768BC22D56BBA19785</vt:lpwstr>
  </property>
</Properties>
</file>