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397F" w14:textId="1570566D" w:rsidR="000414E8" w:rsidRDefault="000414E8" w:rsidP="004739E0">
      <w:pPr>
        <w:shd w:val="clear" w:color="auto" w:fill="FFFFFF"/>
        <w:spacing w:line="360" w:lineRule="auto"/>
        <w:ind w:left="357"/>
        <w:rPr>
          <w:rFonts w:ascii="Arial" w:hAnsi="Arial" w:cs="Arial"/>
          <w:color w:val="212529"/>
          <w:sz w:val="18"/>
          <w:szCs w:val="18"/>
        </w:rPr>
      </w:pPr>
      <w:bookmarkStart w:id="0" w:name="_GoBack"/>
      <w:bookmarkEnd w:id="0"/>
    </w:p>
    <w:p w14:paraId="6C185EA6" w14:textId="77777777" w:rsidR="005A314C" w:rsidRDefault="005A314C" w:rsidP="004739E0">
      <w:pPr>
        <w:shd w:val="clear" w:color="auto" w:fill="FFFFFF"/>
        <w:spacing w:line="360" w:lineRule="auto"/>
        <w:ind w:left="357"/>
        <w:rPr>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rFonts w:ascii="Arial" w:hAnsi="Arial" w:cs="Arial"/>
          <w:color w:val="212529"/>
          <w:sz w:val="18"/>
          <w:szCs w:val="18"/>
        </w:rPr>
      </w:pPr>
    </w:p>
    <w:p w14:paraId="7D9A5EB3" w14:textId="77777777" w:rsidR="005A314C" w:rsidRPr="004739E0" w:rsidRDefault="005A314C" w:rsidP="004739E0">
      <w:pPr>
        <w:shd w:val="clear" w:color="auto" w:fill="FFFFFF"/>
        <w:spacing w:line="360" w:lineRule="auto"/>
        <w:ind w:left="357"/>
        <w:rPr>
          <w:rFonts w:ascii="Arial" w:hAnsi="Arial" w:cs="Arial"/>
          <w:color w:val="212529"/>
          <w:sz w:val="18"/>
          <w:szCs w:val="18"/>
        </w:rPr>
      </w:pPr>
    </w:p>
    <w:p w14:paraId="02FCEB94" w14:textId="77777777" w:rsidR="000414E8" w:rsidRPr="004739E0" w:rsidRDefault="000414E8" w:rsidP="00136A83">
      <w:pPr>
        <w:pStyle w:val="IDpaper-Title"/>
        <w:widowControl/>
        <w:spacing w:line="360" w:lineRule="auto"/>
        <w:ind w:left="0"/>
        <w:rPr>
          <w:rFonts w:cs="Arial"/>
          <w:sz w:val="18"/>
          <w:lang w:val="pt-BR"/>
        </w:rPr>
      </w:pPr>
    </w:p>
    <w:p w14:paraId="5CCA73BB" w14:textId="50BF50DE" w:rsidR="00235886" w:rsidRPr="004739E0" w:rsidRDefault="00EC33AE" w:rsidP="004F67F4">
      <w:pPr>
        <w:pStyle w:val="IDpaper-Title"/>
        <w:widowControl/>
        <w:ind w:left="0"/>
        <w:jc w:val="center"/>
        <w:rPr>
          <w:rFonts w:cs="Arial"/>
          <w:color w:val="212529"/>
          <w:sz w:val="16"/>
          <w:szCs w:val="16"/>
          <w:lang w:val="pt-BR"/>
        </w:rPr>
      </w:pPr>
      <w:bookmarkStart w:id="1" w:name="_Hlk120915664"/>
      <w:r w:rsidRPr="004739E0">
        <w:rPr>
          <w:rFonts w:cs="Arial"/>
          <w:szCs w:val="24"/>
          <w:lang w:val="pt-BR"/>
        </w:rPr>
        <w:t xml:space="preserve">Eixo Temático: </w:t>
      </w:r>
      <w:r w:rsidR="00FB0496" w:rsidRPr="00FB0496">
        <w:rPr>
          <w:rFonts w:cs="Arial"/>
          <w:szCs w:val="24"/>
          <w:lang w:val="pt-BR"/>
        </w:rPr>
        <w:t>GT4 – Cidade</w:t>
      </w:r>
      <w:r w:rsidR="00374A27">
        <w:rPr>
          <w:rFonts w:cs="Arial"/>
          <w:szCs w:val="24"/>
          <w:lang w:val="pt-BR"/>
        </w:rPr>
        <w:t>s</w:t>
      </w:r>
      <w:r w:rsidR="00FB0496" w:rsidRPr="00FB0496">
        <w:rPr>
          <w:rFonts w:cs="Arial"/>
          <w:szCs w:val="24"/>
          <w:lang w:val="pt-BR"/>
        </w:rPr>
        <w:t xml:space="preserve"> sustentáveis (meio ambiente artificial e digital), combate à poluição, desastres ambientais, transição energética e mudanças climáticas</w:t>
      </w:r>
      <w:bookmarkEnd w:id="1"/>
      <w:r w:rsidR="00FB0496">
        <w:rPr>
          <w:rFonts w:cs="Arial"/>
          <w:color w:val="0070C0"/>
          <w:szCs w:val="24"/>
          <w:lang w:val="pt-BR"/>
        </w:rPr>
        <w:t xml:space="preserve"> </w:t>
      </w:r>
    </w:p>
    <w:p w14:paraId="4A51AD2D" w14:textId="77777777" w:rsidR="005E648F" w:rsidRPr="004739E0" w:rsidRDefault="005E648F" w:rsidP="004739E0">
      <w:pPr>
        <w:pStyle w:val="IDpaper-Title"/>
        <w:widowControl/>
        <w:spacing w:line="360" w:lineRule="auto"/>
        <w:ind w:left="0"/>
        <w:jc w:val="center"/>
        <w:rPr>
          <w:rFonts w:cs="Arial"/>
          <w:sz w:val="28"/>
          <w:szCs w:val="32"/>
          <w:lang w:val="pt-BR"/>
        </w:rPr>
      </w:pPr>
    </w:p>
    <w:p w14:paraId="612DC371" w14:textId="41B3C028" w:rsidR="00FF2C7F" w:rsidRPr="004739E0" w:rsidRDefault="00E242F7" w:rsidP="004F67F4">
      <w:pPr>
        <w:pStyle w:val="IDpaper-Title"/>
        <w:widowControl/>
        <w:ind w:left="0"/>
        <w:jc w:val="center"/>
        <w:rPr>
          <w:rFonts w:cs="Arial"/>
          <w:sz w:val="28"/>
          <w:szCs w:val="32"/>
          <w:lang w:val="pt-BR"/>
        </w:rPr>
      </w:pPr>
      <w:r w:rsidRPr="00E242F7">
        <w:rPr>
          <w:rFonts w:cs="Arial"/>
          <w:sz w:val="28"/>
          <w:szCs w:val="32"/>
          <w:lang w:val="pt-BR"/>
        </w:rPr>
        <w:t xml:space="preserve">A </w:t>
      </w:r>
      <w:r>
        <w:rPr>
          <w:rFonts w:cs="Arial"/>
          <w:sz w:val="28"/>
          <w:szCs w:val="32"/>
          <w:lang w:val="pt-BR"/>
        </w:rPr>
        <w:t>a</w:t>
      </w:r>
      <w:r w:rsidRPr="00E242F7">
        <w:rPr>
          <w:rFonts w:cs="Arial"/>
          <w:sz w:val="28"/>
          <w:szCs w:val="32"/>
          <w:lang w:val="pt-BR"/>
        </w:rPr>
        <w:t>rticulação entre Educação e Planejamento Urbano: o papel da Assistência Estudantil no direito às cidades sustentáveis</w:t>
      </w:r>
      <w:r w:rsidR="00653C27" w:rsidRPr="004739E0">
        <w:rPr>
          <w:rFonts w:cs="Arial"/>
          <w:sz w:val="28"/>
          <w:szCs w:val="32"/>
          <w:lang w:val="pt-BR"/>
        </w:rPr>
        <w:t xml:space="preserve"> </w:t>
      </w:r>
    </w:p>
    <w:p w14:paraId="44F6E2B3" w14:textId="77777777" w:rsidR="00B12650" w:rsidRPr="004739E0" w:rsidRDefault="00B12650" w:rsidP="004739E0">
      <w:pPr>
        <w:pStyle w:val="IDpaper-TitleEnglish"/>
        <w:widowControl/>
        <w:spacing w:after="0" w:line="360" w:lineRule="auto"/>
        <w:ind w:left="0"/>
        <w:jc w:val="center"/>
        <w:rPr>
          <w:rFonts w:cs="Arial"/>
          <w:szCs w:val="24"/>
          <w:lang w:val="pt-BR"/>
        </w:rPr>
      </w:pPr>
    </w:p>
    <w:p w14:paraId="4E63D6AD" w14:textId="2AFBD281" w:rsidR="00B12650" w:rsidRPr="004F67F4" w:rsidRDefault="00E242F7" w:rsidP="004F67F4">
      <w:pPr>
        <w:pStyle w:val="IDpaper-Title"/>
        <w:jc w:val="center"/>
        <w:rPr>
          <w:rFonts w:cs="Arial"/>
          <w:b w:val="0"/>
          <w:bCs/>
          <w:i/>
          <w:iCs/>
          <w:szCs w:val="28"/>
          <w:lang w:val="en-US"/>
        </w:rPr>
      </w:pPr>
      <w:bookmarkStart w:id="2" w:name="_Hlk131925215"/>
      <w:r w:rsidRPr="004F67F4">
        <w:rPr>
          <w:rFonts w:cs="Arial"/>
          <w:b w:val="0"/>
          <w:bCs/>
          <w:i/>
          <w:iCs/>
          <w:szCs w:val="28"/>
          <w:lang w:val="en-US"/>
        </w:rPr>
        <w:t>The articulation between Education and Urban Planning: the role of Student Assistance in the right to sustainable cities</w:t>
      </w:r>
    </w:p>
    <w:p w14:paraId="672F8908" w14:textId="77777777" w:rsidR="00B12650" w:rsidRPr="004F67F4" w:rsidRDefault="00B12650" w:rsidP="004739E0">
      <w:pPr>
        <w:pStyle w:val="IDpaper-TitleEnglish"/>
        <w:widowControl/>
        <w:spacing w:after="0" w:line="360" w:lineRule="auto"/>
        <w:ind w:left="0"/>
        <w:jc w:val="center"/>
        <w:rPr>
          <w:rFonts w:cs="Arial"/>
          <w:sz w:val="22"/>
          <w:szCs w:val="22"/>
          <w:lang w:val="en-US"/>
        </w:rPr>
      </w:pPr>
    </w:p>
    <w:bookmarkEnd w:id="2"/>
    <w:p w14:paraId="507D9522" w14:textId="77777777" w:rsidR="00D12011" w:rsidRPr="004F67F4" w:rsidRDefault="00D12011" w:rsidP="004739E0">
      <w:pPr>
        <w:pStyle w:val="IDpaper-TitleEnglish"/>
        <w:widowControl/>
        <w:spacing w:after="0" w:line="360" w:lineRule="auto"/>
        <w:jc w:val="center"/>
        <w:rPr>
          <w:rFonts w:cs="Arial"/>
          <w:sz w:val="20"/>
          <w:lang w:val="en-US"/>
        </w:rPr>
      </w:pPr>
    </w:p>
    <w:p w14:paraId="6A467ECA" w14:textId="19C77974" w:rsidR="00D12011" w:rsidRPr="004F67F4" w:rsidRDefault="000F077C" w:rsidP="00D12011">
      <w:pPr>
        <w:widowControl w:val="0"/>
        <w:shd w:val="clear" w:color="auto" w:fill="FFFFFF"/>
        <w:tabs>
          <w:tab w:val="left" w:pos="709"/>
          <w:tab w:val="left" w:pos="3119"/>
          <w:tab w:val="left" w:pos="5812"/>
        </w:tabs>
        <w:spacing w:line="276" w:lineRule="auto"/>
        <w:jc w:val="right"/>
        <w:outlineLvl w:val="0"/>
        <w:rPr>
          <w:rFonts w:ascii="Arial" w:hAnsi="Arial" w:cs="Arial"/>
          <w:color w:val="000000" w:themeColor="text1"/>
          <w:sz w:val="18"/>
          <w:szCs w:val="18"/>
        </w:rPr>
      </w:pPr>
      <w:proofErr w:type="spellStart"/>
      <w:r w:rsidRPr="004F67F4">
        <w:rPr>
          <w:rFonts w:ascii="Arial" w:hAnsi="Arial" w:cs="Arial"/>
          <w:color w:val="000000" w:themeColor="text1"/>
          <w:sz w:val="18"/>
          <w:szCs w:val="18"/>
        </w:rPr>
        <w:t>Vaneska</w:t>
      </w:r>
      <w:proofErr w:type="spellEnd"/>
      <w:r w:rsidRPr="004F67F4">
        <w:rPr>
          <w:rFonts w:ascii="Arial" w:hAnsi="Arial" w:cs="Arial"/>
          <w:color w:val="000000" w:themeColor="text1"/>
          <w:sz w:val="18"/>
          <w:szCs w:val="18"/>
        </w:rPr>
        <w:t xml:space="preserve"> Tavares Rangel</w:t>
      </w:r>
      <w:r w:rsidR="00D12011" w:rsidRPr="004F67F4">
        <w:rPr>
          <w:rStyle w:val="Refdenotaderodap"/>
          <w:rFonts w:ascii="Arial" w:hAnsi="Arial" w:cs="Arial"/>
          <w:color w:val="000000" w:themeColor="text1"/>
          <w:sz w:val="18"/>
          <w:szCs w:val="18"/>
        </w:rPr>
        <w:footnoteReference w:id="1"/>
      </w:r>
    </w:p>
    <w:p w14:paraId="3C850F95" w14:textId="389B591C" w:rsidR="00D12011" w:rsidRPr="004F67F4" w:rsidRDefault="000F077C" w:rsidP="00D12011">
      <w:pPr>
        <w:widowControl w:val="0"/>
        <w:shd w:val="clear" w:color="auto" w:fill="FFFFFF"/>
        <w:tabs>
          <w:tab w:val="left" w:pos="709"/>
          <w:tab w:val="left" w:pos="3119"/>
          <w:tab w:val="left" w:pos="5812"/>
        </w:tabs>
        <w:spacing w:line="276" w:lineRule="auto"/>
        <w:jc w:val="right"/>
        <w:outlineLvl w:val="0"/>
        <w:rPr>
          <w:rFonts w:ascii="Arial" w:hAnsi="Arial" w:cs="Arial"/>
          <w:color w:val="000000" w:themeColor="text1"/>
          <w:sz w:val="18"/>
          <w:szCs w:val="18"/>
        </w:rPr>
      </w:pPr>
      <w:proofErr w:type="spellStart"/>
      <w:r w:rsidRPr="004F67F4">
        <w:rPr>
          <w:rFonts w:ascii="Arial" w:hAnsi="Arial" w:cs="Arial"/>
          <w:color w:val="000000" w:themeColor="text1"/>
          <w:sz w:val="18"/>
          <w:szCs w:val="18"/>
        </w:rPr>
        <w:t>Rosenilda</w:t>
      </w:r>
      <w:proofErr w:type="spellEnd"/>
      <w:r w:rsidRPr="004F67F4">
        <w:rPr>
          <w:rFonts w:ascii="Arial" w:hAnsi="Arial" w:cs="Arial"/>
          <w:color w:val="000000" w:themeColor="text1"/>
          <w:sz w:val="18"/>
          <w:szCs w:val="18"/>
        </w:rPr>
        <w:t xml:space="preserve"> da Silva Pereira Cardoso</w:t>
      </w:r>
      <w:r w:rsidR="00D12011" w:rsidRPr="004F67F4">
        <w:rPr>
          <w:rStyle w:val="Refdenotaderodap"/>
          <w:rFonts w:ascii="Arial" w:hAnsi="Arial" w:cs="Arial"/>
          <w:color w:val="000000" w:themeColor="text1"/>
          <w:sz w:val="18"/>
          <w:szCs w:val="18"/>
        </w:rPr>
        <w:footnoteReference w:id="2"/>
      </w:r>
    </w:p>
    <w:p w14:paraId="5B852CEC" w14:textId="0AB84379" w:rsidR="000F077C" w:rsidRPr="004F67F4" w:rsidRDefault="000F077C" w:rsidP="00D12011">
      <w:pPr>
        <w:widowControl w:val="0"/>
        <w:shd w:val="clear" w:color="auto" w:fill="FFFFFF"/>
        <w:tabs>
          <w:tab w:val="left" w:pos="709"/>
          <w:tab w:val="left" w:pos="3119"/>
          <w:tab w:val="left" w:pos="5812"/>
        </w:tabs>
        <w:spacing w:line="276" w:lineRule="auto"/>
        <w:jc w:val="right"/>
        <w:outlineLvl w:val="0"/>
        <w:rPr>
          <w:rFonts w:ascii="Arial" w:hAnsi="Arial" w:cs="Arial"/>
          <w:color w:val="000000" w:themeColor="text1"/>
          <w:sz w:val="18"/>
          <w:szCs w:val="18"/>
        </w:rPr>
      </w:pPr>
      <w:r w:rsidRPr="004F67F4">
        <w:rPr>
          <w:rFonts w:ascii="Arial" w:hAnsi="Arial" w:cs="Arial"/>
          <w:color w:val="000000" w:themeColor="text1"/>
          <w:sz w:val="18"/>
          <w:szCs w:val="18"/>
        </w:rPr>
        <w:t>Fl</w:t>
      </w:r>
      <w:r w:rsidR="00F33170" w:rsidRPr="004F67F4">
        <w:rPr>
          <w:rFonts w:ascii="Arial" w:hAnsi="Arial" w:cs="Arial"/>
          <w:color w:val="000000" w:themeColor="text1"/>
          <w:sz w:val="18"/>
          <w:szCs w:val="18"/>
        </w:rPr>
        <w:t>á</w:t>
      </w:r>
      <w:r w:rsidRPr="004F67F4">
        <w:rPr>
          <w:rFonts w:ascii="Arial" w:hAnsi="Arial" w:cs="Arial"/>
          <w:color w:val="000000" w:themeColor="text1"/>
          <w:sz w:val="18"/>
          <w:szCs w:val="18"/>
        </w:rPr>
        <w:t xml:space="preserve">vio </w:t>
      </w:r>
      <w:r w:rsidR="00F33170" w:rsidRPr="004F67F4">
        <w:rPr>
          <w:rFonts w:ascii="Arial" w:hAnsi="Arial" w:cs="Arial"/>
          <w:color w:val="000000" w:themeColor="text1"/>
          <w:sz w:val="18"/>
          <w:szCs w:val="18"/>
        </w:rPr>
        <w:t xml:space="preserve">Villela </w:t>
      </w:r>
      <w:r w:rsidRPr="004F67F4">
        <w:rPr>
          <w:rFonts w:ascii="Arial" w:hAnsi="Arial" w:cs="Arial"/>
          <w:color w:val="000000" w:themeColor="text1"/>
          <w:sz w:val="18"/>
          <w:szCs w:val="18"/>
        </w:rPr>
        <w:t>Ahmed</w:t>
      </w:r>
      <w:r w:rsidRPr="004F67F4">
        <w:rPr>
          <w:rStyle w:val="Refdenotaderodap"/>
          <w:rFonts w:ascii="Arial" w:hAnsi="Arial" w:cs="Arial"/>
          <w:color w:val="000000" w:themeColor="text1"/>
          <w:sz w:val="18"/>
          <w:szCs w:val="18"/>
        </w:rPr>
        <w:footnoteReference w:id="3"/>
      </w:r>
    </w:p>
    <w:p w14:paraId="1DCA367A" w14:textId="68E60B80" w:rsidR="00D12011" w:rsidRPr="004739E0" w:rsidRDefault="00D12011" w:rsidP="00D12011">
      <w:pPr>
        <w:widowControl w:val="0"/>
        <w:shd w:val="clear" w:color="auto" w:fill="FFFFFF"/>
        <w:tabs>
          <w:tab w:val="left" w:pos="709"/>
          <w:tab w:val="left" w:pos="3119"/>
          <w:tab w:val="left" w:pos="5812"/>
        </w:tabs>
        <w:spacing w:line="276" w:lineRule="auto"/>
        <w:jc w:val="right"/>
        <w:outlineLvl w:val="0"/>
        <w:rPr>
          <w:rFonts w:ascii="Arial" w:hAnsi="Arial" w:cs="Arial"/>
          <w:color w:val="FF0000"/>
          <w:sz w:val="18"/>
          <w:szCs w:val="18"/>
        </w:rPr>
      </w:pPr>
      <w:r>
        <w:rPr>
          <w:rFonts w:ascii="Arial" w:hAnsi="Arial" w:cs="Arial"/>
          <w:color w:val="FF0000"/>
          <w:sz w:val="18"/>
          <w:szCs w:val="18"/>
        </w:rPr>
        <w:t>...</w:t>
      </w:r>
    </w:p>
    <w:p w14:paraId="1B53831B" w14:textId="53908E43" w:rsidR="00506622" w:rsidRDefault="00506622"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6BAE86EA" w14:textId="217AB266" w:rsidR="00D12011"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7B1AC267" w14:textId="77777777" w:rsidR="00D12011" w:rsidRPr="004739E0"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48E0BCE3" w14:textId="1E8411C0" w:rsidR="00506622" w:rsidRPr="00220D27" w:rsidRDefault="00506622" w:rsidP="009E2AAF">
      <w:pPr>
        <w:autoSpaceDE w:val="0"/>
        <w:autoSpaceDN w:val="0"/>
        <w:adjustRightInd w:val="0"/>
        <w:spacing w:line="276" w:lineRule="auto"/>
        <w:jc w:val="both"/>
        <w:rPr>
          <w:rFonts w:ascii="Arial" w:hAnsi="Arial" w:cs="Arial"/>
          <w:b/>
          <w:sz w:val="20"/>
          <w:szCs w:val="20"/>
        </w:rPr>
      </w:pPr>
      <w:r w:rsidRPr="00220D27">
        <w:rPr>
          <w:rFonts w:ascii="Arial" w:hAnsi="Arial" w:cs="Arial"/>
          <w:b/>
          <w:sz w:val="20"/>
          <w:szCs w:val="20"/>
        </w:rPr>
        <w:t>RESUMO</w:t>
      </w:r>
    </w:p>
    <w:p w14:paraId="43CAEC0E" w14:textId="2A8DFF03" w:rsidR="00C34DFE" w:rsidRPr="00136A83" w:rsidRDefault="00C34DFE" w:rsidP="009E2AAF">
      <w:pPr>
        <w:autoSpaceDE w:val="0"/>
        <w:autoSpaceDN w:val="0"/>
        <w:adjustRightInd w:val="0"/>
        <w:spacing w:line="276" w:lineRule="auto"/>
        <w:jc w:val="both"/>
        <w:rPr>
          <w:rFonts w:ascii="Arial" w:hAnsi="Arial" w:cs="Arial"/>
          <w:b/>
          <w:sz w:val="20"/>
          <w:szCs w:val="20"/>
        </w:rPr>
      </w:pPr>
      <w:r w:rsidRPr="004F67F4">
        <w:rPr>
          <w:rFonts w:ascii="Arial" w:hAnsi="Arial" w:cs="Arial"/>
          <w:sz w:val="20"/>
          <w:szCs w:val="20"/>
        </w:rPr>
        <w:t xml:space="preserve">O artigo analisa as possibilidades de integração entre a Política Nacional de Assistência Estudantil (PNAES) e o Direito à Cidade Sustentável, à luz dos marcos jurídicos brasileiros. Busca demonstrar como a articulação entre políticas educacionais e urbanas pode contribuir para a inclusão social e a sustentabilidade nas cidades contemporâneas. </w:t>
      </w:r>
      <w:r w:rsidR="00730FFC" w:rsidRPr="004F67F4">
        <w:rPr>
          <w:rFonts w:ascii="Arial" w:hAnsi="Arial" w:cs="Arial"/>
          <w:sz w:val="20"/>
          <w:szCs w:val="20"/>
        </w:rPr>
        <w:t>A pesquisa, de caráter qualitativo, exploratório e descritivo, baseou-se em revisão bibliográfica e análise documental</w:t>
      </w:r>
      <w:r w:rsidR="005E16F1" w:rsidRPr="004F67F4">
        <w:rPr>
          <w:rFonts w:ascii="Arial" w:hAnsi="Arial" w:cs="Arial"/>
          <w:sz w:val="20"/>
          <w:szCs w:val="20"/>
        </w:rPr>
        <w:t>, incluindo o Estatuto da Cidade, a Constituição Federal, a Lei nº 14.914/2024 e o Acórdão nº 2281/2024 do TCU.</w:t>
      </w:r>
      <w:r w:rsidR="00730FFC">
        <w:rPr>
          <w:rFonts w:ascii="Arial" w:hAnsi="Arial" w:cs="Arial"/>
          <w:sz w:val="20"/>
          <w:szCs w:val="20"/>
        </w:rPr>
        <w:t xml:space="preserve"> </w:t>
      </w:r>
      <w:r w:rsidRPr="004F67F4">
        <w:rPr>
          <w:rFonts w:ascii="Arial" w:hAnsi="Arial" w:cs="Arial"/>
          <w:sz w:val="20"/>
          <w:szCs w:val="20"/>
        </w:rPr>
        <w:t xml:space="preserve">A análise comparativa permitiu identificar convergências e lacunas entre o planejamento urbano e as políticas de permanência estudantil. O estudo insere-se </w:t>
      </w:r>
      <w:r w:rsidR="00F111D0">
        <w:rPr>
          <w:rFonts w:ascii="Arial" w:hAnsi="Arial" w:cs="Arial"/>
          <w:sz w:val="20"/>
          <w:szCs w:val="20"/>
        </w:rPr>
        <w:t xml:space="preserve">numa interface pouco explorada </w:t>
      </w:r>
      <w:r w:rsidRPr="004F67F4">
        <w:rPr>
          <w:rFonts w:ascii="Arial" w:hAnsi="Arial" w:cs="Arial"/>
          <w:sz w:val="20"/>
          <w:szCs w:val="20"/>
        </w:rPr>
        <w:t xml:space="preserve">entre políticas de educação </w:t>
      </w:r>
      <w:r w:rsidR="00535643">
        <w:rPr>
          <w:rFonts w:ascii="Arial" w:hAnsi="Arial" w:cs="Arial"/>
          <w:sz w:val="20"/>
          <w:szCs w:val="20"/>
        </w:rPr>
        <w:t xml:space="preserve">superior </w:t>
      </w:r>
      <w:r w:rsidRPr="004F67F4">
        <w:rPr>
          <w:rFonts w:ascii="Arial" w:hAnsi="Arial" w:cs="Arial"/>
          <w:sz w:val="20"/>
          <w:szCs w:val="20"/>
        </w:rPr>
        <w:t>e direito urbano-ambiental, propondo uma leitura intersetorial que aproxima a assistência estudantil da agenda de cidades sustentáveis e inclusivas, conforme os Objetivos de Desenvolvimento Sustentável (ODS 4 e 11). Evidencia-se que a integração entre PNAES e políticas urbanas fortalece a justiça socioespacial, amplia o acesso equitativo a moradia, transporte e cultura e potencializa a permanência e o êxito acadêmico. A integração entre assistência estudantil e direito à cidade fomenta cidades mais inclusivas e ambientalmente equilibradas, fortalecendo a cooperação federativa e a governança urbana sustentável.</w:t>
      </w:r>
    </w:p>
    <w:p w14:paraId="55645A40" w14:textId="77777777" w:rsidR="00506622" w:rsidRPr="004739E0" w:rsidRDefault="00506622" w:rsidP="009E2AAF">
      <w:pPr>
        <w:autoSpaceDE w:val="0"/>
        <w:autoSpaceDN w:val="0"/>
        <w:adjustRightInd w:val="0"/>
        <w:spacing w:line="276" w:lineRule="auto"/>
        <w:jc w:val="both"/>
        <w:rPr>
          <w:rFonts w:ascii="Arial" w:hAnsi="Arial" w:cs="Arial"/>
          <w:b/>
          <w:sz w:val="18"/>
          <w:szCs w:val="18"/>
        </w:rPr>
      </w:pPr>
    </w:p>
    <w:p w14:paraId="05E73513" w14:textId="1677CF55" w:rsidR="00506622" w:rsidRPr="004739E0" w:rsidRDefault="00506622" w:rsidP="004F67F4">
      <w:pPr>
        <w:rPr>
          <w:rFonts w:ascii="Arial" w:hAnsi="Arial" w:cs="Arial"/>
          <w:sz w:val="18"/>
          <w:szCs w:val="18"/>
        </w:rPr>
      </w:pPr>
      <w:r w:rsidRPr="00136A83">
        <w:rPr>
          <w:rFonts w:ascii="Arial" w:hAnsi="Arial" w:cs="Arial"/>
          <w:b/>
          <w:sz w:val="20"/>
          <w:szCs w:val="20"/>
        </w:rPr>
        <w:t xml:space="preserve">PALAVRAS-CHAVE: </w:t>
      </w:r>
      <w:r w:rsidR="001078E3" w:rsidRPr="004F67F4">
        <w:rPr>
          <w:rFonts w:ascii="Arial" w:hAnsi="Arial" w:cs="Arial"/>
          <w:sz w:val="20"/>
          <w:szCs w:val="20"/>
        </w:rPr>
        <w:t>Direito à Cidade, Assistência Estudantil, Cidades Sustentáveis.</w:t>
      </w:r>
    </w:p>
    <w:p w14:paraId="565FD1C1" w14:textId="5CA6DEC1" w:rsidR="00235886" w:rsidRPr="004739E0" w:rsidRDefault="00235886" w:rsidP="009E2AAF">
      <w:pPr>
        <w:pStyle w:val="IDpaper-Title"/>
        <w:widowControl/>
        <w:spacing w:line="276" w:lineRule="auto"/>
        <w:ind w:left="0"/>
        <w:rPr>
          <w:rFonts w:cs="Arial"/>
          <w:b w:val="0"/>
          <w:bCs/>
          <w:sz w:val="22"/>
          <w:lang w:val="pt-BR"/>
        </w:rPr>
      </w:pPr>
    </w:p>
    <w:p w14:paraId="57586BC3" w14:textId="19AB4D4D" w:rsidR="00235886" w:rsidRPr="00136A83" w:rsidRDefault="00B8206A" w:rsidP="00235886">
      <w:pPr>
        <w:pStyle w:val="IDpaper-Title"/>
        <w:spacing w:line="276" w:lineRule="auto"/>
        <w:ind w:left="0"/>
        <w:jc w:val="both"/>
        <w:rPr>
          <w:rFonts w:cs="Arial"/>
          <w:b w:val="0"/>
          <w:i/>
          <w:iCs/>
          <w:kern w:val="0"/>
          <w:sz w:val="20"/>
          <w:lang w:val="en-US" w:eastAsia="pt-BR"/>
        </w:rPr>
      </w:pPr>
      <w:r>
        <w:rPr>
          <w:rFonts w:cs="Arial"/>
          <w:bCs/>
          <w:i/>
          <w:iCs/>
          <w:kern w:val="0"/>
          <w:sz w:val="20"/>
          <w:lang w:val="en-US" w:eastAsia="pt-BR"/>
        </w:rPr>
        <w:lastRenderedPageBreak/>
        <w:t xml:space="preserve">ABSTRACT </w:t>
      </w:r>
    </w:p>
    <w:p w14:paraId="762AF606" w14:textId="74D9C7C2" w:rsidR="00235886" w:rsidRPr="00136A83" w:rsidRDefault="005E16F1" w:rsidP="00235886">
      <w:pPr>
        <w:pStyle w:val="IDpaper-Title"/>
        <w:spacing w:line="276" w:lineRule="auto"/>
        <w:ind w:left="0"/>
        <w:jc w:val="both"/>
        <w:rPr>
          <w:rFonts w:cs="Arial"/>
          <w:b w:val="0"/>
          <w:i/>
          <w:iCs/>
          <w:kern w:val="0"/>
          <w:sz w:val="20"/>
          <w:lang w:eastAsia="pt-BR"/>
        </w:rPr>
      </w:pPr>
      <w:r w:rsidRPr="005E16F1">
        <w:rPr>
          <w:rFonts w:cs="Arial"/>
          <w:b w:val="0"/>
          <w:i/>
          <w:iCs/>
          <w:kern w:val="0"/>
          <w:sz w:val="20"/>
          <w:lang w:eastAsia="pt-BR"/>
        </w:rPr>
        <w:t xml:space="preserve">This article </w:t>
      </w:r>
      <w:proofErr w:type="spellStart"/>
      <w:r w:rsidRPr="005E16F1">
        <w:rPr>
          <w:rFonts w:cs="Arial"/>
          <w:b w:val="0"/>
          <w:i/>
          <w:iCs/>
          <w:kern w:val="0"/>
          <w:sz w:val="20"/>
          <w:lang w:eastAsia="pt-BR"/>
        </w:rPr>
        <w:t>analyzes</w:t>
      </w:r>
      <w:proofErr w:type="spellEnd"/>
      <w:r w:rsidRPr="005E16F1">
        <w:rPr>
          <w:rFonts w:cs="Arial"/>
          <w:b w:val="0"/>
          <w:i/>
          <w:iCs/>
          <w:kern w:val="0"/>
          <w:sz w:val="20"/>
          <w:lang w:eastAsia="pt-BR"/>
        </w:rPr>
        <w:t xml:space="preserve"> the possibilities for integrating the National Student Assistance Policy (PNAES) and the Right to a Sustainable City, in light of Brazilian legal frameworks. It seeks to demonstrate how the articulation between educational and urban policies can contribute to social inclusion and sustainability in contemporary cities. The qualitative, exploratory, and descriptive research was based on a bibliographic review and document analysis, including the City Statute, the Federal Constitution, Law No. 14.914/2024, and Ruling No. 2281/2024 of the Federal Audit Court (TCU). The comparative analysis identified convergences and gaps between urban planning and student retention policies. </w:t>
      </w:r>
      <w:r w:rsidR="00F111D0" w:rsidRPr="004F67F4">
        <w:rPr>
          <w:rFonts w:cs="Arial"/>
          <w:b w:val="0"/>
          <w:i/>
          <w:iCs/>
          <w:kern w:val="0"/>
          <w:sz w:val="20"/>
          <w:lang w:val="en-US" w:eastAsia="pt-BR"/>
        </w:rPr>
        <w:t xml:space="preserve">The study is situated in a little-explored interface between </w:t>
      </w:r>
      <w:r w:rsidR="00535643">
        <w:rPr>
          <w:rFonts w:cs="Arial"/>
          <w:b w:val="0"/>
          <w:i/>
          <w:iCs/>
          <w:kern w:val="0"/>
          <w:sz w:val="20"/>
          <w:lang w:val="en-US" w:eastAsia="pt-BR"/>
        </w:rPr>
        <w:t xml:space="preserve">higher </w:t>
      </w:r>
      <w:r w:rsidR="00F111D0" w:rsidRPr="004F67F4">
        <w:rPr>
          <w:rFonts w:cs="Arial"/>
          <w:b w:val="0"/>
          <w:i/>
          <w:iCs/>
          <w:kern w:val="0"/>
          <w:sz w:val="20"/>
          <w:lang w:val="en-US" w:eastAsia="pt-BR"/>
        </w:rPr>
        <w:t>education policies</w:t>
      </w:r>
      <w:r w:rsidR="00F111D0" w:rsidRPr="004F67F4">
        <w:rPr>
          <w:rFonts w:cs="Arial"/>
          <w:i/>
          <w:iCs/>
          <w:kern w:val="0"/>
          <w:sz w:val="20"/>
          <w:lang w:val="en-US" w:eastAsia="pt-BR"/>
        </w:rPr>
        <w:t xml:space="preserve"> </w:t>
      </w:r>
      <w:r w:rsidR="00BD1D88" w:rsidRPr="004F67F4">
        <w:rPr>
          <w:rFonts w:cs="Arial"/>
          <w:b w:val="0"/>
          <w:i/>
          <w:iCs/>
          <w:kern w:val="0"/>
          <w:sz w:val="20"/>
          <w:lang w:val="en-US" w:eastAsia="pt-BR"/>
        </w:rPr>
        <w:t>and urban-environmental law</w:t>
      </w:r>
      <w:r w:rsidRPr="005E16F1">
        <w:rPr>
          <w:rFonts w:cs="Arial"/>
          <w:b w:val="0"/>
          <w:i/>
          <w:iCs/>
          <w:kern w:val="0"/>
          <w:sz w:val="20"/>
          <w:lang w:eastAsia="pt-BR"/>
        </w:rPr>
        <w:t>, proposing an intersectoral approach that aligns student assistance with the agenda of sustainable and inclusive cities, in accordance with the Sustainable Development Goals (SDGs 4 and 11). It is evident that the integration between PNAES and urban policies strengthens socio-spatial justice, expands equitable access to housing, transportation, and culture, and enhances retention and academic success. The integration of student assistance and the right to the city fosters more inclusive and environmentally balanced cities, strengthening federal cooperation and sustainable urban governance.</w:t>
      </w:r>
      <w:r w:rsidR="00235886" w:rsidRPr="00136A83">
        <w:rPr>
          <w:rFonts w:cs="Arial"/>
          <w:b w:val="0"/>
          <w:i/>
          <w:iCs/>
          <w:kern w:val="0"/>
          <w:sz w:val="20"/>
          <w:lang w:eastAsia="pt-BR"/>
        </w:rPr>
        <w:t xml:space="preserve"> </w:t>
      </w:r>
    </w:p>
    <w:p w14:paraId="692D2A61" w14:textId="77777777" w:rsidR="00235886" w:rsidRPr="00136A83" w:rsidRDefault="00235886" w:rsidP="00235886">
      <w:pPr>
        <w:pStyle w:val="IDpaper-Title"/>
        <w:spacing w:line="276" w:lineRule="auto"/>
        <w:ind w:left="0"/>
        <w:jc w:val="both"/>
        <w:rPr>
          <w:rFonts w:cs="Arial"/>
          <w:b w:val="0"/>
          <w:i/>
          <w:iCs/>
          <w:kern w:val="0"/>
          <w:sz w:val="20"/>
          <w:lang w:eastAsia="pt-BR"/>
        </w:rPr>
      </w:pPr>
    </w:p>
    <w:p w14:paraId="746E4E2F" w14:textId="633265D2" w:rsidR="00E53F1F" w:rsidRPr="004F67F4" w:rsidRDefault="00235886" w:rsidP="00235886">
      <w:pPr>
        <w:pStyle w:val="IDpaper-Title"/>
        <w:widowControl/>
        <w:spacing w:line="276" w:lineRule="auto"/>
        <w:ind w:left="0"/>
        <w:jc w:val="both"/>
        <w:rPr>
          <w:rFonts w:cs="Arial"/>
          <w:b w:val="0"/>
          <w:i/>
          <w:iCs/>
          <w:color w:val="FF0000"/>
          <w:kern w:val="0"/>
          <w:sz w:val="20"/>
          <w:lang w:val="en-US" w:eastAsia="pt-BR"/>
        </w:rPr>
      </w:pPr>
      <w:r w:rsidRPr="00136A83">
        <w:rPr>
          <w:rFonts w:cs="Arial"/>
          <w:bCs/>
          <w:i/>
          <w:iCs/>
          <w:kern w:val="0"/>
          <w:sz w:val="20"/>
          <w:lang w:eastAsia="pt-BR"/>
        </w:rPr>
        <w:t>KEYWORDS:</w:t>
      </w:r>
      <w:r w:rsidRPr="00136A83">
        <w:rPr>
          <w:rFonts w:cs="Arial"/>
          <w:b w:val="0"/>
          <w:i/>
          <w:iCs/>
          <w:kern w:val="0"/>
          <w:sz w:val="20"/>
          <w:lang w:eastAsia="pt-BR"/>
        </w:rPr>
        <w:t xml:space="preserve"> </w:t>
      </w:r>
      <w:r w:rsidR="005E16F1" w:rsidRPr="005E16F1">
        <w:rPr>
          <w:rFonts w:cs="Arial"/>
          <w:b w:val="0"/>
          <w:i/>
          <w:iCs/>
          <w:kern w:val="0"/>
          <w:sz w:val="20"/>
          <w:lang w:eastAsia="pt-BR"/>
        </w:rPr>
        <w:t>Right to the City, Student Assistance, Sustainable Cities</w:t>
      </w:r>
      <w:r w:rsidRPr="00136A83">
        <w:rPr>
          <w:rFonts w:cs="Arial"/>
          <w:b w:val="0"/>
          <w:i/>
          <w:iCs/>
          <w:kern w:val="0"/>
          <w:sz w:val="20"/>
          <w:lang w:eastAsia="pt-BR"/>
        </w:rPr>
        <w:t>.</w:t>
      </w:r>
    </w:p>
    <w:p w14:paraId="56D6B338" w14:textId="77777777" w:rsidR="00235886" w:rsidRPr="004F67F4" w:rsidRDefault="00235886" w:rsidP="004F67F4">
      <w:pPr>
        <w:pStyle w:val="IDpaper-Text"/>
        <w:widowControl/>
        <w:spacing w:after="0" w:line="360" w:lineRule="auto"/>
        <w:jc w:val="both"/>
        <w:rPr>
          <w:rFonts w:cs="Arial"/>
          <w:b/>
          <w:kern w:val="0"/>
          <w:sz w:val="22"/>
          <w:szCs w:val="24"/>
          <w:lang w:val="en-US" w:eastAsia="pt-BR"/>
        </w:rPr>
      </w:pPr>
    </w:p>
    <w:p w14:paraId="7CDE480F" w14:textId="406CAA17" w:rsidR="00235886" w:rsidRPr="004739E0" w:rsidRDefault="00235886" w:rsidP="00235886">
      <w:pPr>
        <w:pStyle w:val="IDpaper-Title"/>
        <w:widowControl/>
        <w:spacing w:line="276" w:lineRule="auto"/>
        <w:ind w:left="0"/>
        <w:rPr>
          <w:rFonts w:cs="Arial"/>
          <w:b w:val="0"/>
          <w:color w:val="FF0000"/>
          <w:sz w:val="18"/>
          <w:szCs w:val="18"/>
          <w:lang w:val="pt-BR"/>
        </w:rPr>
      </w:pPr>
      <w:r w:rsidRPr="00136A83">
        <w:rPr>
          <w:rFonts w:cs="Arial"/>
          <w:bCs/>
          <w:szCs w:val="24"/>
          <w:lang w:val="pt-BR"/>
        </w:rPr>
        <w:t xml:space="preserve">1 </w:t>
      </w:r>
      <w:r w:rsidR="00741715">
        <w:rPr>
          <w:rFonts w:cs="Arial"/>
          <w:bCs/>
          <w:szCs w:val="24"/>
          <w:lang w:val="pt-BR"/>
        </w:rPr>
        <w:t>INTRODUÇÃO</w:t>
      </w:r>
    </w:p>
    <w:p w14:paraId="767F651A" w14:textId="77777777" w:rsidR="00235886" w:rsidRPr="004739E0" w:rsidRDefault="00235886" w:rsidP="00136A83">
      <w:pPr>
        <w:pStyle w:val="IDpaper-Text"/>
        <w:widowControl/>
        <w:spacing w:after="0" w:line="360" w:lineRule="auto"/>
        <w:jc w:val="both"/>
        <w:rPr>
          <w:rFonts w:cs="Arial"/>
          <w:kern w:val="0"/>
          <w:sz w:val="22"/>
          <w:szCs w:val="24"/>
          <w:lang w:val="pt-BR" w:eastAsia="pt-BR"/>
        </w:rPr>
      </w:pPr>
    </w:p>
    <w:p w14:paraId="3B604AA9" w14:textId="54A899E7" w:rsidR="00741715" w:rsidRPr="00EA3457" w:rsidRDefault="00741715" w:rsidP="004F67F4">
      <w:pPr>
        <w:pStyle w:val="IDpaper-Text"/>
        <w:widowControl/>
        <w:spacing w:after="0" w:line="360" w:lineRule="auto"/>
        <w:ind w:firstLine="851"/>
        <w:jc w:val="both"/>
        <w:rPr>
          <w:rFonts w:cs="Arial"/>
        </w:rPr>
      </w:pPr>
      <w:r w:rsidRPr="00741715">
        <w:rPr>
          <w:rFonts w:cs="Arial"/>
          <w:kern w:val="0"/>
          <w:sz w:val="24"/>
          <w:szCs w:val="24"/>
          <w:lang w:val="pt-BR" w:eastAsia="pt-BR"/>
        </w:rPr>
        <w:t>O debate contemporâneo sobre o direito à cidade, formulado por Henri Lefebvre (2009) e incorporado no ordenamento jurídico brasileiro pelo Estatuto da Cidade (Lei nº 10.257/2001), destaca a necessidade de promover cidades mais justas, inclusivas e sustentáveis. Tal direito não se limita ao acesso físico aos bens e serviços urbanos, mas abrange a participação ativa dos cidadãos na produção do espaço urbano e no usufruto de condições que assegurem qualidade de vida.</w:t>
      </w:r>
    </w:p>
    <w:p w14:paraId="781D0F01" w14:textId="77777777" w:rsidR="00741715" w:rsidRPr="00EA3457" w:rsidRDefault="00741715" w:rsidP="004F67F4">
      <w:pPr>
        <w:pStyle w:val="IDpaper-Text"/>
        <w:widowControl/>
        <w:spacing w:after="0" w:line="360" w:lineRule="auto"/>
        <w:ind w:firstLine="851"/>
        <w:jc w:val="both"/>
        <w:rPr>
          <w:rFonts w:cs="Arial"/>
        </w:rPr>
      </w:pPr>
      <w:r w:rsidRPr="00741715">
        <w:rPr>
          <w:rFonts w:cs="Arial"/>
          <w:kern w:val="0"/>
          <w:sz w:val="24"/>
          <w:szCs w:val="24"/>
          <w:lang w:val="pt-BR" w:eastAsia="pt-BR"/>
        </w:rPr>
        <w:t>Paralelamente, a PNAES, recentemente consolidada pela Lei nº 14.914/2024, desempenha papel essencial na democratização do ensino superior público, ao buscar garantir a permanência e o êxito acadêmico de estudantes em situação de vulnerabilidade socioeconômica. Esta política visa não apenas reduzir desigualdades educacionais e sociais, mas também contribuir para a inclusão social por meio da educação.</w:t>
      </w:r>
    </w:p>
    <w:p w14:paraId="0DD5A2DC" w14:textId="77777777" w:rsidR="00741715" w:rsidRDefault="00741715">
      <w:pPr>
        <w:pStyle w:val="IDpaper-Text"/>
        <w:widowControl/>
        <w:spacing w:after="0" w:line="360" w:lineRule="auto"/>
        <w:ind w:firstLine="851"/>
        <w:jc w:val="both"/>
        <w:rPr>
          <w:rFonts w:cs="Arial"/>
          <w:kern w:val="0"/>
          <w:sz w:val="24"/>
          <w:szCs w:val="24"/>
          <w:lang w:val="pt-BR" w:eastAsia="pt-BR"/>
        </w:rPr>
      </w:pPr>
      <w:r w:rsidRPr="00741715">
        <w:rPr>
          <w:rFonts w:cs="Arial"/>
          <w:kern w:val="0"/>
          <w:sz w:val="24"/>
          <w:szCs w:val="24"/>
          <w:lang w:val="pt-BR" w:eastAsia="pt-BR"/>
        </w:rPr>
        <w:t>Embora compartilhem objetivos convergentes, as políticas públicas de assistência estudantil e de planejamento urbano ainda carecem de integração efetiva. O espaço urbano — suas infraestruturas, políticas de mobilidade, habitação, saúde e cultura — impacta diretamente nas condições de permanência e de sucesso acadêmico dos estudantes.</w:t>
      </w:r>
    </w:p>
    <w:p w14:paraId="57D59163" w14:textId="4C7F743A" w:rsidR="00741715" w:rsidRDefault="00741715">
      <w:pPr>
        <w:pStyle w:val="IDpaper-Text"/>
        <w:widowControl/>
        <w:spacing w:after="0" w:line="360" w:lineRule="auto"/>
        <w:ind w:firstLine="851"/>
        <w:jc w:val="both"/>
        <w:rPr>
          <w:rFonts w:cs="Arial"/>
          <w:kern w:val="0"/>
          <w:sz w:val="24"/>
          <w:szCs w:val="24"/>
          <w:lang w:val="pt-BR" w:eastAsia="pt-BR"/>
        </w:rPr>
      </w:pPr>
      <w:r w:rsidRPr="00741715">
        <w:rPr>
          <w:rFonts w:cs="Arial"/>
          <w:kern w:val="0"/>
          <w:sz w:val="24"/>
          <w:szCs w:val="24"/>
          <w:lang w:val="pt-BR" w:eastAsia="pt-BR"/>
        </w:rPr>
        <w:t xml:space="preserve">Este artigo busca responder à seguinte questão: de que maneira a política de assistência estudantil pode ser integrada ao planejamento urbano e à gestão das </w:t>
      </w:r>
      <w:r w:rsidRPr="00741715">
        <w:rPr>
          <w:rFonts w:cs="Arial"/>
          <w:kern w:val="0"/>
          <w:sz w:val="24"/>
          <w:szCs w:val="24"/>
          <w:lang w:val="pt-BR" w:eastAsia="pt-BR"/>
        </w:rPr>
        <w:lastRenderedPageBreak/>
        <w:t xml:space="preserve">cidades, de modo a contribuir para a efetivação do direito à cidade sustentável e à promoção da inclusão social? </w:t>
      </w:r>
    </w:p>
    <w:p w14:paraId="437E6018" w14:textId="0100A208" w:rsidR="00650AF6" w:rsidRPr="00EA3457" w:rsidRDefault="00650AF6" w:rsidP="004F67F4">
      <w:pPr>
        <w:pStyle w:val="IDpaper-Text"/>
        <w:widowControl/>
        <w:spacing w:after="0" w:line="360" w:lineRule="auto"/>
        <w:ind w:firstLine="851"/>
        <w:jc w:val="both"/>
        <w:rPr>
          <w:rFonts w:cs="Arial"/>
        </w:rPr>
      </w:pPr>
      <w:r w:rsidRPr="004F67F4">
        <w:rPr>
          <w:rFonts w:cs="Arial"/>
          <w:kern w:val="0"/>
          <w:sz w:val="24"/>
          <w:szCs w:val="24"/>
          <w:lang w:val="pt-BR" w:eastAsia="pt-BR"/>
        </w:rPr>
        <w:t>Nesse contexto, o presente estudo se insere no debate sobre o desenvolvimento regional sustentável, ao propor a integração entre políticas educacionais e urbanas como estratégia para reduzir desigualdades territoriais e fortalecer a justiça socioespacial. A análise da articulação entre o PNAES e o Direito à Cidade, portanto, permite compreender como a promoção da equidade educacional e territorial pode contribuir para cidades mais justas, inclusivas e ambientalmente equilibradas, alinhadas aos Objetivos de Desenvolvimento Sustentável (ODS 4 e 11) e às diretrizes de planejamento regional integrador.</w:t>
      </w:r>
    </w:p>
    <w:p w14:paraId="42527697" w14:textId="77777777" w:rsidR="00741715" w:rsidRDefault="00741715" w:rsidP="00741715">
      <w:pPr>
        <w:pStyle w:val="IDpaper-Text"/>
        <w:widowControl/>
        <w:spacing w:after="0" w:line="360" w:lineRule="auto"/>
        <w:ind w:firstLine="851"/>
        <w:jc w:val="both"/>
        <w:rPr>
          <w:rFonts w:cs="Arial"/>
          <w:kern w:val="0"/>
          <w:sz w:val="24"/>
          <w:szCs w:val="24"/>
          <w:lang w:val="pt-BR" w:eastAsia="pt-BR"/>
        </w:rPr>
      </w:pPr>
    </w:p>
    <w:p w14:paraId="04BF0F0A" w14:textId="00042012" w:rsidR="00741715" w:rsidRPr="004739E0" w:rsidRDefault="00741715" w:rsidP="00741715">
      <w:pPr>
        <w:pStyle w:val="IDpaper-Title"/>
        <w:widowControl/>
        <w:spacing w:line="276" w:lineRule="auto"/>
        <w:ind w:left="0"/>
        <w:rPr>
          <w:rFonts w:cs="Arial"/>
          <w:b w:val="0"/>
          <w:color w:val="FF0000"/>
          <w:sz w:val="18"/>
          <w:szCs w:val="18"/>
          <w:lang w:val="pt-BR"/>
        </w:rPr>
      </w:pPr>
      <w:r>
        <w:rPr>
          <w:rFonts w:cs="Arial"/>
          <w:bCs/>
          <w:szCs w:val="24"/>
          <w:lang w:val="pt-BR"/>
        </w:rPr>
        <w:t>2</w:t>
      </w:r>
      <w:r w:rsidRPr="00136A83">
        <w:rPr>
          <w:rFonts w:cs="Arial"/>
          <w:bCs/>
          <w:szCs w:val="24"/>
          <w:lang w:val="pt-BR"/>
        </w:rPr>
        <w:t xml:space="preserve"> </w:t>
      </w:r>
      <w:r>
        <w:rPr>
          <w:rFonts w:cs="Arial"/>
          <w:bCs/>
          <w:szCs w:val="24"/>
          <w:lang w:val="pt-BR"/>
        </w:rPr>
        <w:t>OBJETIVOS</w:t>
      </w:r>
    </w:p>
    <w:p w14:paraId="30B0A9B5" w14:textId="77777777" w:rsidR="00741715" w:rsidRPr="004739E0" w:rsidRDefault="00741715" w:rsidP="00741715">
      <w:pPr>
        <w:pStyle w:val="IDpaper-Text"/>
        <w:widowControl/>
        <w:spacing w:after="0" w:line="360" w:lineRule="auto"/>
        <w:jc w:val="both"/>
        <w:rPr>
          <w:rFonts w:cs="Arial"/>
          <w:kern w:val="0"/>
          <w:sz w:val="22"/>
          <w:szCs w:val="24"/>
          <w:lang w:val="pt-BR" w:eastAsia="pt-BR"/>
        </w:rPr>
      </w:pPr>
    </w:p>
    <w:p w14:paraId="2EC3A533" w14:textId="2D5729EF" w:rsidR="009A5779" w:rsidRDefault="00741715" w:rsidP="009A5779">
      <w:pPr>
        <w:pStyle w:val="IDpaper-Text"/>
        <w:widowControl/>
        <w:spacing w:after="0" w:line="360" w:lineRule="auto"/>
        <w:ind w:firstLine="851"/>
        <w:jc w:val="both"/>
        <w:rPr>
          <w:rFonts w:cs="Arial"/>
          <w:kern w:val="0"/>
          <w:sz w:val="24"/>
          <w:szCs w:val="24"/>
          <w:lang w:val="pt-BR" w:eastAsia="pt-BR"/>
        </w:rPr>
      </w:pPr>
      <w:r w:rsidRPr="00741715">
        <w:rPr>
          <w:rFonts w:cs="Arial"/>
          <w:kern w:val="0"/>
          <w:sz w:val="24"/>
          <w:szCs w:val="24"/>
          <w:lang w:val="pt-BR" w:eastAsia="pt-BR"/>
        </w:rPr>
        <w:t xml:space="preserve">O presente artigo tem como </w:t>
      </w:r>
      <w:r w:rsidRPr="004F67F4">
        <w:rPr>
          <w:rFonts w:cs="Arial"/>
          <w:kern w:val="0"/>
          <w:sz w:val="24"/>
          <w:szCs w:val="24"/>
          <w:lang w:val="pt-BR" w:eastAsia="pt-BR"/>
        </w:rPr>
        <w:t>objetivo geral</w:t>
      </w:r>
      <w:r w:rsidRPr="00741715">
        <w:rPr>
          <w:rFonts w:cs="Arial"/>
          <w:kern w:val="0"/>
          <w:sz w:val="24"/>
          <w:szCs w:val="24"/>
          <w:lang w:val="pt-BR" w:eastAsia="pt-BR"/>
        </w:rPr>
        <w:t xml:space="preserve"> analisar </w:t>
      </w:r>
      <w:r w:rsidR="009A5779" w:rsidRPr="00741715">
        <w:rPr>
          <w:rFonts w:cs="Arial"/>
          <w:kern w:val="0"/>
          <w:sz w:val="24"/>
          <w:szCs w:val="24"/>
          <w:lang w:val="pt-BR" w:eastAsia="pt-BR"/>
        </w:rPr>
        <w:t>os fundamentos jurídicos e normativos do direito à cidade e da assistência estudantil, identificar possíveis pontos de convergência entre essas esferas e discutir estratégias de articulação entre políticas educacionais e urbanas.</w:t>
      </w:r>
    </w:p>
    <w:p w14:paraId="4385D95B" w14:textId="77777777" w:rsidR="00741715" w:rsidRPr="00EA3457" w:rsidRDefault="00741715" w:rsidP="004F67F4">
      <w:pPr>
        <w:pStyle w:val="IDpaper-Text"/>
        <w:widowControl/>
        <w:spacing w:after="0" w:line="360" w:lineRule="auto"/>
        <w:ind w:firstLine="851"/>
        <w:jc w:val="both"/>
        <w:rPr>
          <w:rFonts w:cs="Arial"/>
        </w:rPr>
      </w:pPr>
      <w:r w:rsidRPr="00741715">
        <w:rPr>
          <w:rFonts w:cs="Arial"/>
          <w:kern w:val="0"/>
          <w:sz w:val="24"/>
          <w:szCs w:val="24"/>
          <w:lang w:val="pt-BR" w:eastAsia="pt-BR"/>
        </w:rPr>
        <w:t xml:space="preserve">Como </w:t>
      </w:r>
      <w:r w:rsidRPr="004F67F4">
        <w:rPr>
          <w:rFonts w:cs="Arial"/>
          <w:kern w:val="0"/>
          <w:sz w:val="24"/>
          <w:szCs w:val="24"/>
          <w:lang w:val="pt-BR" w:eastAsia="pt-BR"/>
        </w:rPr>
        <w:t>objetivos específicos</w:t>
      </w:r>
      <w:r w:rsidRPr="00741715">
        <w:rPr>
          <w:rFonts w:cs="Arial"/>
          <w:kern w:val="0"/>
          <w:sz w:val="24"/>
          <w:szCs w:val="24"/>
          <w:lang w:val="pt-BR" w:eastAsia="pt-BR"/>
        </w:rPr>
        <w:t>, busca-se:</w:t>
      </w:r>
    </w:p>
    <w:p w14:paraId="00F04D8E" w14:textId="77777777" w:rsidR="00741715" w:rsidRPr="00EA3457" w:rsidRDefault="00741715" w:rsidP="004F67F4">
      <w:pPr>
        <w:pStyle w:val="IDpaper-Text"/>
        <w:widowControl/>
        <w:numPr>
          <w:ilvl w:val="0"/>
          <w:numId w:val="47"/>
        </w:numPr>
        <w:spacing w:after="0" w:line="360" w:lineRule="auto"/>
        <w:ind w:left="1276" w:hanging="425"/>
        <w:jc w:val="both"/>
        <w:rPr>
          <w:rFonts w:cs="Arial"/>
        </w:rPr>
      </w:pPr>
      <w:r w:rsidRPr="00741715">
        <w:rPr>
          <w:rFonts w:cs="Arial"/>
          <w:kern w:val="0"/>
          <w:sz w:val="24"/>
          <w:szCs w:val="24"/>
          <w:lang w:val="pt-BR" w:eastAsia="pt-BR"/>
        </w:rPr>
        <w:t>Identificar os marcos legais e institucionais que sustentam o direito à cidade e a política de assistência estudantil;</w:t>
      </w:r>
    </w:p>
    <w:p w14:paraId="1DDBFDBB" w14:textId="77777777" w:rsidR="00741715" w:rsidRPr="00EA3457" w:rsidRDefault="00741715" w:rsidP="004F67F4">
      <w:pPr>
        <w:pStyle w:val="IDpaper-Text"/>
        <w:widowControl/>
        <w:numPr>
          <w:ilvl w:val="0"/>
          <w:numId w:val="47"/>
        </w:numPr>
        <w:spacing w:after="0" w:line="360" w:lineRule="auto"/>
        <w:ind w:left="1276" w:hanging="425"/>
        <w:jc w:val="both"/>
        <w:rPr>
          <w:rFonts w:cs="Arial"/>
        </w:rPr>
      </w:pPr>
      <w:r w:rsidRPr="00741715">
        <w:rPr>
          <w:rFonts w:cs="Arial"/>
          <w:kern w:val="0"/>
          <w:sz w:val="24"/>
          <w:szCs w:val="24"/>
          <w:lang w:val="pt-BR" w:eastAsia="pt-BR"/>
        </w:rPr>
        <w:t>Examinar as convergências conceituais e operacionais entre ambas as políticas, especialmente no tocante à promoção da equidade e à inclusão social;</w:t>
      </w:r>
    </w:p>
    <w:p w14:paraId="1BA1AACE" w14:textId="77777777" w:rsidR="00741715" w:rsidRPr="00EA3457" w:rsidRDefault="00741715" w:rsidP="004F67F4">
      <w:pPr>
        <w:pStyle w:val="IDpaper-Text"/>
        <w:widowControl/>
        <w:numPr>
          <w:ilvl w:val="0"/>
          <w:numId w:val="47"/>
        </w:numPr>
        <w:spacing w:after="0" w:line="360" w:lineRule="auto"/>
        <w:ind w:left="1276" w:hanging="425"/>
        <w:jc w:val="both"/>
        <w:rPr>
          <w:rFonts w:cs="Arial"/>
        </w:rPr>
      </w:pPr>
      <w:r w:rsidRPr="00741715">
        <w:rPr>
          <w:rFonts w:cs="Arial"/>
          <w:kern w:val="0"/>
          <w:sz w:val="24"/>
          <w:szCs w:val="24"/>
          <w:lang w:val="pt-BR" w:eastAsia="pt-BR"/>
        </w:rPr>
        <w:t>Discutir estratégias de articulação intersetorial entre políticas educacionais e urbanas, com vistas à construção de cidades sustentáveis, justas e inclusivas.</w:t>
      </w:r>
    </w:p>
    <w:p w14:paraId="70368085" w14:textId="77777777" w:rsidR="00741715" w:rsidRPr="004F67F4" w:rsidRDefault="00741715" w:rsidP="004F67F4">
      <w:pPr>
        <w:pStyle w:val="IDpaper-Text"/>
        <w:widowControl/>
        <w:spacing w:after="0" w:line="360" w:lineRule="auto"/>
        <w:ind w:firstLine="851"/>
        <w:jc w:val="both"/>
        <w:rPr>
          <w:rFonts w:cs="Arial"/>
        </w:rPr>
      </w:pPr>
    </w:p>
    <w:p w14:paraId="1E3BEAF1" w14:textId="5C8AB5ED" w:rsidR="00741715" w:rsidRPr="004739E0" w:rsidRDefault="00741715" w:rsidP="00741715">
      <w:pPr>
        <w:pStyle w:val="IDpaper-Title"/>
        <w:widowControl/>
        <w:spacing w:line="276" w:lineRule="auto"/>
        <w:ind w:left="0"/>
        <w:rPr>
          <w:rFonts w:cs="Arial"/>
          <w:b w:val="0"/>
          <w:color w:val="FF0000"/>
          <w:sz w:val="18"/>
          <w:szCs w:val="18"/>
          <w:lang w:val="pt-BR"/>
        </w:rPr>
      </w:pPr>
      <w:r>
        <w:rPr>
          <w:rFonts w:cs="Arial"/>
          <w:bCs/>
          <w:szCs w:val="24"/>
          <w:lang w:val="pt-BR"/>
        </w:rPr>
        <w:t>3</w:t>
      </w:r>
      <w:r w:rsidRPr="00136A83">
        <w:rPr>
          <w:rFonts w:cs="Arial"/>
          <w:bCs/>
          <w:szCs w:val="24"/>
          <w:lang w:val="pt-BR"/>
        </w:rPr>
        <w:t xml:space="preserve"> </w:t>
      </w:r>
      <w:r>
        <w:rPr>
          <w:rFonts w:cs="Arial"/>
          <w:bCs/>
          <w:szCs w:val="24"/>
          <w:lang w:val="pt-BR"/>
        </w:rPr>
        <w:t>METODOLOGIA</w:t>
      </w:r>
    </w:p>
    <w:p w14:paraId="7BB0EAED" w14:textId="77777777" w:rsidR="00741715" w:rsidRPr="004739E0" w:rsidRDefault="00741715" w:rsidP="00741715">
      <w:pPr>
        <w:pStyle w:val="IDpaper-Text"/>
        <w:widowControl/>
        <w:spacing w:after="0" w:line="360" w:lineRule="auto"/>
        <w:jc w:val="both"/>
        <w:rPr>
          <w:rFonts w:cs="Arial"/>
          <w:kern w:val="0"/>
          <w:sz w:val="22"/>
          <w:szCs w:val="24"/>
          <w:lang w:val="pt-BR" w:eastAsia="pt-BR"/>
        </w:rPr>
      </w:pPr>
    </w:p>
    <w:p w14:paraId="7A594F4B" w14:textId="77777777" w:rsidR="009A5779" w:rsidRPr="004F67F4" w:rsidRDefault="009A5779" w:rsidP="009A5779">
      <w:pPr>
        <w:pStyle w:val="IDpaper-Text"/>
        <w:widowControl/>
        <w:spacing w:after="0" w:line="360" w:lineRule="auto"/>
        <w:ind w:firstLine="851"/>
        <w:jc w:val="both"/>
        <w:rPr>
          <w:rFonts w:cs="Arial"/>
          <w:lang w:val="pt-BR"/>
        </w:rPr>
      </w:pPr>
      <w:r w:rsidRPr="00741715">
        <w:rPr>
          <w:rFonts w:cs="Arial"/>
          <w:kern w:val="0"/>
          <w:sz w:val="24"/>
          <w:szCs w:val="24"/>
          <w:lang w:val="pt-BR" w:eastAsia="pt-BR"/>
        </w:rPr>
        <w:t>O presente estudo adota uma abordagem qualitativa, exploratória e descritiva. Utiliza como método principal a análise documental e a revisão bibliográfica, com o objetivo de construir um quadro teórico-conceitual que subsidie futuras pesquisas e contribua para a formulação de políticas públicas mais integradas.</w:t>
      </w:r>
    </w:p>
    <w:p w14:paraId="4F43DB05" w14:textId="77777777" w:rsidR="009A5779" w:rsidRPr="004F67F4" w:rsidRDefault="009A5779" w:rsidP="009A5779">
      <w:pPr>
        <w:pStyle w:val="IDpaper-Text"/>
        <w:widowControl/>
        <w:spacing w:after="0" w:line="360" w:lineRule="auto"/>
        <w:ind w:firstLine="851"/>
        <w:jc w:val="both"/>
        <w:rPr>
          <w:rFonts w:cs="Arial"/>
          <w:lang w:val="pt-BR"/>
        </w:rPr>
      </w:pPr>
      <w:r w:rsidRPr="00741715">
        <w:rPr>
          <w:rFonts w:cs="Arial"/>
          <w:kern w:val="0"/>
          <w:sz w:val="24"/>
          <w:szCs w:val="24"/>
          <w:lang w:val="pt-BR" w:eastAsia="pt-BR"/>
        </w:rPr>
        <w:lastRenderedPageBreak/>
        <w:t xml:space="preserve">O </w:t>
      </w:r>
      <w:r w:rsidRPr="004F67F4">
        <w:rPr>
          <w:rFonts w:cs="Arial"/>
          <w:i/>
          <w:iCs/>
          <w:kern w:val="0"/>
          <w:sz w:val="24"/>
          <w:szCs w:val="24"/>
          <w:lang w:val="pt-BR" w:eastAsia="pt-BR"/>
        </w:rPr>
        <w:t>corpus</w:t>
      </w:r>
      <w:r w:rsidRPr="00741715">
        <w:rPr>
          <w:rFonts w:cs="Arial"/>
          <w:kern w:val="0"/>
          <w:sz w:val="24"/>
          <w:szCs w:val="24"/>
          <w:lang w:val="pt-BR" w:eastAsia="pt-BR"/>
        </w:rPr>
        <w:t xml:space="preserve"> documental inclui a análise de marcos legais e normativos relevantes e a seleção da literatura acadêmica buscou contemplar autores referência nos campos do direito à cidade, do urbanismo sustentável, e das políticas de assistência estudantil e educação superior,</w:t>
      </w:r>
    </w:p>
    <w:p w14:paraId="79362282" w14:textId="699C1314" w:rsidR="009A5779" w:rsidRDefault="009A5779" w:rsidP="009A5779">
      <w:pPr>
        <w:pStyle w:val="IDpaper-Text"/>
        <w:widowControl/>
        <w:spacing w:after="0" w:line="360" w:lineRule="auto"/>
        <w:ind w:firstLine="851"/>
        <w:jc w:val="both"/>
        <w:rPr>
          <w:rFonts w:cs="Arial"/>
          <w:kern w:val="0"/>
          <w:sz w:val="24"/>
          <w:szCs w:val="24"/>
          <w:lang w:val="pt-BR" w:eastAsia="pt-BR"/>
        </w:rPr>
      </w:pPr>
      <w:r w:rsidRPr="009F15F8">
        <w:rPr>
          <w:rFonts w:cs="Arial"/>
          <w:kern w:val="0"/>
          <w:sz w:val="24"/>
          <w:szCs w:val="24"/>
          <w:lang w:val="pt-BR" w:eastAsia="pt-BR"/>
        </w:rPr>
        <w:t>A análise do material foi conduzida por meio de uma abordagem analítica e interpretativa, com foco na identificação de conceitos-chave, convergências e lacunas entre as políticas de assistência estudantil e o campo do planejamento urbano</w:t>
      </w:r>
      <w:r w:rsidRPr="00741715">
        <w:rPr>
          <w:rFonts w:cs="Arial"/>
          <w:kern w:val="0"/>
          <w:sz w:val="24"/>
          <w:szCs w:val="24"/>
          <w:lang w:val="pt-BR" w:eastAsia="pt-BR"/>
        </w:rPr>
        <w:t>, buscando compreender de que forma as condições territoriais e urbanas influenciam a permanência e o êxito acadêmico dos estudantes em situação de vulnerabilidade.</w:t>
      </w:r>
      <w:r w:rsidRPr="009F15F8">
        <w:rPr>
          <w:rFonts w:cs="Arial"/>
          <w:kern w:val="0"/>
          <w:sz w:val="24"/>
          <w:szCs w:val="24"/>
          <w:lang w:val="pt-BR" w:eastAsia="pt-BR"/>
        </w:rPr>
        <w:t xml:space="preserve"> Esta abordagem visa não apenas sistematizar o estado atual da questão, mas também propor caminhos para uma integração mais efetiva entre essas esferas. </w:t>
      </w:r>
    </w:p>
    <w:p w14:paraId="4C175E8D" w14:textId="77777777" w:rsidR="00741715" w:rsidRPr="00136A83" w:rsidRDefault="00741715" w:rsidP="00741715">
      <w:pPr>
        <w:pStyle w:val="IDpaper-Text"/>
        <w:widowControl/>
        <w:spacing w:after="0" w:line="360" w:lineRule="auto"/>
        <w:ind w:firstLine="851"/>
        <w:jc w:val="both"/>
        <w:rPr>
          <w:rFonts w:cs="Arial"/>
          <w:kern w:val="0"/>
          <w:sz w:val="24"/>
          <w:szCs w:val="24"/>
          <w:lang w:val="pt-BR" w:eastAsia="pt-BR"/>
        </w:rPr>
      </w:pPr>
    </w:p>
    <w:p w14:paraId="394F349C" w14:textId="4D6D8F16" w:rsidR="001C0E88" w:rsidRPr="004739E0" w:rsidRDefault="001C0E88" w:rsidP="001C0E88">
      <w:pPr>
        <w:pStyle w:val="IDpaper-Title"/>
        <w:widowControl/>
        <w:spacing w:line="276" w:lineRule="auto"/>
        <w:ind w:left="0"/>
        <w:rPr>
          <w:rFonts w:cs="Arial"/>
          <w:b w:val="0"/>
          <w:color w:val="FF0000"/>
          <w:sz w:val="18"/>
          <w:szCs w:val="18"/>
          <w:lang w:val="pt-BR"/>
        </w:rPr>
      </w:pPr>
      <w:r>
        <w:rPr>
          <w:rFonts w:cs="Arial"/>
          <w:bCs/>
          <w:szCs w:val="24"/>
          <w:lang w:val="pt-BR"/>
        </w:rPr>
        <w:t>4</w:t>
      </w:r>
      <w:r w:rsidRPr="00136A83">
        <w:rPr>
          <w:rFonts w:cs="Arial"/>
          <w:bCs/>
          <w:szCs w:val="24"/>
          <w:lang w:val="pt-BR"/>
        </w:rPr>
        <w:t xml:space="preserve"> </w:t>
      </w:r>
      <w:r>
        <w:rPr>
          <w:rFonts w:cs="Arial"/>
          <w:bCs/>
          <w:szCs w:val="24"/>
          <w:lang w:val="pt-BR"/>
        </w:rPr>
        <w:t>RESULTADOS E DISCUSSÃO</w:t>
      </w:r>
    </w:p>
    <w:p w14:paraId="2EA20F60" w14:textId="77777777" w:rsidR="001C0E88" w:rsidRPr="004739E0" w:rsidRDefault="001C0E88" w:rsidP="001C0E88">
      <w:pPr>
        <w:pStyle w:val="IDpaper-Text"/>
        <w:widowControl/>
        <w:spacing w:after="0" w:line="360" w:lineRule="auto"/>
        <w:jc w:val="both"/>
        <w:rPr>
          <w:rFonts w:cs="Arial"/>
          <w:kern w:val="0"/>
          <w:sz w:val="22"/>
          <w:szCs w:val="24"/>
          <w:lang w:val="pt-BR" w:eastAsia="pt-BR"/>
        </w:rPr>
      </w:pPr>
    </w:p>
    <w:p w14:paraId="5635C13F" w14:textId="2F56776A" w:rsidR="001A27E8" w:rsidRPr="00C67A4C" w:rsidRDefault="001A27E8" w:rsidP="001A27E8">
      <w:pPr>
        <w:pStyle w:val="PargrafodaLista"/>
        <w:spacing w:after="0"/>
        <w:ind w:left="0"/>
        <w:jc w:val="both"/>
        <w:rPr>
          <w:rFonts w:ascii="Arial" w:hAnsi="Arial" w:cs="Arial"/>
          <w:sz w:val="24"/>
          <w:szCs w:val="24"/>
        </w:rPr>
      </w:pPr>
      <w:r>
        <w:rPr>
          <w:rFonts w:ascii="Arial" w:hAnsi="Arial" w:cs="Arial"/>
          <w:sz w:val="24"/>
          <w:szCs w:val="24"/>
        </w:rPr>
        <w:t>4</w:t>
      </w:r>
      <w:r w:rsidRPr="00C67A4C">
        <w:rPr>
          <w:rFonts w:ascii="Arial" w:hAnsi="Arial" w:cs="Arial"/>
          <w:sz w:val="24"/>
          <w:szCs w:val="24"/>
        </w:rPr>
        <w:t>.</w:t>
      </w:r>
      <w:r>
        <w:rPr>
          <w:rFonts w:ascii="Arial" w:hAnsi="Arial" w:cs="Arial"/>
          <w:sz w:val="24"/>
          <w:szCs w:val="24"/>
        </w:rPr>
        <w:t>1</w:t>
      </w:r>
      <w:r w:rsidRPr="00C67A4C">
        <w:rPr>
          <w:rFonts w:ascii="Arial" w:hAnsi="Arial" w:cs="Arial"/>
          <w:sz w:val="24"/>
          <w:szCs w:val="24"/>
        </w:rPr>
        <w:t xml:space="preserve"> </w:t>
      </w:r>
      <w:r>
        <w:rPr>
          <w:rFonts w:ascii="Arial" w:hAnsi="Arial" w:cs="Arial"/>
          <w:sz w:val="24"/>
          <w:szCs w:val="24"/>
        </w:rPr>
        <w:t>O DIREITO À CIDADE: FUNDAMENTOS JURÍDICOS-CONSTITUCIONAIS</w:t>
      </w:r>
    </w:p>
    <w:p w14:paraId="748DEF36" w14:textId="77777777" w:rsidR="001A27E8" w:rsidRDefault="001A27E8" w:rsidP="001C0E88">
      <w:pPr>
        <w:pStyle w:val="IDpaper-Text"/>
        <w:widowControl/>
        <w:spacing w:after="0" w:line="360" w:lineRule="auto"/>
        <w:ind w:firstLine="851"/>
        <w:jc w:val="both"/>
        <w:rPr>
          <w:rFonts w:cs="Arial"/>
          <w:kern w:val="0"/>
          <w:sz w:val="24"/>
          <w:szCs w:val="24"/>
          <w:lang w:val="pt-BR" w:eastAsia="pt-BR"/>
        </w:rPr>
      </w:pPr>
    </w:p>
    <w:p w14:paraId="17387B7F" w14:textId="418638FA"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O conceito de direito à cidade, formulado por Henri Lefebvre</w:t>
      </w:r>
      <w:r w:rsidR="00B5755E">
        <w:rPr>
          <w:rFonts w:cs="Arial"/>
          <w:kern w:val="0"/>
          <w:sz w:val="24"/>
          <w:szCs w:val="24"/>
          <w:lang w:val="pt-BR" w:eastAsia="pt-BR"/>
        </w:rPr>
        <w:t xml:space="preserve"> (2009)</w:t>
      </w:r>
      <w:r w:rsidRPr="002E4F09">
        <w:rPr>
          <w:rFonts w:cs="Arial"/>
          <w:kern w:val="0"/>
          <w:sz w:val="24"/>
          <w:szCs w:val="24"/>
          <w:lang w:val="pt-BR" w:eastAsia="pt-BR"/>
        </w:rPr>
        <w:t xml:space="preserve">, surgiu como uma forma de contestar a lógica capitalista que subordina a vida urbana ao valor de troca e ao consumo. No processo de formação dos centros urbanos houve transformações que trouxeram graves problemas sociais, como desigualdades, deficiência na prestação de serviços públicos e inseguranças ligadas especificamente às questões urbanas. </w:t>
      </w:r>
    </w:p>
    <w:p w14:paraId="6CE66A9C"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Segundo Lefebvre (2009) o acesso aos centros da cidade é uma questão de poder e privilégio. Ele denuncia a exclusão das classes populares desses espaços, muitas vezes deslocadas para as periferias. A luta pelo direito à cidade busca, portanto, construir cidades que priorizem a vida cotidiana, a dignidade e a participação social.</w:t>
      </w:r>
    </w:p>
    <w:p w14:paraId="5E94DAB5"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No ordenamento jurídico brasileiro, o conceito de direito à cidade foi incorporado por meio do Estatuto da Cidade e encontra respaldo na Constituição Federal de 1988.</w:t>
      </w:r>
    </w:p>
    <w:p w14:paraId="0F972B4C"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A Carta Magna, em seu art. 21, XX, dispõe que compete à União “instituir diretrizes para o desenvolvimento urbano, inclusive habitação, saneamento básico e transportes urbanos”, enquanto o seu art. 182 estabelece que “a política de desenvolvimento urbano, executada pelo Poder Público municipal, conforme diretrizes </w:t>
      </w:r>
      <w:r w:rsidRPr="002E4F09">
        <w:rPr>
          <w:rFonts w:cs="Arial"/>
          <w:kern w:val="0"/>
          <w:sz w:val="24"/>
          <w:szCs w:val="24"/>
          <w:lang w:val="pt-BR" w:eastAsia="pt-BR"/>
        </w:rPr>
        <w:lastRenderedPageBreak/>
        <w:t xml:space="preserve">gerais fixadas em lei, tem por objetivo ordenar o pleno desenvolvimento das funções sociais da cidade e garantir o bem-estar de seus habitantes.” </w:t>
      </w:r>
    </w:p>
    <w:p w14:paraId="3564B869"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Para Silva (2003), tais dispositivos constitucionais fundamentam a política urbana, nas suas duas perspectivas: tanto a que tem como objeto o desenvolvimento adequado do sistema de cidades em nível nacional ou macrorregional, de competência federal, como o desenvolvimento urbano no quadro do território municipal de competência local.</w:t>
      </w:r>
    </w:p>
    <w:p w14:paraId="740357A7"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Nesse contexto, o Estatuto da Cidade, instituído pela Lei 10.257/2001, estabelece diretrizes gerais da política urbana, que tem por objetivo ordenar o pleno desenvolvimento das funções sociais da cidade e da propriedade urbana, em prol do bem coletivo, da segurança e do bem-estar dos cidadãos, bem como do equilíbrio ambiental (BRASIL, 2001).</w:t>
      </w:r>
    </w:p>
    <w:p w14:paraId="3F4694C2"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O equilíbrio ambiental representa, de fato, a diferença entre o direito antes e após a Constituição Federal de 1988. O uso do espaço urbano e da propriedade está condicionado ao meio ambiente cultural, ao meio ambiente do trabalho, ao meio ambiente natural e ao meio ambiente artificial, por força do Estatuto da Cidade (FIORILLO, 2009). </w:t>
      </w:r>
    </w:p>
    <w:p w14:paraId="11C5B052"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De acordo com </w:t>
      </w:r>
      <w:proofErr w:type="spellStart"/>
      <w:r w:rsidRPr="002E4F09">
        <w:rPr>
          <w:rFonts w:cs="Arial"/>
          <w:kern w:val="0"/>
          <w:sz w:val="24"/>
          <w:szCs w:val="24"/>
          <w:lang w:val="pt-BR" w:eastAsia="pt-BR"/>
        </w:rPr>
        <w:t>Fiorillo</w:t>
      </w:r>
      <w:proofErr w:type="spellEnd"/>
      <w:r w:rsidRPr="002E4F09">
        <w:rPr>
          <w:rFonts w:cs="Arial"/>
          <w:kern w:val="0"/>
          <w:sz w:val="24"/>
          <w:szCs w:val="24"/>
          <w:lang w:val="pt-BR" w:eastAsia="pt-BR"/>
        </w:rPr>
        <w:t xml:space="preserve"> (2009), na execução da política urbana, o meio ambiente artificial (espaço urbano) recebe uma tutela mediata, nos termos no art. 225, da CF/88, que contempla uma proteção geral ao meio ambiente como tutela da vida em todas as suas formas, centrada na dignidade da pessoa humana e, uma tutela imediata, nos termos do art. 182 e 183, relacionando-se diretamente às cidades.</w:t>
      </w:r>
    </w:p>
    <w:p w14:paraId="6809E518"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Para Ahmed (2011), a partir da Constituição de 1988 e da edição do Estatuto da Cidade, a cidade é erigida à categoria de bem ambiental, assumindo a natureza jurídica de bem de uso comum do povo. Portanto, a cidade passa a ser interpretada à luz dos fundamentos constitucionais da dignidade da pessoa humana vinculando-se a execução da política urbana ao conceito de sadia qualidade de vida. </w:t>
      </w:r>
    </w:p>
    <w:p w14:paraId="5EA6C978"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Para Lefebvre (2009), o “direito à cidade” consiste no direito de todos os habitantes, inclusive os marginalizados, de participar ativamente da produção e transformação do espaço urbano. Esse direito vai além do acesso à cidade e inclui a possibilidade de reinventá-la e usufruir de seus benefícios.</w:t>
      </w:r>
    </w:p>
    <w:p w14:paraId="3F8BF52F" w14:textId="77777777" w:rsidR="002E4F09" w:rsidRPr="00EA3457" w:rsidRDefault="002E4F09" w:rsidP="004F67F4">
      <w:pPr>
        <w:pStyle w:val="IDpaper-Text"/>
        <w:widowControl/>
        <w:spacing w:after="0" w:line="360" w:lineRule="auto"/>
        <w:ind w:firstLine="851"/>
        <w:jc w:val="both"/>
        <w:rPr>
          <w:rFonts w:cs="Arial"/>
        </w:rPr>
      </w:pPr>
      <w:proofErr w:type="spellStart"/>
      <w:r w:rsidRPr="002E4F09">
        <w:rPr>
          <w:rFonts w:cs="Arial"/>
          <w:kern w:val="0"/>
          <w:sz w:val="24"/>
          <w:szCs w:val="24"/>
          <w:lang w:val="pt-BR" w:eastAsia="pt-BR"/>
        </w:rPr>
        <w:t>Cavallazzi</w:t>
      </w:r>
      <w:proofErr w:type="spellEnd"/>
      <w:r w:rsidRPr="002E4F09">
        <w:rPr>
          <w:rFonts w:cs="Arial"/>
          <w:kern w:val="0"/>
          <w:sz w:val="24"/>
          <w:szCs w:val="24"/>
          <w:lang w:val="pt-BR" w:eastAsia="pt-BR"/>
        </w:rPr>
        <w:t xml:space="preserve"> (2010) considera “o direito à cidade, expressão do direito à dignidade da pessoa humana, o núcleo de um sistema composto por um feixe de </w:t>
      </w:r>
      <w:r w:rsidRPr="002E4F09">
        <w:rPr>
          <w:rFonts w:cs="Arial"/>
          <w:kern w:val="0"/>
          <w:sz w:val="24"/>
          <w:szCs w:val="24"/>
          <w:lang w:val="pt-BR" w:eastAsia="pt-BR"/>
        </w:rPr>
        <w:lastRenderedPageBreak/>
        <w:t>direitos que inclui o direito à moradia – implícita a regularização fundiária –, à educação, ao trabalho, à saúde, aos serviços públicos – implícito o saneamento –, ao lazer, à segurança, ao transporte público, à preservação do patrimônio cultural, histórico e paisagístico, ao meio ambiente natural e construído equilibrado – implícita a garantia do direito a cidades sustentáveis como direito humano na categoria dos interesses difusos”.</w:t>
      </w:r>
    </w:p>
    <w:p w14:paraId="7749D7D3"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Para </w:t>
      </w:r>
      <w:proofErr w:type="spellStart"/>
      <w:r w:rsidRPr="002E4F09">
        <w:rPr>
          <w:rFonts w:cs="Arial"/>
          <w:kern w:val="0"/>
          <w:sz w:val="24"/>
          <w:szCs w:val="24"/>
          <w:lang w:val="pt-BR" w:eastAsia="pt-BR"/>
        </w:rPr>
        <w:t>Fiorillo</w:t>
      </w:r>
      <w:proofErr w:type="spellEnd"/>
      <w:r w:rsidRPr="002E4F09">
        <w:rPr>
          <w:rFonts w:cs="Arial"/>
          <w:kern w:val="0"/>
          <w:sz w:val="24"/>
          <w:szCs w:val="24"/>
          <w:lang w:val="pt-BR" w:eastAsia="pt-BR"/>
        </w:rPr>
        <w:t xml:space="preserve"> (2009), a cidade tanto é concebida constitucionalmente como um bem ambiental, balizada no plano da tutela jurídica do meio ambiente artificial (espaço urbano), quanto particularmente pelo Estatuto da Cidade. Consequentemente, a execução da política urbana será executada pelo Poder Público municipal, observando obrigatoriamente as normas constitucionais balizadoras da tutela jurídica do meio ambiente artificial.</w:t>
      </w:r>
    </w:p>
    <w:p w14:paraId="66E9ABFE"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De fato, o enfoque do direito ao meio ambiente artificial é a cidade, cabendo ao Poder Público promover o acesso ao laser, à infraestrutura urbana, à moradia, ao saneamento básico, aos serviços públicos e ao transporte. É nesse contexto que a Carta Magna estabelece o direito às cidades sustentáveis, o que deve ser feito por meio de uma política urbana apropriada e participativa, nos moldes do que determina os </w:t>
      </w:r>
      <w:proofErr w:type="spellStart"/>
      <w:r w:rsidRPr="002E4F09">
        <w:rPr>
          <w:rFonts w:cs="Arial"/>
          <w:kern w:val="0"/>
          <w:sz w:val="24"/>
          <w:szCs w:val="24"/>
          <w:lang w:val="pt-BR" w:eastAsia="pt-BR"/>
        </w:rPr>
        <w:t>arts</w:t>
      </w:r>
      <w:proofErr w:type="spellEnd"/>
      <w:r w:rsidRPr="002E4F09">
        <w:rPr>
          <w:rFonts w:cs="Arial"/>
          <w:kern w:val="0"/>
          <w:sz w:val="24"/>
          <w:szCs w:val="24"/>
          <w:lang w:val="pt-BR" w:eastAsia="pt-BR"/>
        </w:rPr>
        <w:t>. 182 e 183, o Estatuto da Cidade (Lei nº 10.257/01) e Estatuto da Metrópole (Lei 13.089/2015) (FARIAS, 2021)</w:t>
      </w:r>
    </w:p>
    <w:p w14:paraId="2D78104F" w14:textId="632513B9"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Dessa forma, de acordo com o Estatuto da Cidade, o direito a cidades sustentáveis contempla o direito à terra urbana, à moradia, ao saneamento ambiental, à </w:t>
      </w:r>
      <w:r w:rsidR="00567737" w:rsidRPr="002E4F09">
        <w:rPr>
          <w:rFonts w:cs="Arial"/>
          <w:kern w:val="0"/>
          <w:sz w:val="24"/>
          <w:szCs w:val="24"/>
          <w:lang w:val="pt-BR" w:eastAsia="pt-BR"/>
        </w:rPr>
        <w:t>infraestrutura</w:t>
      </w:r>
      <w:r w:rsidRPr="002E4F09">
        <w:rPr>
          <w:rFonts w:cs="Arial"/>
          <w:kern w:val="0"/>
          <w:sz w:val="24"/>
          <w:szCs w:val="24"/>
          <w:lang w:val="pt-BR" w:eastAsia="pt-BR"/>
        </w:rPr>
        <w:t xml:space="preserve"> urbana, ao transporte e aos serviços públicos, ao trabalho e ao lazer, para as presentes e futuras gerações. </w:t>
      </w:r>
    </w:p>
    <w:p w14:paraId="721662CA"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Associados aos serviços públicos, o direito ao serviço público vinculado à educação, se refere ao direito do habitante da cidade não só de ter acesso à informação, bem como de se desenvolver plenamente nos termos do art. 205 da CF/88, visando seu preparo para o exercício da cidadania bem como sua qualificação para o trabalho (FIORILLO, 2009).</w:t>
      </w:r>
    </w:p>
    <w:p w14:paraId="5FD8D325"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Nesse contexto, a cidade compreende não apenas a sede do Município, delimitada por um perímetro fixado por lei, ou aglomerações de edificações, mas, principalmente, o espaço onde se reproduzem as relações sociais, econômicas, políticas, culturais de uma comunidade, e onde se potencializa o pleno exercício do direito de cidadania. (JARDIM, 2010)</w:t>
      </w:r>
    </w:p>
    <w:p w14:paraId="1C2924B6"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lastRenderedPageBreak/>
        <w:t>Assim, não é possível desvincular a execução da política urbana do conceito de direito à sadia qualidade de vida, assim como do direito à satisfação dos valores da dignidade da pessoa humana e da própria vida, tudo dentro da ordem econômica imposta pela Constituição Federal (FIORILLO, 2009).</w:t>
      </w:r>
    </w:p>
    <w:p w14:paraId="71720DAA"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 xml:space="preserve">O texto de </w:t>
      </w:r>
      <w:proofErr w:type="spellStart"/>
      <w:r w:rsidRPr="002E4F09">
        <w:rPr>
          <w:rFonts w:cs="Arial"/>
          <w:kern w:val="0"/>
          <w:sz w:val="24"/>
          <w:szCs w:val="24"/>
          <w:lang w:val="pt-BR" w:eastAsia="pt-BR"/>
        </w:rPr>
        <w:t>Fiorillo</w:t>
      </w:r>
      <w:proofErr w:type="spellEnd"/>
      <w:r w:rsidRPr="002E4F09">
        <w:rPr>
          <w:rFonts w:cs="Arial"/>
          <w:kern w:val="0"/>
          <w:sz w:val="24"/>
          <w:szCs w:val="24"/>
          <w:lang w:val="pt-BR" w:eastAsia="pt-BR"/>
        </w:rPr>
        <w:t xml:space="preserve"> (2009) afirma que a função social da cidade só se realiza com a observância das normas constitucionais de direito ambiental e dos direitos fundamentais previstos nos </w:t>
      </w:r>
      <w:proofErr w:type="spellStart"/>
      <w:r w:rsidRPr="002E4F09">
        <w:rPr>
          <w:rFonts w:cs="Arial"/>
          <w:kern w:val="0"/>
          <w:sz w:val="24"/>
          <w:szCs w:val="24"/>
          <w:lang w:val="pt-BR" w:eastAsia="pt-BR"/>
        </w:rPr>
        <w:t>arts</w:t>
      </w:r>
      <w:proofErr w:type="spellEnd"/>
      <w:r w:rsidRPr="002E4F09">
        <w:rPr>
          <w:rFonts w:cs="Arial"/>
          <w:kern w:val="0"/>
          <w:sz w:val="24"/>
          <w:szCs w:val="24"/>
          <w:lang w:val="pt-BR" w:eastAsia="pt-BR"/>
        </w:rPr>
        <w:t>. 5º, 6º e 225 da Constituição Federal, detalhados pelo Estatuto da Cidade. Isso implica garantir aos habitantes uma vida com qualidade, assegurando o exercício pleno de direitos como educação, saúde, moradia, trabalho e um meio ambiente equilibrado.</w:t>
      </w:r>
    </w:p>
    <w:p w14:paraId="3F8331C3"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A Constituição, ao estabelecer como direitos sociais a educação, a moradia, o transporte e a cultura e ao definir a função social da propriedade e da cidade, cria o fundamento jurídico para políticas públicas que promovam o acesso equitativo à cidade.</w:t>
      </w:r>
    </w:p>
    <w:p w14:paraId="2718DB2F" w14:textId="77777777"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A cidade sustentável, nessa perspectiva, significa a concreção da justiça distributiva, o equilíbrio das relações, de todos os atores sociais. Implica desenvolvimento econômico compatível com a preservação ambiental e a qualidade de vida dos habitantes; em uma palavra, equidade. (CAVALLAZZI, 2010)</w:t>
      </w:r>
    </w:p>
    <w:p w14:paraId="7F9D6FA4" w14:textId="20729420" w:rsidR="002E4F09" w:rsidRPr="00EA3457" w:rsidRDefault="002E4F09" w:rsidP="004F67F4">
      <w:pPr>
        <w:pStyle w:val="IDpaper-Text"/>
        <w:widowControl/>
        <w:spacing w:after="0" w:line="360" w:lineRule="auto"/>
        <w:ind w:firstLine="851"/>
        <w:jc w:val="both"/>
        <w:rPr>
          <w:rFonts w:cs="Arial"/>
        </w:rPr>
      </w:pPr>
      <w:r w:rsidRPr="002E4F09">
        <w:rPr>
          <w:rFonts w:cs="Arial"/>
          <w:kern w:val="0"/>
          <w:sz w:val="24"/>
          <w:szCs w:val="24"/>
          <w:lang w:val="pt-BR" w:eastAsia="pt-BR"/>
        </w:rPr>
        <w:t>O planejamento urbano, a partir do Plano Diretor Municipal, torna-se o principal instrumento para a efetivação do direito à cidade. No entanto, a conexão entre essas políticas e o campo da educação</w:t>
      </w:r>
      <w:r w:rsidR="00567737">
        <w:rPr>
          <w:rFonts w:cs="Arial"/>
          <w:kern w:val="0"/>
          <w:sz w:val="24"/>
          <w:szCs w:val="24"/>
          <w:lang w:val="pt-BR" w:eastAsia="pt-BR"/>
        </w:rPr>
        <w:t xml:space="preserve"> </w:t>
      </w:r>
      <w:r w:rsidRPr="002E4F09">
        <w:rPr>
          <w:rFonts w:cs="Arial"/>
          <w:kern w:val="0"/>
          <w:sz w:val="24"/>
          <w:szCs w:val="24"/>
          <w:lang w:val="pt-BR" w:eastAsia="pt-BR"/>
        </w:rPr>
        <w:t>— em especial a assistência estudantil — ainda é incipiente.</w:t>
      </w:r>
    </w:p>
    <w:p w14:paraId="55D0D10D" w14:textId="77777777" w:rsidR="002E4F09" w:rsidRDefault="002E4F09" w:rsidP="002E4F09">
      <w:pPr>
        <w:pStyle w:val="IDpaper-Text"/>
        <w:widowControl/>
        <w:spacing w:after="0" w:line="360" w:lineRule="auto"/>
        <w:ind w:firstLine="851"/>
        <w:jc w:val="both"/>
        <w:rPr>
          <w:rFonts w:cs="Arial"/>
          <w:kern w:val="0"/>
          <w:sz w:val="24"/>
          <w:szCs w:val="24"/>
          <w:lang w:val="pt-BR" w:eastAsia="pt-BR"/>
        </w:rPr>
      </w:pPr>
      <w:r w:rsidRPr="004F67F4">
        <w:rPr>
          <w:rFonts w:cs="Arial"/>
          <w:kern w:val="0"/>
          <w:sz w:val="24"/>
          <w:szCs w:val="24"/>
          <w:lang w:val="pt-BR" w:eastAsia="pt-BR"/>
        </w:rPr>
        <w:t>A partir desse referencial jurídico do Direito à Cidade, estruturado pelo Estatuto da Cidade e reforçado por agendas internacionais como a Nova Agenda Urbana da ONU-Habitat (2016), é possível conceber uma abordagem integrada das políticas educacionais e urbanas. Tal perspectiva será utilizada, nas seções seguintes, como lente analítica para examinar como a Política de Assistência Estudantil pode ser incorporada ao planejamento urbano e às políticas territoriais, com vistas à construção de cidades mais inclusivas e sustentáveis.</w:t>
      </w:r>
    </w:p>
    <w:p w14:paraId="70F0CC87" w14:textId="77777777" w:rsidR="002E4F09" w:rsidRDefault="002E4F09" w:rsidP="002E4F09">
      <w:pPr>
        <w:pStyle w:val="IDpaper-Text"/>
        <w:widowControl/>
        <w:spacing w:after="0" w:line="360" w:lineRule="auto"/>
        <w:ind w:firstLine="851"/>
        <w:jc w:val="both"/>
        <w:rPr>
          <w:rFonts w:cs="Arial"/>
          <w:kern w:val="0"/>
          <w:sz w:val="24"/>
          <w:szCs w:val="24"/>
          <w:lang w:val="pt-BR" w:eastAsia="pt-BR"/>
        </w:rPr>
      </w:pPr>
    </w:p>
    <w:p w14:paraId="58DAC7A3" w14:textId="057142AB" w:rsidR="001A27E8" w:rsidRPr="00C67A4C" w:rsidRDefault="001A27E8" w:rsidP="001A27E8">
      <w:pPr>
        <w:pStyle w:val="PargrafodaLista"/>
        <w:spacing w:after="0"/>
        <w:ind w:left="0"/>
        <w:jc w:val="both"/>
        <w:rPr>
          <w:rFonts w:ascii="Arial" w:hAnsi="Arial" w:cs="Arial"/>
          <w:sz w:val="24"/>
          <w:szCs w:val="24"/>
        </w:rPr>
      </w:pPr>
      <w:r>
        <w:rPr>
          <w:rFonts w:ascii="Arial" w:hAnsi="Arial" w:cs="Arial"/>
          <w:sz w:val="24"/>
          <w:szCs w:val="24"/>
        </w:rPr>
        <w:t>4</w:t>
      </w:r>
      <w:r w:rsidRPr="00C67A4C">
        <w:rPr>
          <w:rFonts w:ascii="Arial" w:hAnsi="Arial" w:cs="Arial"/>
          <w:sz w:val="24"/>
          <w:szCs w:val="24"/>
        </w:rPr>
        <w:t>.</w:t>
      </w:r>
      <w:r>
        <w:rPr>
          <w:rFonts w:ascii="Arial" w:hAnsi="Arial" w:cs="Arial"/>
          <w:sz w:val="24"/>
          <w:szCs w:val="24"/>
        </w:rPr>
        <w:t>2</w:t>
      </w:r>
      <w:r w:rsidRPr="00C67A4C">
        <w:rPr>
          <w:rFonts w:ascii="Arial" w:hAnsi="Arial" w:cs="Arial"/>
          <w:sz w:val="24"/>
          <w:szCs w:val="24"/>
        </w:rPr>
        <w:t xml:space="preserve"> </w:t>
      </w:r>
      <w:r>
        <w:rPr>
          <w:rFonts w:ascii="Arial" w:hAnsi="Arial" w:cs="Arial"/>
          <w:sz w:val="24"/>
          <w:szCs w:val="24"/>
        </w:rPr>
        <w:t>ASSISTÊNCIA ESTUDANTIL COMO DIREITO E POLÍTICA</w:t>
      </w:r>
    </w:p>
    <w:p w14:paraId="21294C4B" w14:textId="77777777" w:rsidR="002E4F09" w:rsidRDefault="002E4F09" w:rsidP="002E4F09">
      <w:pPr>
        <w:pStyle w:val="IDpaper-Text"/>
        <w:widowControl/>
        <w:spacing w:after="0" w:line="360" w:lineRule="auto"/>
        <w:ind w:firstLine="851"/>
        <w:jc w:val="both"/>
        <w:rPr>
          <w:rFonts w:cs="Arial"/>
          <w:kern w:val="0"/>
          <w:sz w:val="24"/>
          <w:szCs w:val="24"/>
          <w:lang w:val="pt-BR" w:eastAsia="pt-BR"/>
        </w:rPr>
      </w:pPr>
    </w:p>
    <w:p w14:paraId="0010AB60"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A Constituição Federal de 1988, em seus artigos 6º, 205 e 208, fundamenta a assistência estudantil como componente do direito à educação, capaz de contribuir </w:t>
      </w:r>
      <w:r w:rsidRPr="001A27E8">
        <w:rPr>
          <w:rFonts w:cs="Arial"/>
          <w:kern w:val="0"/>
          <w:sz w:val="24"/>
          <w:szCs w:val="24"/>
          <w:lang w:val="pt-BR" w:eastAsia="pt-BR"/>
        </w:rPr>
        <w:lastRenderedPageBreak/>
        <w:t>para promoção da inclusão social pela educação. Enquanto direito social, a educação demanda manifestação concreta do dever do Estado, corolário desse direito (BRASIL, 1988).</w:t>
      </w:r>
    </w:p>
    <w:p w14:paraId="1A8B2C49"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O direito à educação visa o desenvolvimento integral da pessoa, seu preparo para o exercício da cidadania e sua qualificação para o trabalho. Para a efetivação desse direito, são implementadas políticas públicas de educação, traduzidas na promoção de um ensino de qualidade, com igualdade de condições para o acesso e permanência na escola (SILVA; LEAL, 2022). </w:t>
      </w:r>
    </w:p>
    <w:p w14:paraId="682EBF04"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Segundo </w:t>
      </w:r>
      <w:proofErr w:type="spellStart"/>
      <w:r w:rsidRPr="001A27E8">
        <w:rPr>
          <w:rFonts w:cs="Arial"/>
          <w:kern w:val="0"/>
          <w:sz w:val="24"/>
          <w:szCs w:val="24"/>
          <w:lang w:val="pt-BR" w:eastAsia="pt-BR"/>
        </w:rPr>
        <w:t>Fiorillo</w:t>
      </w:r>
      <w:proofErr w:type="spellEnd"/>
      <w:r w:rsidRPr="001A27E8">
        <w:rPr>
          <w:rFonts w:cs="Arial"/>
          <w:kern w:val="0"/>
          <w:sz w:val="24"/>
          <w:szCs w:val="24"/>
          <w:lang w:val="pt-BR" w:eastAsia="pt-BR"/>
        </w:rPr>
        <w:t xml:space="preserve"> (2009), o direito à educação, enquanto direito social (art. 6º da CF), integra o “piso vital mínimo” e se destaca como um direito constitucional metaindividual no âmbito do direito ambiental. Previsto no art. 2º, I do Estatuto da Cidade, esse direito inclui o acesso à informação e ao desenvolvimento pessoal, conforme o art. 205 da CF, preparando o cidadão para a cidadania e o trabalho. Cabe ao Estado garantir a efetivação da educação, conforme o art. 208 da CF, respeitando os princípios do art. 206, especialmente a igualdade de acesso e permanência na escola.</w:t>
      </w:r>
    </w:p>
    <w:p w14:paraId="6462E36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A regulamentação da política de educação ocorreu pela Lei n. 9.394/1996, Lei de Diretrizes e Bases da Educação Nacional (LDB), que estabeleceu as diretrizes para os diferentes níveis de educação, reforçando a obrigação do Estado em garantir não apenas o acesso, mas as condições de permanência (art. 3º, inciso I), ao dispor que programas suplementares devem apoiar os estudantes. </w:t>
      </w:r>
    </w:p>
    <w:p w14:paraId="40BB8E3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No contexto educacional brasileiro, a assistência estudantil, como componente essencial da democratização da educação superior e técnica, encontra o seu fundamento em diversos dispositivos normativos e legais. </w:t>
      </w:r>
    </w:p>
    <w:p w14:paraId="764C7221"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No âmbito do Ministério da Educação, a Portaria Normativa 39/2007, instituindo o Programa Nacional de Assistência Estudantil (PNAES), representou um marco para o Fórum Nacional dos Pró-Reitores de Assistência Estudantil (FONAPRACE), instância no âmbito da Associação Nacional do Dirigentes das Instituições Federais de Ensino Superior (ANDIFES) e para a comunidade acadêmica.</w:t>
      </w:r>
    </w:p>
    <w:p w14:paraId="6DC35020"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Nesse contexto, a política de assistência estudantil é implementada de forma fragmentada e constitui matéria relacionada tanto aos órgãos superiores responsáveis pelas políticas de educação, em especial o Ministério da Educação, como pelas próprias IFES, no âmbito de sua regulamentação interna (TCU, Acórdão 2281/2024).</w:t>
      </w:r>
    </w:p>
    <w:p w14:paraId="78E5CA71"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lastRenderedPageBreak/>
        <w:t>A Lei nº 11.892/2008, que institui a Rede Federal de Educação Profissional, Científica e Tecnológica, explicita em seu artigo 10, inciso VII, que os institutos federais devem "prestar assistência estudantil aos seus estudantes", integrando esta função à missão institucional.</w:t>
      </w:r>
    </w:p>
    <w:p w14:paraId="229443C5"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O Programa Nacional de Assistência Estudantil (PNAES), instituído pelo Decreto n.º 7.234/2010, tem por objetivo garantir a permanência dos estudantes em situação de vulnerabilidade socioeconômica nas IFES, por meio do fornecimento de auxílios de moradia, alimentação, transporte, saúde, inclusão digital, acesso à cultura, entre outros.</w:t>
      </w:r>
    </w:p>
    <w:p w14:paraId="2CF893A4"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A Lei nº 13.005/2014 (Plano Nacional de Educação 2014-2024), que foi prorrogada pela Lei 14.934/2004, concebe a assistência estudantil como estratégia de enfrentamento dos problemas de acesso e permanência na educação superior e estabelecem metas de inclusão, permanência e equidade no ensino superior, reforçando a necessidade de políticas públicas que combatam essas desigualdades. Ademais, o Brasil é signatário dos Objetivos de Desenvolvimento Sustentável (ODS) da ONU, que incluem a promoção de uma educação inclusiva, equitativa e de qualidade para todos</w:t>
      </w:r>
    </w:p>
    <w:p w14:paraId="5744C176"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A Política Nacional de Assistência Estudantil (PNAES), recentemente instituída pela Lei nº 14.914/2024, visa garantir a permanência e sucesso acadêmico de estudantes em situação de vulnerabilidade socioeconômica nas Instituições Federais de Ensino (IFES). Ela consolida a assistência estudantil como política pública de caráter permanente, com financiamento estável e foco na equidade no acesso, permanência e êxito acadêmico, reduzindo desigualdades e índices de evasão escolar por motivos socioeconômicos. Essa política permite que todos os estudantes, tenham acesso a uma educação de qualidade e possam concluir seus estudos com sucesso (BRASIL, 2024). </w:t>
      </w:r>
    </w:p>
    <w:p w14:paraId="03BE9F44"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A evolução do marco legal e das políticas públicas evidencia que a assistência estudantil passou de um papel acessório para um componente essencial da democratização da educação superior e técnica.</w:t>
      </w:r>
    </w:p>
    <w:p w14:paraId="42F0AD8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Com efeito, a Política de Assistência Estudantil no Brasil tem sido objeto de crescente interesse acadêmico, em especial a partir da institucionalização do Programa Nacional de Assistência Estudantil (PNAES). O marco conceitual mais difundido segue a definição proposta pelo FONAPRACE (2007), que a entende como </w:t>
      </w:r>
      <w:r w:rsidRPr="001A27E8">
        <w:rPr>
          <w:rFonts w:cs="Arial"/>
          <w:kern w:val="0"/>
          <w:sz w:val="24"/>
          <w:szCs w:val="24"/>
          <w:lang w:val="pt-BR" w:eastAsia="pt-BR"/>
        </w:rPr>
        <w:lastRenderedPageBreak/>
        <w:t>"um conjunto de princípios e diretrizes voltados a garantir o acesso, a permanência e a conclusão de cursos de graduação, na perspectiva da inclusão social, formação ampliada, produção do conhecimento e da melhoria do desempenho acadêmico e da qualidade de vida".</w:t>
      </w:r>
    </w:p>
    <w:p w14:paraId="263EB664"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No campo da literatura científica, diversos autores destacam a importância da assistência estudantil como mediadora das desigualdades sociais no ensino superior. Vasconcelos (2010) ressalta que a política permite superar obstáculos materiais que afetam o rendimento acadêmico e reduzem o abandono escolar, contribuindo diretamente para o êxito dos estudantes. Complementarmente, Silva e Leal (2022) argumentam que a assistência estudantil é estratégica para a promoção da equidade e para a democratização do ensino superior, ao oferecer suporte não apenas financeiro, mas também psicossocial e pedagógico.</w:t>
      </w:r>
    </w:p>
    <w:p w14:paraId="4EE7EEB2"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Do ponto de vista teórico e normativo, Ribeiro e Bravo (2021) analisam a trajetória da assistência estudantil no Brasil e enfatizam sua transição de uma política pontual e emergencial para um componente estruturante das políticas de educação superior, alinhada aos princípios constitucionais de justiça social e ao direito à educação. As autoras também apontam a persistência de desigualdades regionais na implementação da política, além da necessidade de maior articulação entre as IFES, o MEC e os entes federados.</w:t>
      </w:r>
    </w:p>
    <w:p w14:paraId="32BD10B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Dourado (2011) e Cunha (2007) reforçam que o desenvolvimento de políticas de assistência é um requisito indispensável para garantir não apenas o acesso, mas condições reais de permanência e sucesso acadêmico, sobretudo para os estudantes oriundos de classes populares e de grupos historicamente marginalizados.</w:t>
      </w:r>
    </w:p>
    <w:p w14:paraId="1A37CF9F"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No campo empírico, Silva Júnior et al. (2020) demonstram que o PNAES tem contribuído para reduzir taxas de evasão, especialmente nos primeiros anos dos cursos superiores. Os autores ressaltam que o impacto da assistência estudantil é mais efetivo quando articulado a outras políticas institucionais de acolhimento e de apoio pedagógico.</w:t>
      </w:r>
    </w:p>
    <w:p w14:paraId="6A24B9A3"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Mais recentemente, Faria e Figueiredo (2023) e Menezes (2021) ampliaram o debate ao sugerir que a assistência estudantil deve ser compreendida em articulação com políticas territoriais e urbanas, tendo em vista que fatores como moradia, transporte, cultura e saúde pública impactam diretamente na permanência e no </w:t>
      </w:r>
      <w:r w:rsidRPr="001A27E8">
        <w:rPr>
          <w:rFonts w:cs="Arial"/>
          <w:kern w:val="0"/>
          <w:sz w:val="24"/>
          <w:szCs w:val="24"/>
          <w:lang w:val="pt-BR" w:eastAsia="pt-BR"/>
        </w:rPr>
        <w:lastRenderedPageBreak/>
        <w:t xml:space="preserve">sucesso acadêmico. Essa abordagem propõe superar a visão </w:t>
      </w:r>
      <w:proofErr w:type="spellStart"/>
      <w:r w:rsidRPr="001A27E8">
        <w:rPr>
          <w:rFonts w:cs="Arial"/>
          <w:kern w:val="0"/>
          <w:sz w:val="24"/>
          <w:szCs w:val="24"/>
          <w:lang w:val="pt-BR" w:eastAsia="pt-BR"/>
        </w:rPr>
        <w:t>setorializada</w:t>
      </w:r>
      <w:proofErr w:type="spellEnd"/>
      <w:r w:rsidRPr="001A27E8">
        <w:rPr>
          <w:rFonts w:cs="Arial"/>
          <w:kern w:val="0"/>
          <w:sz w:val="24"/>
          <w:szCs w:val="24"/>
          <w:lang w:val="pt-BR" w:eastAsia="pt-BR"/>
        </w:rPr>
        <w:t xml:space="preserve"> da assistência, estimulando práticas de gestão intersetoriais e </w:t>
      </w:r>
      <w:proofErr w:type="spellStart"/>
      <w:r w:rsidRPr="001A27E8">
        <w:rPr>
          <w:rFonts w:cs="Arial"/>
          <w:kern w:val="0"/>
          <w:sz w:val="24"/>
          <w:szCs w:val="24"/>
          <w:lang w:val="pt-BR" w:eastAsia="pt-BR"/>
        </w:rPr>
        <w:t>territorializadas</w:t>
      </w:r>
      <w:proofErr w:type="spellEnd"/>
      <w:r w:rsidRPr="001A27E8">
        <w:rPr>
          <w:rFonts w:cs="Arial"/>
          <w:kern w:val="0"/>
          <w:sz w:val="24"/>
          <w:szCs w:val="24"/>
          <w:lang w:val="pt-BR" w:eastAsia="pt-BR"/>
        </w:rPr>
        <w:t>.</w:t>
      </w:r>
    </w:p>
    <w:p w14:paraId="1DF288DE"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Além disso, sob uma perspectiva crítica, autores como Harvey (2014) e Lefebvre (2009) inspiram leituras que situam a assistência estudantil no marco do "direito à cidade", compreendendo o espaço urbano como um elemento indissociável da realização plena do direito à educação.</w:t>
      </w:r>
    </w:p>
    <w:p w14:paraId="7C7980A4" w14:textId="7B17C7BE" w:rsidR="001A27E8" w:rsidRDefault="001A27E8" w:rsidP="001A27E8">
      <w:pPr>
        <w:pStyle w:val="IDpaper-Text"/>
        <w:widowControl/>
        <w:spacing w:after="0" w:line="360" w:lineRule="auto"/>
        <w:ind w:firstLine="851"/>
        <w:jc w:val="both"/>
        <w:rPr>
          <w:rFonts w:cs="Arial"/>
          <w:kern w:val="0"/>
          <w:sz w:val="24"/>
          <w:szCs w:val="24"/>
          <w:lang w:val="pt-BR" w:eastAsia="pt-BR"/>
        </w:rPr>
      </w:pPr>
      <w:r w:rsidRPr="004F67F4">
        <w:rPr>
          <w:rFonts w:cs="Arial"/>
          <w:kern w:val="0"/>
          <w:sz w:val="24"/>
          <w:szCs w:val="24"/>
          <w:lang w:val="pt-BR" w:eastAsia="pt-BR"/>
        </w:rPr>
        <w:t>Assim, a literatura contemporânea sinaliza que a efetividade da Política Nacional de Assistência Estudantil demanda maior integração com as políticas de planejamento urbano e desenvolvimento regional</w:t>
      </w:r>
      <w:r w:rsidR="00E4403B">
        <w:rPr>
          <w:rFonts w:cs="Arial"/>
          <w:kern w:val="0"/>
          <w:sz w:val="24"/>
          <w:szCs w:val="24"/>
          <w:lang w:val="pt-BR" w:eastAsia="pt-BR"/>
        </w:rPr>
        <w:t xml:space="preserve"> sustentável</w:t>
      </w:r>
      <w:r w:rsidRPr="004F67F4">
        <w:rPr>
          <w:rFonts w:cs="Arial"/>
          <w:kern w:val="0"/>
          <w:sz w:val="24"/>
          <w:szCs w:val="24"/>
          <w:lang w:val="pt-BR" w:eastAsia="pt-BR"/>
        </w:rPr>
        <w:t>, de modo a promover cidades mais inclusivas e territórios educadores que garantam condições materiais e simbólicas para a plena formação acadêmica dos estudantes.</w:t>
      </w:r>
    </w:p>
    <w:p w14:paraId="7B417341"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Enquanto política pública, a assistência estudantil encontra justificativa nos princípios constitucionais, no compromisso com a equidade social e com a democratização do ensino superior, buscando reduzir as desigualdades educacionais e promover a inclusão e o sucesso acadêmico (TCU, Acórdão 2281/2024).</w:t>
      </w:r>
    </w:p>
    <w:p w14:paraId="18EF838B"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A PNAES busca enfrentar desigualdades socioeconômicas, priorizando estudantes de baixa renda e com origem na rede pública, utilizando instrumentos financeiros, pedagógicos, psicossociais e administrativos para garantir a permanência de estudantes em vulnerabilidade nas IFES. Entre eles estão auxílios para alimentação, moradia, transporte, material didático e creche. Inclui também apoio pedagógico (tutoria, monitoria e nivelamento), acompanhamento psicossocial, serviços de saúde, políticas de inclusão para estudantes com deficiência, indígenas e quilombolas, além de infraestrutura como residências e restaurantes universitários. A inclusão digital e sistemas de monitoramento e avaliação também fazem parte, assegurando a efetividade da política e ajustes necessários. </w:t>
      </w:r>
    </w:p>
    <w:p w14:paraId="379639F2"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A implementação da PNAES envolve uma rede de atores, como estudantes, IFES, MEC, órgãos de controle e parceiros. O processo ocorre em quatro etapas: planejamento, execução local, seleção dos beneficiários por critérios socioeconômicos e fiscalização. O MEC coordena e financia, as IFES adaptam e operam os auxílios, e órgãos como CGU e TCU fiscalizam a aplicação dos recursos e a efetividade da política. Em algumas situações, parcerias com governos locais, empresas e organizações não governamentais podem complementar as ações da </w:t>
      </w:r>
      <w:r w:rsidRPr="001A27E8">
        <w:rPr>
          <w:rFonts w:cs="Arial"/>
          <w:kern w:val="0"/>
          <w:sz w:val="24"/>
          <w:szCs w:val="24"/>
          <w:lang w:val="pt-BR" w:eastAsia="pt-BR"/>
        </w:rPr>
        <w:lastRenderedPageBreak/>
        <w:t>assistência estudantil, especialmente na oferta de transporte, saúde, bolsas, estágios ou fornecimento de serviços adicionais.</w:t>
      </w:r>
    </w:p>
    <w:p w14:paraId="1939D993"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O Relatório da CGU (2017) identificou diversas fragilidades no PNAES, como ausência de avaliação sistemática, falta de normatização nas IFES, pouco envolvimento dos estudantes nas decisões sobre uso dos recursos, falhas nos processos seletivos e ausência de controles adequados.</w:t>
      </w:r>
    </w:p>
    <w:p w14:paraId="5B5C9C04" w14:textId="66A94306" w:rsidR="001A27E8" w:rsidRPr="00EA3457" w:rsidRDefault="008B02CF" w:rsidP="004F67F4">
      <w:pPr>
        <w:pStyle w:val="IDpaper-Text"/>
        <w:widowControl/>
        <w:spacing w:after="0" w:line="360" w:lineRule="auto"/>
        <w:ind w:firstLine="851"/>
        <w:jc w:val="both"/>
        <w:rPr>
          <w:rFonts w:cs="Arial"/>
        </w:rPr>
      </w:pPr>
      <w:r>
        <w:rPr>
          <w:rFonts w:cs="Arial"/>
          <w:kern w:val="0"/>
          <w:sz w:val="24"/>
          <w:szCs w:val="24"/>
          <w:lang w:val="pt-BR" w:eastAsia="pt-BR"/>
        </w:rPr>
        <w:t>O</w:t>
      </w:r>
      <w:r w:rsidR="001A27E8" w:rsidRPr="001A27E8">
        <w:rPr>
          <w:rFonts w:cs="Arial"/>
          <w:kern w:val="0"/>
          <w:sz w:val="24"/>
          <w:szCs w:val="24"/>
          <w:lang w:val="pt-BR" w:eastAsia="pt-BR"/>
        </w:rPr>
        <w:t xml:space="preserve"> Acórdão 2281/2024 do TCU apontou que a expansão das IFES e das políticas afirmativas aumentou a demanda, tornando o orçamento insuficiente. Contudo, persistem falhas graves na focalização da política, com processos seletivos complexos, lentos e pouco precisos na identificação de estudantes em vulnerabilidade. O TCU ressalta a necessidade de qualificar critérios e corrigir problemas operacionais.</w:t>
      </w:r>
    </w:p>
    <w:p w14:paraId="0ADA2777" w14:textId="067D2E40"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Além disso, o </w:t>
      </w:r>
      <w:r w:rsidR="008B02CF">
        <w:rPr>
          <w:rFonts w:cs="Arial"/>
          <w:kern w:val="0"/>
          <w:sz w:val="24"/>
          <w:szCs w:val="24"/>
          <w:lang w:val="pt-BR" w:eastAsia="pt-BR"/>
        </w:rPr>
        <w:t>referido a</w:t>
      </w:r>
      <w:r w:rsidRPr="001A27E8">
        <w:rPr>
          <w:rFonts w:cs="Arial"/>
          <w:kern w:val="0"/>
          <w:sz w:val="24"/>
          <w:szCs w:val="24"/>
          <w:lang w:val="pt-BR" w:eastAsia="pt-BR"/>
        </w:rPr>
        <w:t>córdão evidenciou a inexistência de indicadores de gestão e desempenho que permitam avaliar impactos do PNAES na permanência, evasão e conclusão dos estudantes. Também não há um sistema nacional de acompanhamento das ações, nem base empírica consolidada que comprove o impacto da assistência estudantil na redução da evasão ou na melhoria do desempenho acadêmico.</w:t>
      </w:r>
    </w:p>
    <w:p w14:paraId="3B63A370" w14:textId="0B640467" w:rsidR="006E631B" w:rsidRDefault="001A27E8">
      <w:pPr>
        <w:pStyle w:val="IDpaper-Text"/>
        <w:widowControl/>
        <w:spacing w:after="0" w:line="360" w:lineRule="auto"/>
        <w:ind w:firstLine="851"/>
        <w:jc w:val="both"/>
        <w:rPr>
          <w:rFonts w:cs="Arial"/>
          <w:kern w:val="0"/>
          <w:sz w:val="24"/>
          <w:szCs w:val="24"/>
          <w:lang w:val="pt-BR" w:eastAsia="pt-BR"/>
        </w:rPr>
      </w:pPr>
      <w:r w:rsidRPr="001A27E8">
        <w:rPr>
          <w:rFonts w:cs="Arial"/>
          <w:kern w:val="0"/>
          <w:sz w:val="24"/>
          <w:szCs w:val="24"/>
          <w:lang w:val="pt-BR" w:eastAsia="pt-BR"/>
        </w:rPr>
        <w:t>A PNAES procura contribuir para a mobilidade social, qualificação da força de trabalho e desenvolvimento sustentável</w:t>
      </w:r>
      <w:r w:rsidR="008B02CF">
        <w:rPr>
          <w:rFonts w:cs="Arial"/>
          <w:kern w:val="0"/>
          <w:sz w:val="24"/>
          <w:szCs w:val="24"/>
          <w:lang w:val="pt-BR" w:eastAsia="pt-BR"/>
        </w:rPr>
        <w:t xml:space="preserve">, mas </w:t>
      </w:r>
      <w:r w:rsidRPr="001A27E8">
        <w:rPr>
          <w:rFonts w:cs="Arial"/>
          <w:kern w:val="0"/>
          <w:sz w:val="24"/>
          <w:szCs w:val="24"/>
          <w:lang w:val="pt-BR" w:eastAsia="pt-BR"/>
        </w:rPr>
        <w:t>enfrenta desafios como insuficiência de recursos e distribuição desigual entre regiões, o que limita seu alcance.</w:t>
      </w:r>
      <w:r w:rsidR="006E631B">
        <w:rPr>
          <w:rFonts w:cs="Arial"/>
          <w:kern w:val="0"/>
          <w:sz w:val="24"/>
          <w:szCs w:val="24"/>
          <w:lang w:val="pt-BR" w:eastAsia="pt-BR"/>
        </w:rPr>
        <w:t xml:space="preserve"> </w:t>
      </w:r>
      <w:r w:rsidR="006E631B" w:rsidRPr="001A27E8">
        <w:rPr>
          <w:rFonts w:cs="Arial"/>
          <w:kern w:val="0"/>
          <w:sz w:val="24"/>
          <w:szCs w:val="24"/>
          <w:lang w:val="pt-BR" w:eastAsia="pt-BR"/>
        </w:rPr>
        <w:t>Apesar de ser instrumento de justiça social, ainda carece de articulação com políticas de planejamento urbano e regional para ampliar seus impactos.</w:t>
      </w:r>
      <w:r w:rsidRPr="001A27E8">
        <w:rPr>
          <w:rFonts w:cs="Arial"/>
          <w:kern w:val="0"/>
          <w:sz w:val="24"/>
          <w:szCs w:val="24"/>
          <w:lang w:val="pt-BR" w:eastAsia="pt-BR"/>
        </w:rPr>
        <w:t xml:space="preserve"> </w:t>
      </w:r>
    </w:p>
    <w:p w14:paraId="6E28A3D2" w14:textId="17098AE8" w:rsidR="001A27E8" w:rsidRDefault="002A7713">
      <w:pPr>
        <w:pStyle w:val="IDpaper-Text"/>
        <w:widowControl/>
        <w:spacing w:after="0" w:line="360" w:lineRule="auto"/>
        <w:ind w:firstLine="851"/>
        <w:jc w:val="both"/>
        <w:rPr>
          <w:rFonts w:cs="Arial"/>
          <w:kern w:val="0"/>
          <w:sz w:val="24"/>
          <w:szCs w:val="24"/>
          <w:lang w:val="pt-BR" w:eastAsia="pt-BR"/>
        </w:rPr>
      </w:pPr>
      <w:r>
        <w:rPr>
          <w:rFonts w:cs="Arial"/>
          <w:kern w:val="0"/>
          <w:sz w:val="24"/>
          <w:szCs w:val="24"/>
          <w:lang w:val="pt-BR" w:eastAsia="pt-BR"/>
        </w:rPr>
        <w:t xml:space="preserve">A distribuição territorial desigual das instituições federais e dos investimentos em assistência estudantil produz impactos significativos sobre o desenvolvimento regional. </w:t>
      </w:r>
      <w:r w:rsidR="006E631B">
        <w:rPr>
          <w:rFonts w:cs="Arial"/>
          <w:kern w:val="0"/>
          <w:sz w:val="24"/>
          <w:szCs w:val="24"/>
          <w:lang w:val="pt-BR" w:eastAsia="pt-BR"/>
        </w:rPr>
        <w:t>Nas</w:t>
      </w:r>
      <w:r>
        <w:rPr>
          <w:rFonts w:cs="Arial"/>
          <w:kern w:val="0"/>
          <w:sz w:val="24"/>
          <w:szCs w:val="24"/>
          <w:lang w:val="pt-BR" w:eastAsia="pt-BR"/>
        </w:rPr>
        <w:t xml:space="preserve"> regiões onde há </w:t>
      </w:r>
      <w:r w:rsidR="006E631B">
        <w:rPr>
          <w:rFonts w:cs="Arial"/>
          <w:kern w:val="0"/>
          <w:sz w:val="24"/>
          <w:szCs w:val="24"/>
          <w:lang w:val="pt-BR" w:eastAsia="pt-BR"/>
        </w:rPr>
        <w:t xml:space="preserve">maior </w:t>
      </w:r>
      <w:r>
        <w:rPr>
          <w:rFonts w:cs="Arial"/>
          <w:kern w:val="0"/>
          <w:sz w:val="24"/>
          <w:szCs w:val="24"/>
          <w:lang w:val="pt-BR" w:eastAsia="pt-BR"/>
        </w:rPr>
        <w:t xml:space="preserve">presença de </w:t>
      </w:r>
      <w:r w:rsidRPr="004F67F4">
        <w:rPr>
          <w:rFonts w:cs="Arial"/>
          <w:i/>
          <w:iCs/>
          <w:kern w:val="0"/>
          <w:sz w:val="24"/>
          <w:szCs w:val="24"/>
          <w:lang w:val="pt-BR" w:eastAsia="pt-BR"/>
        </w:rPr>
        <w:t>campi</w:t>
      </w:r>
      <w:r>
        <w:rPr>
          <w:rFonts w:cs="Arial"/>
          <w:kern w:val="0"/>
          <w:sz w:val="24"/>
          <w:szCs w:val="24"/>
          <w:lang w:val="pt-BR" w:eastAsia="pt-BR"/>
        </w:rPr>
        <w:t xml:space="preserve"> e oferta </w:t>
      </w:r>
      <w:r w:rsidR="006E631B">
        <w:rPr>
          <w:rFonts w:cs="Arial"/>
          <w:kern w:val="0"/>
          <w:sz w:val="24"/>
          <w:szCs w:val="24"/>
          <w:lang w:val="pt-BR" w:eastAsia="pt-BR"/>
        </w:rPr>
        <w:t xml:space="preserve">estruturada </w:t>
      </w:r>
      <w:r>
        <w:rPr>
          <w:rFonts w:cs="Arial"/>
          <w:kern w:val="0"/>
          <w:sz w:val="24"/>
          <w:szCs w:val="24"/>
          <w:lang w:val="pt-BR" w:eastAsia="pt-BR"/>
        </w:rPr>
        <w:t xml:space="preserve">de programas de assistência, </w:t>
      </w:r>
      <w:r w:rsidR="006E631B">
        <w:rPr>
          <w:rFonts w:cs="Arial"/>
          <w:kern w:val="0"/>
          <w:sz w:val="24"/>
          <w:szCs w:val="24"/>
          <w:lang w:val="pt-BR" w:eastAsia="pt-BR"/>
        </w:rPr>
        <w:t xml:space="preserve">observam-se efeitos positivos na dinamização econômica local, na geração de empregos e na ampliação do acesso a bens e serviços urbanos.  Em contrapartida, territórios com menor cobertura institucional </w:t>
      </w:r>
      <w:r>
        <w:rPr>
          <w:rFonts w:cs="Arial"/>
          <w:kern w:val="0"/>
          <w:sz w:val="24"/>
          <w:szCs w:val="24"/>
          <w:lang w:val="pt-BR" w:eastAsia="pt-BR"/>
        </w:rPr>
        <w:t xml:space="preserve">tendem a apresentar limitações no acesso à educação superior e menor capilaridade das políticas públicas de inclusão. Assim, a política de assistência estudantil, ao mesmo tempo em que atua sobre a equidade educacional, também se configura como instrumento de coesão </w:t>
      </w:r>
      <w:r>
        <w:rPr>
          <w:rFonts w:cs="Arial"/>
          <w:kern w:val="0"/>
          <w:sz w:val="24"/>
          <w:szCs w:val="24"/>
          <w:lang w:val="pt-BR" w:eastAsia="pt-BR"/>
        </w:rPr>
        <w:lastRenderedPageBreak/>
        <w:t xml:space="preserve">territorial, contribuindo para o desenvolvimento regional sustentável e para a redução das assimetrias espaciais no país. </w:t>
      </w:r>
    </w:p>
    <w:p w14:paraId="282193D8" w14:textId="77777777" w:rsidR="001A27E8" w:rsidRDefault="001A27E8">
      <w:pPr>
        <w:pStyle w:val="IDpaper-Text"/>
        <w:widowControl/>
        <w:spacing w:after="0" w:line="360" w:lineRule="auto"/>
        <w:ind w:firstLine="851"/>
        <w:jc w:val="both"/>
        <w:rPr>
          <w:rFonts w:cs="Arial"/>
          <w:kern w:val="0"/>
          <w:sz w:val="24"/>
          <w:szCs w:val="24"/>
          <w:lang w:val="pt-BR" w:eastAsia="pt-BR"/>
        </w:rPr>
      </w:pPr>
      <w:r w:rsidRPr="001A27E8">
        <w:rPr>
          <w:rFonts w:cs="Arial"/>
          <w:kern w:val="0"/>
          <w:sz w:val="24"/>
          <w:szCs w:val="24"/>
          <w:lang w:val="pt-BR" w:eastAsia="pt-BR"/>
        </w:rPr>
        <w:t>Com base nas contribuições da literatura, fica evidente que a política de assistência estudantil evoluiu de uma abordagem focalizada em auxílios emergenciais para uma dimensão essencial das políticas públicas de democratização do ensino superior. No entanto, como apontam Ribeiro e Bravo (2021), ainda persiste uma fragmentação institucional e uma implementação desigual entre as IFES e entre as diferentes regiões do país. Ao mesmo tempo, estudos recentes (Faria; Figueiredo, 2023; Menezes, 2021) reforçam a importância de articular a assistência estudantil às políticas de planejamento urbano e territorial, de modo a potencializar seus impactos na redução das desigualdades sociais e regionais. Diante disso, torna-se fundamental avançar na construção de políticas intersetoriais, que considerem o papel das condições urbanas — moradia, mobilidade, cultura, saúde — como determinantes para a permanência e o êxito acadêmico dos estudantes em situação de vulnerabilidade. Este é o desafio que a próxima seção do artigo buscará explorar, à luz do conceito de direito à cidade sustentável.</w:t>
      </w:r>
    </w:p>
    <w:p w14:paraId="68D56C45" w14:textId="266C4135" w:rsidR="00F453E2" w:rsidRPr="00EA3457" w:rsidRDefault="00F453E2" w:rsidP="004F67F4">
      <w:pPr>
        <w:pStyle w:val="IDpaper-Text"/>
        <w:widowControl/>
        <w:spacing w:after="0" w:line="360" w:lineRule="auto"/>
        <w:ind w:firstLine="851"/>
        <w:jc w:val="both"/>
        <w:rPr>
          <w:rFonts w:cs="Arial"/>
        </w:rPr>
      </w:pPr>
      <w:r w:rsidRPr="004F67F4">
        <w:rPr>
          <w:rFonts w:cs="Arial"/>
          <w:kern w:val="0"/>
          <w:sz w:val="24"/>
          <w:szCs w:val="24"/>
          <w:lang w:val="pt-BR" w:eastAsia="pt-BR"/>
        </w:rPr>
        <w:t>Em síntese, observa-se que a Política Nacional de Assistência Estudantil evoluiu de uma ação focalizada em auxílios emergenciais para uma política estruturante de inclusão social e permanência acadêmica. Entretanto, sua efetividade ainda depende de mecanismos de monitoramento e de integração com outras políticas públicas. A ausência de indicadores consolidados sobre permanência, evasão e desempenho acadêmico limita a mensuração de seus impactos e o planejamento de ações intersetoriais. Nessa perspectiva, torna-se indispensável o desenvolvimento de indicadores de avaliação que relacionem assistência estudantil, condições urbanas e participação social no território, aproximando a política educacional das agendas de planejamento urbano e regional. É a partir dessa necessidade que se estabelece o diálogo com o Direito à Cidade, explorado na seção seguinte.</w:t>
      </w:r>
    </w:p>
    <w:p w14:paraId="253A6569" w14:textId="77777777" w:rsidR="001A27E8" w:rsidRPr="004F67F4" w:rsidRDefault="001A27E8" w:rsidP="004F67F4">
      <w:pPr>
        <w:pStyle w:val="IDpaper-Text"/>
        <w:widowControl/>
        <w:spacing w:after="0" w:line="360" w:lineRule="auto"/>
        <w:ind w:firstLine="851"/>
        <w:jc w:val="both"/>
        <w:rPr>
          <w:rFonts w:cs="Arial"/>
        </w:rPr>
      </w:pPr>
    </w:p>
    <w:p w14:paraId="610953DE" w14:textId="7EC0B4B9" w:rsidR="001A27E8" w:rsidRPr="00C67A4C" w:rsidRDefault="001A27E8" w:rsidP="001A27E8">
      <w:pPr>
        <w:pStyle w:val="PargrafodaLista"/>
        <w:spacing w:after="0"/>
        <w:ind w:left="0"/>
        <w:jc w:val="both"/>
        <w:rPr>
          <w:rFonts w:ascii="Arial" w:hAnsi="Arial" w:cs="Arial"/>
          <w:sz w:val="24"/>
          <w:szCs w:val="24"/>
        </w:rPr>
      </w:pPr>
      <w:r>
        <w:rPr>
          <w:rFonts w:ascii="Arial" w:hAnsi="Arial" w:cs="Arial"/>
          <w:sz w:val="24"/>
          <w:szCs w:val="24"/>
        </w:rPr>
        <w:t>4</w:t>
      </w:r>
      <w:r w:rsidRPr="00C67A4C">
        <w:rPr>
          <w:rFonts w:ascii="Arial" w:hAnsi="Arial" w:cs="Arial"/>
          <w:sz w:val="24"/>
          <w:szCs w:val="24"/>
        </w:rPr>
        <w:t>.</w:t>
      </w:r>
      <w:r>
        <w:rPr>
          <w:rFonts w:ascii="Arial" w:hAnsi="Arial" w:cs="Arial"/>
          <w:sz w:val="24"/>
          <w:szCs w:val="24"/>
        </w:rPr>
        <w:t>3</w:t>
      </w:r>
      <w:r w:rsidRPr="00C67A4C">
        <w:rPr>
          <w:rFonts w:ascii="Arial" w:hAnsi="Arial" w:cs="Arial"/>
          <w:sz w:val="24"/>
          <w:szCs w:val="24"/>
        </w:rPr>
        <w:t xml:space="preserve"> </w:t>
      </w:r>
      <w:r>
        <w:rPr>
          <w:rFonts w:ascii="Arial" w:hAnsi="Arial" w:cs="Arial"/>
          <w:sz w:val="24"/>
          <w:szCs w:val="24"/>
        </w:rPr>
        <w:t>INTEGRAÇÃO DA ASSISTÊNCIA ESTUDANTIL AO DIREITO À CIDADE SUSTENTÁVEL</w:t>
      </w:r>
    </w:p>
    <w:p w14:paraId="38666572" w14:textId="77777777" w:rsidR="001A27E8" w:rsidRPr="00EA3457" w:rsidRDefault="001A27E8" w:rsidP="004F67F4">
      <w:pPr>
        <w:pStyle w:val="IDpaper-Text"/>
        <w:widowControl/>
        <w:spacing w:after="0" w:line="360" w:lineRule="auto"/>
        <w:ind w:firstLine="851"/>
        <w:jc w:val="both"/>
        <w:rPr>
          <w:rFonts w:cs="Arial"/>
        </w:rPr>
      </w:pPr>
    </w:p>
    <w:p w14:paraId="3E03A8FA" w14:textId="00EB4CED"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O direito à cidade, conforme concebido por Henri Lefebvre (2009) e juridicamente consolidado no Brasil através da Constituição Federal e do Estatuto da </w:t>
      </w:r>
      <w:r w:rsidRPr="001A27E8">
        <w:rPr>
          <w:rFonts w:cs="Arial"/>
          <w:kern w:val="0"/>
          <w:sz w:val="24"/>
          <w:szCs w:val="24"/>
          <w:lang w:val="pt-BR" w:eastAsia="pt-BR"/>
        </w:rPr>
        <w:lastRenderedPageBreak/>
        <w:t>Cidade (Lei 10.257/2001), transcende o mero acesso físico ao espaço urbano, compreendendo o direito de participar ativamente da construção, apropriação e transformação da cidade. Tal direito vincula-se intimamente à noção de justiça espacial e à promoção de cidades sustentáveis — aquelas capazes de garantir qualidade de vida, equidade e inclusão a todos os seus habitantes (FIORILLO, 2009; CAVALLAZZI, 2010).</w:t>
      </w:r>
    </w:p>
    <w:p w14:paraId="2D765B49"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Por sua vez, a Política Nacional de assistência estudantil, instituída pela Lei nº 14.914/2024, assume um papel fundamental na democratização do ensino superior, ao buscar garantir não apenas o acesso, mas, sobretudo, a permanência e o êxito acadêmico de estudantes em situação de vulnerabilidade socioeconômica. Com isso, se propõe a atuar diretamente na promoção da equidade educacional e na redução das taxas de evasão e retenção nas Instituições Federais de Ensino (IFES).</w:t>
      </w:r>
    </w:p>
    <w:p w14:paraId="3098B88B"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No entanto, considerando a ausência de dados concretos que permitam o acompanhamento dos principais objetivos do PNAES (impacto efetivo em evasão, desempenho ou inclusão), o Tribunal de Contas da União reforça a importância da consolidação da Política Nacional de Assistência Estudantil como um instrumento permanente de inclusão social e de combate às desigualdades no ensino superior, destacando, entre outros pontos, a necessidade de superar a fragmentação das ações, aprimorar a participação estudantil, garantir segurança jurídica e assegurar uma gestão baseada em dados e indicadores de desempenho (TCU, Acórdão 2281/2024). </w:t>
      </w:r>
    </w:p>
    <w:p w14:paraId="6DEC68B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A integração entre essas duas dimensões — direito à cidade e assistência estudantil —, embora desafiadora, revela-se estratégica para um desenvolvimento urbano sustentável e inclusivo. O direito à cidade implica o acesso equitativo a moradia digna, mobilidade urbana, saneamento básico, espaços de cultura e lazer, serviços públicos de qualidade e um ambiente equilibrado, aspectos essenciais para garantir a permanência estudantil qualificada e a justiça social no espaço urbano.</w:t>
      </w:r>
    </w:p>
    <w:p w14:paraId="217AF600"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Portanto, o planejamento das cidades deve considerar a localização e acessibilidade de instituições de ensino, moradias estudantis, centros de apoio psicológico, bibliotecas e áreas de lazer, como preveem os direitos urbanos e o Estatuto da Cidade. Um ambiente urbano bem estruturado impacta diretamente no bem-estar dos estudantes e reduz barreiras ao acesso e à permanência no ensino superior.</w:t>
      </w:r>
    </w:p>
    <w:p w14:paraId="053C21AA"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lastRenderedPageBreak/>
        <w:t>A política de assistência estudantil frequentemente é implementada de forma isolada, desarticulada das políticas municipais de planejamento urbano e regional. Essa lacuna limita seu potencial de impacto transformador sobre a cidade e sobre as condições de vida dos estudantes. Superar tal fragmentação demanda uma abordagem integrada que reconheça a interdependência entre condições urbanas e sucesso acadêmico (TCU, Acórdão 2281/2024).</w:t>
      </w:r>
    </w:p>
    <w:p w14:paraId="6EE42B0E"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Nesse sentido, o planejamento regional e a gestão das cidades devem incorporar, de forma transversal, as demandas e especificidades da população estudantil. Isso inclui políticas de habitação que considerem a oferta de moradias acessíveis próximas aos campi, a integração de sistemas de transporte público que assegurem o deslocamento seguro e eficiente, a garantia de serviços de saúde mental e assistência social, e a criação de espaços públicos inclusivos e democráticos que favoreçam o bem-estar e a convivência.</w:t>
      </w:r>
    </w:p>
    <w:p w14:paraId="4254B00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No que se refere à mobilidade urbana, a garantia de transporte adequado e acessível é essencial para a permanência estudantil, principalmente em cidades com campus descentralizados ou periféricos. A inclusão das demandas estudantis nos Planos de Mobilidade Urbana é um passo fundamental para assegurar o direito à cidade.</w:t>
      </w:r>
    </w:p>
    <w:p w14:paraId="45F28EDB"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Quanto à moradia estudantil a provisão de moradia, pública ou subsidiada, no território urbano, deve ser pensada em consonância com o Plano Diretor e com as políticas de habitação social, respeitando a função social da moradia e do território.</w:t>
      </w:r>
    </w:p>
    <w:p w14:paraId="055F40E1"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Em relação à Cultura, lazer e espaços públicos, a participação dos estudantes no circuito cultural e no uso dos espaços públicos urbanos é parte da efetivação do direito à cidade. A política de assistência estudantil deve dialogar com as políticas culturais e de inclusão no espaço urbano. O acesso a atividades culturais e a valorização da diversidade étnica, cultural e regional promovem identidade, pertencimento e engajamento estudantil, reduzindo a evasão, especialmente entre estudantes de grupos vulneráveis.</w:t>
      </w:r>
    </w:p>
    <w:p w14:paraId="324898A2"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 xml:space="preserve">Em se tratando de cooperação federativa e governança local, a efetiva integração exige cooperação entre União, Estados e Municípios, bem como participação das universidades nas instâncias de planejamento urbano e regional. Os conselhos municipais de educação e de planejamento urbano devem incluir a dimensão da assistência estudantil em suas agendas. </w:t>
      </w:r>
    </w:p>
    <w:p w14:paraId="26144EBA"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lastRenderedPageBreak/>
        <w:t>Nesse sentido, a articulação entre as IFES e os governos locais é essencial para a construção de "territórios educadores", em que o espaço urbano seja concebido como parte integrante do processo formativo, contribuindo para a educação integral e emancipatória, em consonância com os pressupostos de Lefebvre e os objetivos da PNAES.</w:t>
      </w:r>
    </w:p>
    <w:p w14:paraId="741D012C"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A convergência entre política urbana e assistência estudantil pode ainda fomentar práticas de gestão mais participativas e sustentáveis. Através de conselhos municipais e fóruns intersetoriais, estudantes podem contribuir para a formulação de políticas públicas, tornando-se sujeitos ativos na construção da cidade, reforçando o caráter democrático do direito à cidade, além de fortalecer o vínculo entre aluno e instituição.</w:t>
      </w:r>
    </w:p>
    <w:p w14:paraId="17C2D964"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Quando articulada ao planejamento urbano, a assistência estudantil pode contribuir para a construção de cidades mais justas e sustentáveis, conforme previsto nos Objetivos de Desenvolvimento Sustentável (ODS) da Agenda 2030 da ONU, em particular o ODS 4 (educação de qualidade) e o ODS 11 (cidades e comunidades sustentáveis).</w:t>
      </w:r>
    </w:p>
    <w:p w14:paraId="291A9417"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A cidade sustentável, nessa perspectiva, significa a concreção da justiça distributiva, o equilíbrio das relações, de todos os atores sociais. Implica desenvolvimento econômico compatível com a preservação ambiental e a qualidade de vida dos habitantes; em uma palavra, equidade. (CAVALLAZZI, 2010)</w:t>
      </w:r>
    </w:p>
    <w:p w14:paraId="7BB00A1F" w14:textId="77777777" w:rsidR="001A27E8" w:rsidRPr="00EA3457" w:rsidRDefault="001A27E8" w:rsidP="004F67F4">
      <w:pPr>
        <w:pStyle w:val="IDpaper-Text"/>
        <w:widowControl/>
        <w:spacing w:after="0" w:line="360" w:lineRule="auto"/>
        <w:ind w:firstLine="851"/>
        <w:jc w:val="both"/>
        <w:rPr>
          <w:rFonts w:cs="Arial"/>
        </w:rPr>
      </w:pPr>
      <w:r w:rsidRPr="001A27E8">
        <w:rPr>
          <w:rFonts w:cs="Arial"/>
          <w:kern w:val="0"/>
          <w:sz w:val="24"/>
          <w:szCs w:val="24"/>
          <w:lang w:val="pt-BR" w:eastAsia="pt-BR"/>
        </w:rPr>
        <w:t>Por fim, ao reconhecer que a permanência e o êxito acadêmico dependem também das condições urbanas e territoriais, promove-se uma abordagem integrada que fortalece tanto o direito à cidade quanto o direito à educação. Esta desafiadora integração amplia as capacidades dos estudantes, favorece sua inclusão social e contribui para a construção de cidades mais justas, sustentáveis e inclusivas.</w:t>
      </w:r>
    </w:p>
    <w:p w14:paraId="7E6D5B90" w14:textId="77777777" w:rsidR="00741715" w:rsidRPr="009F15F8" w:rsidRDefault="00741715" w:rsidP="00741715">
      <w:pPr>
        <w:pStyle w:val="IDpaper-Text"/>
        <w:widowControl/>
        <w:spacing w:after="0" w:line="360" w:lineRule="auto"/>
        <w:ind w:firstLine="851"/>
        <w:jc w:val="both"/>
        <w:rPr>
          <w:rFonts w:cs="Arial"/>
          <w:kern w:val="0"/>
          <w:sz w:val="24"/>
          <w:szCs w:val="24"/>
          <w:lang w:val="pt-BR" w:eastAsia="pt-BR"/>
        </w:rPr>
      </w:pPr>
    </w:p>
    <w:p w14:paraId="35223971" w14:textId="665EC7A2" w:rsidR="001C0E88" w:rsidRPr="004739E0" w:rsidRDefault="001C0E88" w:rsidP="001C0E88">
      <w:pPr>
        <w:pStyle w:val="IDpaper-Title"/>
        <w:widowControl/>
        <w:spacing w:line="276" w:lineRule="auto"/>
        <w:ind w:left="0"/>
        <w:rPr>
          <w:rFonts w:cs="Arial"/>
          <w:b w:val="0"/>
          <w:color w:val="FF0000"/>
          <w:sz w:val="18"/>
          <w:szCs w:val="18"/>
          <w:lang w:val="pt-BR"/>
        </w:rPr>
      </w:pPr>
      <w:r>
        <w:rPr>
          <w:rFonts w:cs="Arial"/>
          <w:bCs/>
          <w:szCs w:val="24"/>
          <w:lang w:val="pt-BR"/>
        </w:rPr>
        <w:t>5</w:t>
      </w:r>
      <w:r w:rsidRPr="00136A83">
        <w:rPr>
          <w:rFonts w:cs="Arial"/>
          <w:bCs/>
          <w:szCs w:val="24"/>
          <w:lang w:val="pt-BR"/>
        </w:rPr>
        <w:t xml:space="preserve"> </w:t>
      </w:r>
      <w:r>
        <w:rPr>
          <w:rFonts w:cs="Arial"/>
          <w:bCs/>
          <w:szCs w:val="24"/>
          <w:lang w:val="pt-BR"/>
        </w:rPr>
        <w:t>CONCLUSÃO</w:t>
      </w:r>
    </w:p>
    <w:p w14:paraId="7D026D67" w14:textId="77777777" w:rsidR="001C0E88" w:rsidRPr="004739E0" w:rsidRDefault="001C0E88" w:rsidP="001C0E88">
      <w:pPr>
        <w:pStyle w:val="IDpaper-Text"/>
        <w:widowControl/>
        <w:spacing w:after="0" w:line="360" w:lineRule="auto"/>
        <w:jc w:val="both"/>
        <w:rPr>
          <w:rFonts w:cs="Arial"/>
          <w:kern w:val="0"/>
          <w:sz w:val="22"/>
          <w:szCs w:val="24"/>
          <w:lang w:val="pt-BR" w:eastAsia="pt-BR"/>
        </w:rPr>
      </w:pPr>
    </w:p>
    <w:p w14:paraId="0DE7F1AA" w14:textId="206F6B68" w:rsidR="001C0E88" w:rsidRPr="00EA3457" w:rsidRDefault="001C0E88" w:rsidP="004F67F4">
      <w:pPr>
        <w:pStyle w:val="IDpaper-Text"/>
        <w:widowControl/>
        <w:spacing w:after="0" w:line="360" w:lineRule="auto"/>
        <w:ind w:firstLine="851"/>
        <w:jc w:val="both"/>
        <w:rPr>
          <w:rFonts w:cs="Arial"/>
        </w:rPr>
      </w:pPr>
      <w:r w:rsidRPr="001C0E88">
        <w:rPr>
          <w:rFonts w:cs="Arial"/>
          <w:kern w:val="0"/>
          <w:sz w:val="24"/>
          <w:szCs w:val="24"/>
          <w:lang w:val="pt-BR" w:eastAsia="pt-BR"/>
        </w:rPr>
        <w:t xml:space="preserve">A </w:t>
      </w:r>
      <w:r w:rsidR="00F80A13">
        <w:rPr>
          <w:rFonts w:cs="Arial"/>
          <w:kern w:val="0"/>
          <w:sz w:val="24"/>
          <w:szCs w:val="24"/>
          <w:lang w:val="pt-BR" w:eastAsia="pt-BR"/>
        </w:rPr>
        <w:t xml:space="preserve">partir da </w:t>
      </w:r>
      <w:r w:rsidRPr="001C0E88">
        <w:rPr>
          <w:rFonts w:cs="Arial"/>
          <w:kern w:val="0"/>
          <w:sz w:val="24"/>
          <w:szCs w:val="24"/>
          <w:lang w:val="pt-BR" w:eastAsia="pt-BR"/>
        </w:rPr>
        <w:t>análise evidenciou</w:t>
      </w:r>
      <w:r w:rsidR="00F80A13">
        <w:rPr>
          <w:rFonts w:cs="Arial"/>
          <w:kern w:val="0"/>
          <w:sz w:val="24"/>
          <w:szCs w:val="24"/>
          <w:lang w:val="pt-BR" w:eastAsia="pt-BR"/>
        </w:rPr>
        <w:t>-se</w:t>
      </w:r>
      <w:r w:rsidRPr="001C0E88">
        <w:rPr>
          <w:rFonts w:cs="Arial"/>
          <w:kern w:val="0"/>
          <w:sz w:val="24"/>
          <w:szCs w:val="24"/>
          <w:lang w:val="pt-BR" w:eastAsia="pt-BR"/>
        </w:rPr>
        <w:t xml:space="preserve"> que a integração entre a Política Nacional de Assistência Estudantil e o Direito à Cidade é estratégica para a construção de ambientes urbanos mais justos e sustentáveis. Ao articular o direito à educação com o direito à cidade, abre-se uma agenda de inovação nas políticas públicas, que demanda a superação de abordagens setoriais e a constituição de instrumentos de governança intersetorial e </w:t>
      </w:r>
      <w:proofErr w:type="spellStart"/>
      <w:r w:rsidRPr="001C0E88">
        <w:rPr>
          <w:rFonts w:cs="Arial"/>
          <w:kern w:val="0"/>
          <w:sz w:val="24"/>
          <w:szCs w:val="24"/>
          <w:lang w:val="pt-BR" w:eastAsia="pt-BR"/>
        </w:rPr>
        <w:t>multiescalar</w:t>
      </w:r>
      <w:proofErr w:type="spellEnd"/>
      <w:r w:rsidRPr="001C0E88">
        <w:rPr>
          <w:rFonts w:cs="Arial"/>
          <w:kern w:val="0"/>
          <w:sz w:val="24"/>
          <w:szCs w:val="24"/>
          <w:lang w:val="pt-BR" w:eastAsia="pt-BR"/>
        </w:rPr>
        <w:t>.</w:t>
      </w:r>
    </w:p>
    <w:p w14:paraId="162EBCDC" w14:textId="77777777" w:rsidR="001C0E88" w:rsidRPr="00EA3457" w:rsidRDefault="001C0E88" w:rsidP="004F67F4">
      <w:pPr>
        <w:pStyle w:val="IDpaper-Text"/>
        <w:widowControl/>
        <w:spacing w:after="0" w:line="360" w:lineRule="auto"/>
        <w:ind w:firstLine="851"/>
        <w:jc w:val="both"/>
        <w:rPr>
          <w:rFonts w:cs="Arial"/>
        </w:rPr>
      </w:pPr>
      <w:r w:rsidRPr="001C0E88">
        <w:rPr>
          <w:rFonts w:cs="Arial"/>
          <w:kern w:val="0"/>
          <w:sz w:val="24"/>
          <w:szCs w:val="24"/>
          <w:lang w:val="pt-BR" w:eastAsia="pt-BR"/>
        </w:rPr>
        <w:lastRenderedPageBreak/>
        <w:t>Os achados do Acórdão 2281/2024 do Tribunal de Contas da União reforçam que, apesar dos avanços normativos como a Lei nº 14.914/2024, ainda existem obstáculos estruturais — fragmentação das ações, insuficiência de dados e fragilidades institucionais — que dificultam a plena efetividade da política de assistência estudantil como vetor de inclusão social e territorial.</w:t>
      </w:r>
    </w:p>
    <w:p w14:paraId="1A0FFCF2" w14:textId="77777777" w:rsidR="001C0E88" w:rsidRPr="00EA3457" w:rsidRDefault="001C0E88" w:rsidP="004F67F4">
      <w:pPr>
        <w:pStyle w:val="IDpaper-Text"/>
        <w:widowControl/>
        <w:spacing w:after="0" w:line="360" w:lineRule="auto"/>
        <w:ind w:firstLine="851"/>
        <w:jc w:val="both"/>
        <w:rPr>
          <w:rFonts w:cs="Arial"/>
        </w:rPr>
      </w:pPr>
      <w:r w:rsidRPr="001C0E88">
        <w:rPr>
          <w:rFonts w:cs="Arial"/>
          <w:kern w:val="0"/>
          <w:sz w:val="24"/>
          <w:szCs w:val="24"/>
          <w:lang w:val="pt-BR" w:eastAsia="pt-BR"/>
        </w:rPr>
        <w:t>Para que o direito à cidade se efetive também para a população estudantil das IFES, é necessário fortalecer o diálogo entre as instituições de ensino superior e os processos de planejamento e gestão urbana, previstos no Estatuto da Cidade. Recomenda-se, assim, a maior participação das universidades nos conselhos municipais de políticas urbanas e sociais; a inclusão das demandas estudantis em Planos Diretores e Planos Plurianuais; a promoção de moradias acessíveis e transporte público adequado; bem como a integração de políticas culturais e de saúde que favoreçam a permanência estudantil.</w:t>
      </w:r>
    </w:p>
    <w:p w14:paraId="5874182B" w14:textId="6D784481" w:rsidR="00650AF6" w:rsidRPr="00EA3457" w:rsidRDefault="001C0E88" w:rsidP="004F67F4">
      <w:pPr>
        <w:pStyle w:val="IDpaper-Text"/>
        <w:widowControl/>
        <w:spacing w:after="0" w:line="360" w:lineRule="auto"/>
        <w:ind w:firstLine="851"/>
        <w:jc w:val="both"/>
        <w:rPr>
          <w:rFonts w:cs="Arial"/>
        </w:rPr>
      </w:pPr>
      <w:r w:rsidRPr="001C0E88">
        <w:rPr>
          <w:rFonts w:cs="Arial"/>
          <w:kern w:val="0"/>
          <w:sz w:val="24"/>
          <w:szCs w:val="24"/>
          <w:lang w:val="pt-BR" w:eastAsia="pt-BR"/>
        </w:rPr>
        <w:t>Por fim, destaca-se que a consolidação de territórios educadores e cidades sustentáveis exige a articulação de ações jurídicas, políticas e sociais que garantam a todos e todas o pleno usufruto do direito à cidade, em seu sentido mais substantivo.</w:t>
      </w:r>
      <w:r w:rsidR="00E032D8">
        <w:rPr>
          <w:rFonts w:cs="Arial"/>
          <w:kern w:val="0"/>
          <w:sz w:val="24"/>
          <w:szCs w:val="24"/>
          <w:lang w:val="pt-BR" w:eastAsia="pt-BR"/>
        </w:rPr>
        <w:t xml:space="preserve"> </w:t>
      </w:r>
      <w:r w:rsidR="00650AF6" w:rsidRPr="00650AF6">
        <w:rPr>
          <w:rFonts w:cs="Arial"/>
          <w:kern w:val="0"/>
          <w:sz w:val="24"/>
          <w:szCs w:val="24"/>
          <w:lang w:val="pt-BR" w:eastAsia="pt-BR"/>
        </w:rPr>
        <w:t xml:space="preserve">A integração entre assistência estudantil e direito à cidade, ao promover equidade territorial e inclusão social, também se configura como vetor de desenvolvimento regional sustentável. Essa perspectiva amplia o alcance das políticas educacionais, contribuindo para reduzir assimetrias regionais e fortalecer o papel das </w:t>
      </w:r>
      <w:r w:rsidR="00650AF6">
        <w:rPr>
          <w:rFonts w:cs="Arial"/>
          <w:kern w:val="0"/>
          <w:sz w:val="24"/>
          <w:szCs w:val="24"/>
          <w:lang w:val="pt-BR" w:eastAsia="pt-BR"/>
        </w:rPr>
        <w:t>instituições de ensino</w:t>
      </w:r>
      <w:r w:rsidR="00650AF6" w:rsidRPr="00650AF6">
        <w:rPr>
          <w:rFonts w:cs="Arial"/>
          <w:kern w:val="0"/>
          <w:sz w:val="24"/>
          <w:szCs w:val="24"/>
          <w:lang w:val="pt-BR" w:eastAsia="pt-BR"/>
        </w:rPr>
        <w:t xml:space="preserve"> como agentes de transformação social e territorial. Dessa forma, o diálogo entre educação, planejamento urbano e governança intersetorial revela-se essencial para a consolidação de regiões mais equilibradas, participativas e sustentáveis</w:t>
      </w:r>
    </w:p>
    <w:p w14:paraId="21A23E96" w14:textId="2ADAB5D2" w:rsidR="00235886" w:rsidRPr="00136A83" w:rsidRDefault="00235886" w:rsidP="00136A83">
      <w:pPr>
        <w:pStyle w:val="IDpaper-Text"/>
        <w:widowControl/>
        <w:spacing w:after="0" w:line="360" w:lineRule="auto"/>
        <w:ind w:firstLine="851"/>
        <w:jc w:val="both"/>
        <w:rPr>
          <w:rFonts w:cs="Arial"/>
          <w:b/>
          <w:sz w:val="24"/>
          <w:szCs w:val="24"/>
          <w:lang w:val="pt-BR"/>
        </w:rPr>
      </w:pPr>
    </w:p>
    <w:p w14:paraId="53C2AA22" w14:textId="47C09F18" w:rsidR="001C0E88" w:rsidRPr="004739E0" w:rsidRDefault="00D564D8" w:rsidP="001C0E88">
      <w:pPr>
        <w:pStyle w:val="IDpaper-Title"/>
        <w:widowControl/>
        <w:spacing w:line="276" w:lineRule="auto"/>
        <w:ind w:left="0"/>
        <w:rPr>
          <w:rFonts w:cs="Arial"/>
          <w:b w:val="0"/>
          <w:color w:val="FF0000"/>
          <w:sz w:val="18"/>
          <w:szCs w:val="18"/>
          <w:lang w:val="pt-BR"/>
        </w:rPr>
      </w:pPr>
      <w:r>
        <w:rPr>
          <w:rFonts w:cs="Arial"/>
          <w:bCs/>
          <w:szCs w:val="24"/>
          <w:lang w:val="pt-BR"/>
        </w:rPr>
        <w:t xml:space="preserve">6. </w:t>
      </w:r>
      <w:r w:rsidR="001C0E88">
        <w:rPr>
          <w:rFonts w:cs="Arial"/>
          <w:bCs/>
          <w:szCs w:val="24"/>
          <w:lang w:val="pt-BR"/>
        </w:rPr>
        <w:t>REFERÊNCIAS</w:t>
      </w:r>
    </w:p>
    <w:p w14:paraId="6E05CB57" w14:textId="77777777" w:rsidR="001C0E88" w:rsidRPr="004739E0" w:rsidRDefault="001C0E88" w:rsidP="001C0E88">
      <w:pPr>
        <w:pStyle w:val="IDpaper-Text"/>
        <w:widowControl/>
        <w:spacing w:after="0" w:line="360" w:lineRule="auto"/>
        <w:jc w:val="both"/>
        <w:rPr>
          <w:rFonts w:cs="Arial"/>
          <w:kern w:val="0"/>
          <w:sz w:val="22"/>
          <w:szCs w:val="24"/>
          <w:lang w:val="pt-BR" w:eastAsia="pt-BR"/>
        </w:rPr>
      </w:pPr>
    </w:p>
    <w:p w14:paraId="49FDEFC9" w14:textId="77777777"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AHMED, Flávio; COUTINHO, Ronaldo (</w:t>
      </w:r>
      <w:proofErr w:type="spellStart"/>
      <w:r w:rsidRPr="004F67F4">
        <w:rPr>
          <w:rFonts w:ascii="Arial" w:hAnsi="Arial" w:cs="Arial"/>
          <w:sz w:val="24"/>
          <w:szCs w:val="24"/>
        </w:rPr>
        <w:t>Orgs</w:t>
      </w:r>
      <w:proofErr w:type="spellEnd"/>
      <w:r w:rsidRPr="004F67F4">
        <w:rPr>
          <w:rFonts w:ascii="Arial" w:hAnsi="Arial" w:cs="Arial"/>
          <w:sz w:val="24"/>
          <w:szCs w:val="24"/>
        </w:rPr>
        <w:t xml:space="preserve">). </w:t>
      </w:r>
      <w:r w:rsidRPr="004F67F4">
        <w:rPr>
          <w:rFonts w:ascii="Arial" w:hAnsi="Arial" w:cs="Arial"/>
          <w:b/>
          <w:bCs/>
          <w:sz w:val="24"/>
          <w:szCs w:val="24"/>
        </w:rPr>
        <w:t>Cidade, Direito e meio ambiente: perspectivas críticas</w:t>
      </w:r>
      <w:r w:rsidRPr="004F67F4">
        <w:rPr>
          <w:rFonts w:ascii="Arial" w:hAnsi="Arial" w:cs="Arial"/>
          <w:sz w:val="24"/>
          <w:szCs w:val="24"/>
        </w:rPr>
        <w:t xml:space="preserve">. Rio de Janeiro: </w:t>
      </w:r>
      <w:proofErr w:type="spellStart"/>
      <w:r w:rsidRPr="004F67F4">
        <w:rPr>
          <w:rFonts w:ascii="Arial" w:hAnsi="Arial" w:cs="Arial"/>
          <w:sz w:val="24"/>
          <w:szCs w:val="24"/>
        </w:rPr>
        <w:t>Lumen</w:t>
      </w:r>
      <w:proofErr w:type="spellEnd"/>
      <w:r w:rsidRPr="004F67F4">
        <w:rPr>
          <w:rFonts w:ascii="Arial" w:hAnsi="Arial" w:cs="Arial"/>
          <w:sz w:val="24"/>
          <w:szCs w:val="24"/>
        </w:rPr>
        <w:t xml:space="preserve"> Juris, 2011.</w:t>
      </w:r>
    </w:p>
    <w:p w14:paraId="2169FBFE" w14:textId="77777777" w:rsidR="00D90448" w:rsidRPr="004F67F4" w:rsidRDefault="00D90448" w:rsidP="00801787">
      <w:pPr>
        <w:pStyle w:val="Pr-formataoHTML"/>
        <w:jc w:val="both"/>
        <w:rPr>
          <w:rFonts w:ascii="Arial" w:hAnsi="Arial" w:cs="Arial"/>
          <w:sz w:val="24"/>
          <w:szCs w:val="24"/>
        </w:rPr>
      </w:pPr>
    </w:p>
    <w:p w14:paraId="2DE4CB1C" w14:textId="5B0D1EF8"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BRASIL. Constituição (1988). </w:t>
      </w:r>
      <w:r w:rsidRPr="004F67F4">
        <w:rPr>
          <w:rFonts w:ascii="Arial" w:hAnsi="Arial" w:cs="Arial"/>
          <w:b/>
          <w:bCs/>
          <w:sz w:val="24"/>
          <w:szCs w:val="24"/>
        </w:rPr>
        <w:t>Constituição da República Federativa do Brasil</w:t>
      </w:r>
      <w:r w:rsidRPr="004F67F4">
        <w:rPr>
          <w:rFonts w:ascii="Arial" w:hAnsi="Arial" w:cs="Arial"/>
          <w:sz w:val="24"/>
          <w:szCs w:val="24"/>
        </w:rPr>
        <w:t>. Brasília, DF: Senado Federal, 1988.</w:t>
      </w:r>
    </w:p>
    <w:p w14:paraId="19C72D8F" w14:textId="77777777" w:rsidR="00D90448" w:rsidRPr="004F67F4" w:rsidRDefault="00D90448" w:rsidP="00801787">
      <w:pPr>
        <w:pStyle w:val="Pr-formataoHTML"/>
        <w:jc w:val="both"/>
        <w:rPr>
          <w:rFonts w:ascii="Arial" w:hAnsi="Arial" w:cs="Arial"/>
          <w:sz w:val="24"/>
          <w:szCs w:val="24"/>
        </w:rPr>
      </w:pPr>
    </w:p>
    <w:p w14:paraId="3D50C9E3" w14:textId="084352AB"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BRASIL. Decreto n.º 7.234, de 19 de julho de 2010. </w:t>
      </w:r>
      <w:r w:rsidRPr="004F67F4">
        <w:rPr>
          <w:rFonts w:ascii="Arial" w:hAnsi="Arial" w:cs="Arial"/>
          <w:b/>
          <w:bCs/>
          <w:sz w:val="24"/>
          <w:szCs w:val="24"/>
        </w:rPr>
        <w:t>Dispõe sobre o Programa Nacional de Assistência Estudantil</w:t>
      </w:r>
      <w:r w:rsidRPr="004F67F4">
        <w:rPr>
          <w:rFonts w:ascii="Arial" w:hAnsi="Arial" w:cs="Arial"/>
          <w:sz w:val="24"/>
          <w:szCs w:val="24"/>
        </w:rPr>
        <w:t xml:space="preserve"> (PNAES). Diário Oficial da União, Brasília, 20 jul. 2010.</w:t>
      </w:r>
    </w:p>
    <w:p w14:paraId="7BEBADDA" w14:textId="77777777" w:rsidR="00D90448" w:rsidRPr="004F67F4" w:rsidRDefault="00D90448" w:rsidP="00801787">
      <w:pPr>
        <w:pStyle w:val="Pr-formataoHTML"/>
        <w:jc w:val="both"/>
        <w:rPr>
          <w:rFonts w:ascii="Arial" w:hAnsi="Arial" w:cs="Arial"/>
          <w:sz w:val="24"/>
          <w:szCs w:val="24"/>
        </w:rPr>
      </w:pPr>
    </w:p>
    <w:p w14:paraId="5F5DE5B3" w14:textId="4F4A9966"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lastRenderedPageBreak/>
        <w:t xml:space="preserve">BRASIL. Lei n.º 10.257, de 10 de julho de 2001. </w:t>
      </w:r>
      <w:r w:rsidRPr="004F67F4">
        <w:rPr>
          <w:rFonts w:ascii="Arial" w:hAnsi="Arial" w:cs="Arial"/>
          <w:b/>
          <w:bCs/>
          <w:sz w:val="24"/>
          <w:szCs w:val="24"/>
        </w:rPr>
        <w:t>Estatuto da Cidade</w:t>
      </w:r>
      <w:r w:rsidRPr="004F67F4">
        <w:rPr>
          <w:rFonts w:ascii="Arial" w:hAnsi="Arial" w:cs="Arial"/>
          <w:sz w:val="24"/>
          <w:szCs w:val="24"/>
        </w:rPr>
        <w:t>. Diário Oficial da União, Brasília, 11 jul. 2001.</w:t>
      </w:r>
    </w:p>
    <w:p w14:paraId="5821C54E" w14:textId="77777777" w:rsidR="00D90448" w:rsidRPr="004F67F4" w:rsidRDefault="00D90448" w:rsidP="00801787">
      <w:pPr>
        <w:pStyle w:val="Pr-formataoHTML"/>
        <w:jc w:val="both"/>
        <w:rPr>
          <w:rFonts w:ascii="Arial" w:hAnsi="Arial" w:cs="Arial"/>
          <w:sz w:val="24"/>
          <w:szCs w:val="24"/>
        </w:rPr>
      </w:pPr>
    </w:p>
    <w:p w14:paraId="3041F4DF" w14:textId="110A6DC4"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BRASIL. Lei n.º 13.005, de 25 de junho de 2014. </w:t>
      </w:r>
      <w:r w:rsidRPr="004F67F4">
        <w:rPr>
          <w:rFonts w:ascii="Arial" w:hAnsi="Arial" w:cs="Arial"/>
          <w:b/>
          <w:bCs/>
          <w:sz w:val="24"/>
          <w:szCs w:val="24"/>
        </w:rPr>
        <w:t>Aprova o Plano Nacional de Educação – PNE</w:t>
      </w:r>
      <w:r w:rsidRPr="004F67F4">
        <w:rPr>
          <w:rFonts w:ascii="Arial" w:hAnsi="Arial" w:cs="Arial"/>
          <w:sz w:val="24"/>
          <w:szCs w:val="24"/>
        </w:rPr>
        <w:t xml:space="preserve"> e dá outras providências. Diário Oficial da União, Brasília, 26 jun. 2014.</w:t>
      </w:r>
    </w:p>
    <w:p w14:paraId="02D36C16" w14:textId="77777777" w:rsidR="00D90448" w:rsidRPr="004F67F4" w:rsidRDefault="00D90448" w:rsidP="00801787">
      <w:pPr>
        <w:pStyle w:val="Pr-formataoHTML"/>
        <w:jc w:val="both"/>
        <w:rPr>
          <w:rFonts w:ascii="Arial" w:hAnsi="Arial" w:cs="Arial"/>
          <w:sz w:val="24"/>
          <w:szCs w:val="24"/>
        </w:rPr>
      </w:pPr>
    </w:p>
    <w:p w14:paraId="6D5BD79D" w14:textId="750603F9"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BRASIL. Lei n.º 14.914, de 1º de abril de 2024. </w:t>
      </w:r>
      <w:r w:rsidRPr="004F67F4">
        <w:rPr>
          <w:rFonts w:ascii="Arial" w:hAnsi="Arial" w:cs="Arial"/>
          <w:b/>
          <w:bCs/>
          <w:sz w:val="24"/>
          <w:szCs w:val="24"/>
        </w:rPr>
        <w:t>Institui a Política Nacional de Assistência Estudantil</w:t>
      </w:r>
      <w:r w:rsidRPr="004F67F4">
        <w:rPr>
          <w:rFonts w:ascii="Arial" w:hAnsi="Arial" w:cs="Arial"/>
          <w:sz w:val="24"/>
          <w:szCs w:val="24"/>
        </w:rPr>
        <w:t>. Diário Oficial da União, Brasília, 2 abr. 2024.</w:t>
      </w:r>
    </w:p>
    <w:p w14:paraId="055EE8EA" w14:textId="77777777" w:rsidR="00D90448" w:rsidRPr="004F67F4" w:rsidRDefault="00D90448" w:rsidP="00801787">
      <w:pPr>
        <w:pStyle w:val="Pr-formataoHTML"/>
        <w:jc w:val="both"/>
        <w:rPr>
          <w:rFonts w:ascii="Arial" w:hAnsi="Arial" w:cs="Arial"/>
          <w:sz w:val="24"/>
          <w:szCs w:val="24"/>
        </w:rPr>
      </w:pPr>
    </w:p>
    <w:p w14:paraId="776BA29C" w14:textId="31F7AAC4"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BRASIL. Lei n.º 9.394, de 20 de dezembro de 1996. </w:t>
      </w:r>
      <w:r w:rsidRPr="004F67F4">
        <w:rPr>
          <w:rFonts w:ascii="Arial" w:hAnsi="Arial" w:cs="Arial"/>
          <w:b/>
          <w:bCs/>
          <w:sz w:val="24"/>
          <w:szCs w:val="24"/>
        </w:rPr>
        <w:t>Estabelece as diretrizes e bases da educação nacional</w:t>
      </w:r>
      <w:r w:rsidRPr="004F67F4">
        <w:rPr>
          <w:rFonts w:ascii="Arial" w:hAnsi="Arial" w:cs="Arial"/>
          <w:sz w:val="24"/>
          <w:szCs w:val="24"/>
        </w:rPr>
        <w:t>. Diário Oficial da União, Brasília, 23 dez. 1996.</w:t>
      </w:r>
    </w:p>
    <w:p w14:paraId="37EFD11C" w14:textId="77777777" w:rsidR="00D90448" w:rsidRPr="004F67F4" w:rsidRDefault="00D90448" w:rsidP="00801787">
      <w:pPr>
        <w:pStyle w:val="Pr-formataoHTML"/>
        <w:jc w:val="both"/>
        <w:rPr>
          <w:rFonts w:ascii="Arial" w:hAnsi="Arial" w:cs="Arial"/>
          <w:sz w:val="24"/>
          <w:szCs w:val="24"/>
        </w:rPr>
      </w:pPr>
    </w:p>
    <w:p w14:paraId="774A2F2F" w14:textId="2CD66510"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CAVALLAZZI, A. C. </w:t>
      </w:r>
      <w:r w:rsidRPr="004F67F4">
        <w:rPr>
          <w:rFonts w:ascii="Arial" w:hAnsi="Arial" w:cs="Arial"/>
          <w:b/>
          <w:bCs/>
          <w:sz w:val="24"/>
          <w:szCs w:val="24"/>
        </w:rPr>
        <w:t>Direito à Cidade e Função Social da Cidade no Contexto Constitucional Brasileiro</w:t>
      </w:r>
      <w:r w:rsidRPr="004F67F4">
        <w:rPr>
          <w:rFonts w:ascii="Arial" w:hAnsi="Arial" w:cs="Arial"/>
          <w:sz w:val="24"/>
          <w:szCs w:val="24"/>
        </w:rPr>
        <w:t xml:space="preserve">. Florianópolis: Fundação </w:t>
      </w:r>
      <w:proofErr w:type="spellStart"/>
      <w:r w:rsidRPr="004F67F4">
        <w:rPr>
          <w:rFonts w:ascii="Arial" w:hAnsi="Arial" w:cs="Arial"/>
          <w:sz w:val="24"/>
          <w:szCs w:val="24"/>
        </w:rPr>
        <w:t>Boiteux</w:t>
      </w:r>
      <w:proofErr w:type="spellEnd"/>
      <w:r w:rsidRPr="004F67F4">
        <w:rPr>
          <w:rFonts w:ascii="Arial" w:hAnsi="Arial" w:cs="Arial"/>
          <w:sz w:val="24"/>
          <w:szCs w:val="24"/>
        </w:rPr>
        <w:t>, 2010.</w:t>
      </w:r>
    </w:p>
    <w:p w14:paraId="438E5BA6" w14:textId="77777777" w:rsidR="00D90448" w:rsidRPr="004F67F4" w:rsidRDefault="00D90448" w:rsidP="00801787">
      <w:pPr>
        <w:pStyle w:val="Pr-formataoHTML"/>
        <w:jc w:val="both"/>
        <w:rPr>
          <w:rFonts w:ascii="Arial" w:hAnsi="Arial" w:cs="Arial"/>
          <w:sz w:val="24"/>
          <w:szCs w:val="24"/>
        </w:rPr>
      </w:pPr>
    </w:p>
    <w:p w14:paraId="7401094B" w14:textId="5A171BB2"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CUNHA, Luiz </w:t>
      </w:r>
      <w:proofErr w:type="spellStart"/>
      <w:r w:rsidRPr="004F67F4">
        <w:rPr>
          <w:rFonts w:ascii="Arial" w:hAnsi="Arial" w:cs="Arial"/>
          <w:sz w:val="24"/>
          <w:szCs w:val="24"/>
        </w:rPr>
        <w:t>Antonio</w:t>
      </w:r>
      <w:proofErr w:type="spellEnd"/>
      <w:r w:rsidRPr="004F67F4">
        <w:rPr>
          <w:rFonts w:ascii="Arial" w:hAnsi="Arial" w:cs="Arial"/>
          <w:sz w:val="24"/>
          <w:szCs w:val="24"/>
        </w:rPr>
        <w:t xml:space="preserve">. </w:t>
      </w:r>
      <w:r w:rsidRPr="004F67F4">
        <w:rPr>
          <w:rFonts w:ascii="Arial" w:hAnsi="Arial" w:cs="Arial"/>
          <w:b/>
          <w:bCs/>
          <w:sz w:val="24"/>
          <w:szCs w:val="24"/>
        </w:rPr>
        <w:t>A universidade temporã</w:t>
      </w:r>
      <w:r w:rsidRPr="004F67F4">
        <w:rPr>
          <w:rFonts w:ascii="Arial" w:hAnsi="Arial" w:cs="Arial"/>
          <w:sz w:val="24"/>
          <w:szCs w:val="24"/>
        </w:rPr>
        <w:t>. 4. ed. Campinas: Autores Associados, 2007.</w:t>
      </w:r>
    </w:p>
    <w:p w14:paraId="2C175D83" w14:textId="77777777" w:rsidR="00D90448" w:rsidRPr="004F67F4" w:rsidRDefault="00D90448" w:rsidP="00801787">
      <w:pPr>
        <w:pStyle w:val="Pr-formataoHTML"/>
        <w:jc w:val="both"/>
        <w:rPr>
          <w:rFonts w:ascii="Arial" w:hAnsi="Arial" w:cs="Arial"/>
          <w:sz w:val="24"/>
          <w:szCs w:val="24"/>
        </w:rPr>
      </w:pPr>
    </w:p>
    <w:p w14:paraId="66CE7FC0" w14:textId="4797F824"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DOURADO, Luiz Fernandes. </w:t>
      </w:r>
      <w:r w:rsidRPr="004F67F4">
        <w:rPr>
          <w:rFonts w:ascii="Arial" w:hAnsi="Arial" w:cs="Arial"/>
          <w:b/>
          <w:bCs/>
          <w:sz w:val="24"/>
          <w:szCs w:val="24"/>
        </w:rPr>
        <w:t>Políticas de democratização da educação superior: acesso, expansão e inclusão com qualidade?</w:t>
      </w:r>
      <w:r w:rsidRPr="004F67F4">
        <w:rPr>
          <w:rFonts w:ascii="Arial" w:hAnsi="Arial" w:cs="Arial"/>
          <w:sz w:val="24"/>
          <w:szCs w:val="24"/>
        </w:rPr>
        <w:t xml:space="preserve"> Educação &amp; Sociedade, v. 32, n. 115, p. 729-747, 2011.</w:t>
      </w:r>
    </w:p>
    <w:p w14:paraId="1AB42DF1" w14:textId="77777777" w:rsidR="00D90448" w:rsidRPr="004F67F4" w:rsidRDefault="00D90448" w:rsidP="00801787">
      <w:pPr>
        <w:pStyle w:val="Pr-formataoHTML"/>
        <w:jc w:val="both"/>
        <w:rPr>
          <w:rFonts w:ascii="Arial" w:hAnsi="Arial" w:cs="Arial"/>
          <w:sz w:val="24"/>
          <w:szCs w:val="24"/>
        </w:rPr>
      </w:pPr>
    </w:p>
    <w:p w14:paraId="1B07CC2F" w14:textId="66F6875F"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FARIA, Alexandre; FIGUEIREDO, Fernanda. </w:t>
      </w:r>
      <w:r w:rsidRPr="004F67F4">
        <w:rPr>
          <w:rFonts w:ascii="Arial" w:hAnsi="Arial" w:cs="Arial"/>
          <w:b/>
          <w:bCs/>
          <w:sz w:val="24"/>
          <w:szCs w:val="24"/>
        </w:rPr>
        <w:t>Políticas intersetoriais e territórios educadores: desafios para a integração da assistência estudantil e o direito à cidade</w:t>
      </w:r>
      <w:r w:rsidRPr="004F67F4">
        <w:rPr>
          <w:rFonts w:ascii="Arial" w:hAnsi="Arial" w:cs="Arial"/>
          <w:sz w:val="24"/>
          <w:szCs w:val="24"/>
        </w:rPr>
        <w:t>. Revista Brasileira de Política e Administração da Educação, v. 39, n. 1, p. 103-120, 2023.</w:t>
      </w:r>
    </w:p>
    <w:p w14:paraId="4A581267" w14:textId="77777777" w:rsidR="00D90448" w:rsidRPr="004F67F4" w:rsidRDefault="00D90448" w:rsidP="00801787">
      <w:pPr>
        <w:pStyle w:val="Pr-formataoHTML"/>
        <w:jc w:val="both"/>
        <w:rPr>
          <w:rFonts w:ascii="Arial" w:hAnsi="Arial" w:cs="Arial"/>
          <w:sz w:val="24"/>
          <w:szCs w:val="24"/>
        </w:rPr>
      </w:pPr>
    </w:p>
    <w:p w14:paraId="1530DBFA" w14:textId="7A5FDAC1"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FIORILLO, Celso </w:t>
      </w:r>
      <w:proofErr w:type="spellStart"/>
      <w:r w:rsidRPr="004F67F4">
        <w:rPr>
          <w:rFonts w:ascii="Arial" w:hAnsi="Arial" w:cs="Arial"/>
          <w:sz w:val="24"/>
          <w:szCs w:val="24"/>
        </w:rPr>
        <w:t>Antonio</w:t>
      </w:r>
      <w:proofErr w:type="spellEnd"/>
      <w:r w:rsidRPr="004F67F4">
        <w:rPr>
          <w:rFonts w:ascii="Arial" w:hAnsi="Arial" w:cs="Arial"/>
          <w:sz w:val="24"/>
          <w:szCs w:val="24"/>
        </w:rPr>
        <w:t xml:space="preserve"> Pacheco</w:t>
      </w:r>
      <w:r w:rsidRPr="004F67F4">
        <w:rPr>
          <w:rFonts w:ascii="Arial" w:hAnsi="Arial" w:cs="Arial"/>
          <w:b/>
          <w:bCs/>
          <w:sz w:val="24"/>
          <w:szCs w:val="24"/>
        </w:rPr>
        <w:t>. O Estatuto da Cidade Comentado</w:t>
      </w:r>
      <w:r w:rsidRPr="004F67F4">
        <w:rPr>
          <w:rFonts w:ascii="Arial" w:hAnsi="Arial" w:cs="Arial"/>
          <w:sz w:val="24"/>
          <w:szCs w:val="24"/>
        </w:rPr>
        <w:t>. 2. ed. São Paulo: RT, 2009.</w:t>
      </w:r>
    </w:p>
    <w:p w14:paraId="5F462083" w14:textId="77777777" w:rsidR="00D90448" w:rsidRPr="004F67F4" w:rsidRDefault="00D90448" w:rsidP="00801787">
      <w:pPr>
        <w:pStyle w:val="Pr-formataoHTML"/>
        <w:jc w:val="both"/>
        <w:rPr>
          <w:rFonts w:ascii="Arial" w:hAnsi="Arial" w:cs="Arial"/>
          <w:sz w:val="24"/>
          <w:szCs w:val="24"/>
        </w:rPr>
      </w:pPr>
    </w:p>
    <w:p w14:paraId="0E73C271" w14:textId="4D44B0F9"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HARVEY, David. </w:t>
      </w:r>
      <w:r w:rsidRPr="004F67F4">
        <w:rPr>
          <w:rFonts w:ascii="Arial" w:hAnsi="Arial" w:cs="Arial"/>
          <w:b/>
          <w:bCs/>
          <w:sz w:val="24"/>
          <w:szCs w:val="24"/>
        </w:rPr>
        <w:t>Cidades Rebeldes: do direito à cidade à revolução urbana</w:t>
      </w:r>
      <w:r w:rsidRPr="004F67F4">
        <w:rPr>
          <w:rFonts w:ascii="Arial" w:hAnsi="Arial" w:cs="Arial"/>
          <w:sz w:val="24"/>
          <w:szCs w:val="24"/>
        </w:rPr>
        <w:t>. São Paulo: Martins Fontes, 2014.</w:t>
      </w:r>
    </w:p>
    <w:p w14:paraId="6428A7AF" w14:textId="77777777" w:rsidR="00D90448" w:rsidRPr="004F67F4" w:rsidRDefault="00D90448" w:rsidP="00801787">
      <w:pPr>
        <w:pStyle w:val="Pr-formataoHTML"/>
        <w:jc w:val="both"/>
        <w:rPr>
          <w:rFonts w:ascii="Arial" w:hAnsi="Arial" w:cs="Arial"/>
          <w:sz w:val="24"/>
          <w:szCs w:val="24"/>
        </w:rPr>
      </w:pPr>
    </w:p>
    <w:p w14:paraId="09F71A82" w14:textId="16A21C69"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JARDIM, Vânia Maria Fialho. </w:t>
      </w:r>
      <w:r w:rsidRPr="004F67F4">
        <w:rPr>
          <w:rFonts w:ascii="Arial" w:hAnsi="Arial" w:cs="Arial"/>
          <w:b/>
          <w:bCs/>
          <w:sz w:val="24"/>
          <w:szCs w:val="24"/>
        </w:rPr>
        <w:t>Direito à Cidade e Meio Ambiente Urbano: o espaço urbano como bem ambiental</w:t>
      </w:r>
      <w:r w:rsidRPr="004F67F4">
        <w:rPr>
          <w:rFonts w:ascii="Arial" w:hAnsi="Arial" w:cs="Arial"/>
          <w:sz w:val="24"/>
          <w:szCs w:val="24"/>
        </w:rPr>
        <w:t>. Belo Horizonte: Fórum, 2010.</w:t>
      </w:r>
    </w:p>
    <w:p w14:paraId="735B846C" w14:textId="77777777" w:rsidR="00D90448" w:rsidRPr="004F67F4" w:rsidRDefault="00D90448" w:rsidP="00801787">
      <w:pPr>
        <w:pStyle w:val="Pr-formataoHTML"/>
        <w:jc w:val="both"/>
        <w:rPr>
          <w:rFonts w:ascii="Arial" w:hAnsi="Arial" w:cs="Arial"/>
          <w:sz w:val="24"/>
          <w:szCs w:val="24"/>
        </w:rPr>
      </w:pPr>
    </w:p>
    <w:p w14:paraId="67C09C34" w14:textId="26B11ABD"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LEFEBVRE, Henri. </w:t>
      </w:r>
      <w:r w:rsidRPr="004F67F4">
        <w:rPr>
          <w:rFonts w:ascii="Arial" w:hAnsi="Arial" w:cs="Arial"/>
          <w:b/>
          <w:bCs/>
          <w:sz w:val="24"/>
          <w:szCs w:val="24"/>
        </w:rPr>
        <w:t>O Direito à Cidade</w:t>
      </w:r>
      <w:r w:rsidRPr="004F67F4">
        <w:rPr>
          <w:rFonts w:ascii="Arial" w:hAnsi="Arial" w:cs="Arial"/>
          <w:sz w:val="24"/>
          <w:szCs w:val="24"/>
        </w:rPr>
        <w:t>. São Paulo: Centauro, 2009.</w:t>
      </w:r>
    </w:p>
    <w:p w14:paraId="3F790D01" w14:textId="77777777" w:rsidR="00D90448" w:rsidRPr="004F67F4" w:rsidRDefault="00D90448" w:rsidP="00801787">
      <w:pPr>
        <w:pStyle w:val="Pr-formataoHTML"/>
        <w:jc w:val="both"/>
        <w:rPr>
          <w:rFonts w:ascii="Arial" w:hAnsi="Arial" w:cs="Arial"/>
          <w:sz w:val="24"/>
          <w:szCs w:val="24"/>
        </w:rPr>
      </w:pPr>
    </w:p>
    <w:p w14:paraId="633572D2" w14:textId="1BE51C3D"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MENEZES, Paula Monteiro de. </w:t>
      </w:r>
      <w:r w:rsidRPr="004F67F4">
        <w:rPr>
          <w:rFonts w:ascii="Arial" w:hAnsi="Arial" w:cs="Arial"/>
          <w:b/>
          <w:bCs/>
          <w:sz w:val="24"/>
          <w:szCs w:val="24"/>
        </w:rPr>
        <w:t>Planejamento urbano e políticas educacionais: o papel da cidade na permanência estudantil</w:t>
      </w:r>
      <w:r w:rsidRPr="004F67F4">
        <w:rPr>
          <w:rFonts w:ascii="Arial" w:hAnsi="Arial" w:cs="Arial"/>
          <w:sz w:val="24"/>
          <w:szCs w:val="24"/>
        </w:rPr>
        <w:t>. Cadernos Cedes, v. 41, n. 115, p. 123-139, 2021.</w:t>
      </w:r>
    </w:p>
    <w:p w14:paraId="08A83A89" w14:textId="77777777" w:rsidR="00D90448" w:rsidRPr="004F67F4" w:rsidRDefault="00D90448" w:rsidP="00801787">
      <w:pPr>
        <w:pStyle w:val="Pr-formataoHTML"/>
        <w:jc w:val="both"/>
        <w:rPr>
          <w:rFonts w:ascii="Arial" w:hAnsi="Arial" w:cs="Arial"/>
          <w:sz w:val="24"/>
          <w:szCs w:val="24"/>
        </w:rPr>
      </w:pPr>
    </w:p>
    <w:p w14:paraId="1482CCC4" w14:textId="7A89845F"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ONU-HABITAT. </w:t>
      </w:r>
      <w:r w:rsidRPr="004F67F4">
        <w:rPr>
          <w:rFonts w:ascii="Arial" w:hAnsi="Arial" w:cs="Arial"/>
          <w:b/>
          <w:bCs/>
          <w:sz w:val="24"/>
          <w:szCs w:val="24"/>
        </w:rPr>
        <w:t>A Nova Agenda Urbana</w:t>
      </w:r>
      <w:r w:rsidRPr="004F67F4">
        <w:rPr>
          <w:rFonts w:ascii="Arial" w:hAnsi="Arial" w:cs="Arial"/>
          <w:sz w:val="24"/>
          <w:szCs w:val="24"/>
        </w:rPr>
        <w:t>. Quito: ONU-Habitat, 2016.</w:t>
      </w:r>
    </w:p>
    <w:p w14:paraId="0E41F08D" w14:textId="77777777" w:rsidR="00D90448" w:rsidRPr="004F67F4" w:rsidRDefault="00D90448" w:rsidP="00801787">
      <w:pPr>
        <w:pStyle w:val="Pr-formataoHTML"/>
        <w:jc w:val="both"/>
        <w:rPr>
          <w:rFonts w:ascii="Arial" w:hAnsi="Arial" w:cs="Arial"/>
          <w:sz w:val="24"/>
          <w:szCs w:val="24"/>
        </w:rPr>
      </w:pPr>
    </w:p>
    <w:p w14:paraId="78F632F2" w14:textId="3E6044F3"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RIBEIRO, Vera M.; BRAVO, Maria I. S. (</w:t>
      </w:r>
      <w:proofErr w:type="spellStart"/>
      <w:r w:rsidRPr="004F67F4">
        <w:rPr>
          <w:rFonts w:ascii="Arial" w:hAnsi="Arial" w:cs="Arial"/>
          <w:sz w:val="24"/>
          <w:szCs w:val="24"/>
        </w:rPr>
        <w:t>orgs</w:t>
      </w:r>
      <w:proofErr w:type="spellEnd"/>
      <w:r w:rsidRPr="004F67F4">
        <w:rPr>
          <w:rFonts w:ascii="Arial" w:hAnsi="Arial" w:cs="Arial"/>
          <w:sz w:val="24"/>
          <w:szCs w:val="24"/>
        </w:rPr>
        <w:t xml:space="preserve">.). </w:t>
      </w:r>
      <w:r w:rsidRPr="004F67F4">
        <w:rPr>
          <w:rFonts w:ascii="Arial" w:hAnsi="Arial" w:cs="Arial"/>
          <w:b/>
          <w:bCs/>
          <w:sz w:val="24"/>
          <w:szCs w:val="24"/>
        </w:rPr>
        <w:t>Políticas Públicas de Assistência Estudantil no Brasil</w:t>
      </w:r>
      <w:r w:rsidRPr="004F67F4">
        <w:rPr>
          <w:rFonts w:ascii="Arial" w:hAnsi="Arial" w:cs="Arial"/>
          <w:sz w:val="24"/>
          <w:szCs w:val="24"/>
        </w:rPr>
        <w:t>. Porto Alegre: Editora da UFRGS, 2021.</w:t>
      </w:r>
    </w:p>
    <w:p w14:paraId="5217B36B" w14:textId="77777777" w:rsidR="00D90448" w:rsidRPr="004F67F4" w:rsidRDefault="00D90448" w:rsidP="00801787">
      <w:pPr>
        <w:pStyle w:val="Pr-formataoHTML"/>
        <w:jc w:val="both"/>
        <w:rPr>
          <w:rFonts w:ascii="Arial" w:hAnsi="Arial" w:cs="Arial"/>
          <w:sz w:val="24"/>
          <w:szCs w:val="24"/>
        </w:rPr>
      </w:pPr>
    </w:p>
    <w:p w14:paraId="180D7384" w14:textId="69B4A480"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ROLNIK, Raquel. </w:t>
      </w:r>
      <w:r w:rsidRPr="004F67F4">
        <w:rPr>
          <w:rFonts w:ascii="Arial" w:hAnsi="Arial" w:cs="Arial"/>
          <w:b/>
          <w:bCs/>
          <w:sz w:val="24"/>
          <w:szCs w:val="24"/>
        </w:rPr>
        <w:t>O que é Cidade Justa?</w:t>
      </w:r>
      <w:r w:rsidRPr="004F67F4">
        <w:rPr>
          <w:rFonts w:ascii="Arial" w:hAnsi="Arial" w:cs="Arial"/>
          <w:sz w:val="24"/>
          <w:szCs w:val="24"/>
        </w:rPr>
        <w:t xml:space="preserve"> São Paulo: Fundação Perseu </w:t>
      </w:r>
      <w:proofErr w:type="spellStart"/>
      <w:r w:rsidRPr="004F67F4">
        <w:rPr>
          <w:rFonts w:ascii="Arial" w:hAnsi="Arial" w:cs="Arial"/>
          <w:sz w:val="24"/>
          <w:szCs w:val="24"/>
        </w:rPr>
        <w:t>Abramo</w:t>
      </w:r>
      <w:proofErr w:type="spellEnd"/>
      <w:r w:rsidRPr="004F67F4">
        <w:rPr>
          <w:rFonts w:ascii="Arial" w:hAnsi="Arial" w:cs="Arial"/>
          <w:sz w:val="24"/>
          <w:szCs w:val="24"/>
        </w:rPr>
        <w:t>, 2013.</w:t>
      </w:r>
    </w:p>
    <w:p w14:paraId="07BC25EE" w14:textId="77777777" w:rsidR="00D90448" w:rsidRPr="004F67F4" w:rsidRDefault="00D90448" w:rsidP="00801787">
      <w:pPr>
        <w:pStyle w:val="Pr-formataoHTML"/>
        <w:jc w:val="both"/>
        <w:rPr>
          <w:rFonts w:ascii="Arial" w:hAnsi="Arial" w:cs="Arial"/>
          <w:sz w:val="24"/>
          <w:szCs w:val="24"/>
        </w:rPr>
      </w:pPr>
    </w:p>
    <w:p w14:paraId="57153D55" w14:textId="6078720C"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SILVA JÚNIOR, João Batista da et al. </w:t>
      </w:r>
      <w:r w:rsidRPr="004F67F4">
        <w:rPr>
          <w:rFonts w:ascii="Arial" w:hAnsi="Arial" w:cs="Arial"/>
          <w:b/>
          <w:bCs/>
          <w:sz w:val="24"/>
          <w:szCs w:val="24"/>
        </w:rPr>
        <w:t>Impactos do PNAES sobre a evasão acadêmica nas IFES</w:t>
      </w:r>
      <w:r w:rsidRPr="004F67F4">
        <w:rPr>
          <w:rFonts w:ascii="Arial" w:hAnsi="Arial" w:cs="Arial"/>
          <w:sz w:val="24"/>
          <w:szCs w:val="24"/>
        </w:rPr>
        <w:t>. Revista Brasileira de Política e Administração da Educação, v. 36, n. 2, p. 437-457, maio/ago. 2020.</w:t>
      </w:r>
    </w:p>
    <w:p w14:paraId="41AB514D" w14:textId="77777777" w:rsidR="00D90448" w:rsidRPr="004F67F4" w:rsidRDefault="00D90448" w:rsidP="00801787">
      <w:pPr>
        <w:pStyle w:val="Pr-formataoHTML"/>
        <w:jc w:val="both"/>
        <w:rPr>
          <w:rFonts w:ascii="Arial" w:hAnsi="Arial" w:cs="Arial"/>
          <w:sz w:val="24"/>
          <w:szCs w:val="24"/>
        </w:rPr>
      </w:pPr>
    </w:p>
    <w:p w14:paraId="64DED06D" w14:textId="4F3F123B"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SILVA, José Afonso da. </w:t>
      </w:r>
      <w:r w:rsidRPr="004F67F4">
        <w:rPr>
          <w:rFonts w:ascii="Arial" w:hAnsi="Arial" w:cs="Arial"/>
          <w:b/>
          <w:bCs/>
          <w:sz w:val="24"/>
          <w:szCs w:val="24"/>
        </w:rPr>
        <w:t>Direito Urbanístico Brasileiro</w:t>
      </w:r>
      <w:r w:rsidRPr="004F67F4">
        <w:rPr>
          <w:rFonts w:ascii="Arial" w:hAnsi="Arial" w:cs="Arial"/>
          <w:sz w:val="24"/>
          <w:szCs w:val="24"/>
        </w:rPr>
        <w:t>. 5. ed. São Paulo: Malheiros, 2013.</w:t>
      </w:r>
    </w:p>
    <w:p w14:paraId="206CA81E" w14:textId="77777777" w:rsidR="00D90448" w:rsidRPr="004F67F4" w:rsidRDefault="00D90448" w:rsidP="00801787">
      <w:pPr>
        <w:pStyle w:val="Pr-formataoHTML"/>
        <w:jc w:val="both"/>
        <w:rPr>
          <w:rFonts w:ascii="Arial" w:hAnsi="Arial" w:cs="Arial"/>
          <w:sz w:val="24"/>
          <w:szCs w:val="24"/>
        </w:rPr>
      </w:pPr>
    </w:p>
    <w:p w14:paraId="52EECAAD" w14:textId="49175D8C"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SILVA, R.; LEAL, J. B. </w:t>
      </w:r>
      <w:r w:rsidRPr="004F67F4">
        <w:rPr>
          <w:rFonts w:ascii="Arial" w:hAnsi="Arial" w:cs="Arial"/>
          <w:b/>
          <w:bCs/>
          <w:sz w:val="24"/>
          <w:szCs w:val="24"/>
        </w:rPr>
        <w:t>Políticas de Assistência Estudantil e Equidade no Ensino Superior</w:t>
      </w:r>
      <w:r w:rsidRPr="004F67F4">
        <w:rPr>
          <w:rFonts w:ascii="Arial" w:hAnsi="Arial" w:cs="Arial"/>
          <w:sz w:val="24"/>
          <w:szCs w:val="24"/>
        </w:rPr>
        <w:t>. Revista Brasileira de Educação, v. 27, e270021, 2022.</w:t>
      </w:r>
    </w:p>
    <w:p w14:paraId="243A2D6A" w14:textId="77777777" w:rsidR="00D90448" w:rsidRPr="004F67F4" w:rsidRDefault="00D90448" w:rsidP="00801787">
      <w:pPr>
        <w:pStyle w:val="Pr-formataoHTML"/>
        <w:jc w:val="both"/>
        <w:rPr>
          <w:rFonts w:ascii="Arial" w:hAnsi="Arial" w:cs="Arial"/>
          <w:sz w:val="24"/>
          <w:szCs w:val="24"/>
        </w:rPr>
      </w:pPr>
    </w:p>
    <w:p w14:paraId="2DE229F6" w14:textId="41D85B7A"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TRIBUNAL DE CONTAS DA UNIÃO. </w:t>
      </w:r>
      <w:r w:rsidRPr="004F67F4">
        <w:rPr>
          <w:rFonts w:ascii="Arial" w:hAnsi="Arial" w:cs="Arial"/>
          <w:b/>
          <w:bCs/>
          <w:sz w:val="24"/>
          <w:szCs w:val="24"/>
        </w:rPr>
        <w:t>Acórdão nº 2281/2024</w:t>
      </w:r>
      <w:r w:rsidRPr="004F67F4">
        <w:rPr>
          <w:rFonts w:ascii="Arial" w:hAnsi="Arial" w:cs="Arial"/>
          <w:sz w:val="24"/>
          <w:szCs w:val="24"/>
        </w:rPr>
        <w:t xml:space="preserve"> – Plenário. Relator: Ministro Benjamin </w:t>
      </w:r>
      <w:proofErr w:type="spellStart"/>
      <w:r w:rsidRPr="004F67F4">
        <w:rPr>
          <w:rFonts w:ascii="Arial" w:hAnsi="Arial" w:cs="Arial"/>
          <w:sz w:val="24"/>
          <w:szCs w:val="24"/>
        </w:rPr>
        <w:t>Zymler</w:t>
      </w:r>
      <w:proofErr w:type="spellEnd"/>
      <w:r w:rsidRPr="004F67F4">
        <w:rPr>
          <w:rFonts w:ascii="Arial" w:hAnsi="Arial" w:cs="Arial"/>
          <w:sz w:val="24"/>
          <w:szCs w:val="24"/>
        </w:rPr>
        <w:t>. Brasília: TCU, 2024.</w:t>
      </w:r>
    </w:p>
    <w:p w14:paraId="470D7F8C" w14:textId="77777777" w:rsidR="00D90448" w:rsidRPr="004F67F4" w:rsidRDefault="00D90448" w:rsidP="00801787">
      <w:pPr>
        <w:pStyle w:val="Pr-formataoHTML"/>
        <w:jc w:val="both"/>
        <w:rPr>
          <w:rFonts w:ascii="Arial" w:hAnsi="Arial" w:cs="Arial"/>
          <w:sz w:val="24"/>
          <w:szCs w:val="24"/>
        </w:rPr>
      </w:pPr>
    </w:p>
    <w:p w14:paraId="58709769" w14:textId="0C94E478" w:rsidR="00801787" w:rsidRPr="004F67F4" w:rsidRDefault="00801787" w:rsidP="004F67F4">
      <w:pPr>
        <w:pStyle w:val="Pr-formataoHTML"/>
        <w:jc w:val="both"/>
        <w:rPr>
          <w:rFonts w:ascii="Arial" w:hAnsi="Arial" w:cs="Arial"/>
          <w:sz w:val="24"/>
          <w:szCs w:val="24"/>
        </w:rPr>
      </w:pPr>
      <w:r w:rsidRPr="004F67F4">
        <w:rPr>
          <w:rFonts w:ascii="Arial" w:hAnsi="Arial" w:cs="Arial"/>
          <w:sz w:val="24"/>
          <w:szCs w:val="24"/>
        </w:rPr>
        <w:t xml:space="preserve">VASCONCELOS, M. L. A. </w:t>
      </w:r>
      <w:r w:rsidRPr="004F67F4">
        <w:rPr>
          <w:rFonts w:ascii="Arial" w:hAnsi="Arial" w:cs="Arial"/>
          <w:b/>
          <w:bCs/>
          <w:sz w:val="24"/>
          <w:szCs w:val="24"/>
        </w:rPr>
        <w:t>Assistência Estudantil e Sucesso Acadêmico: políticas públicas para redução da evasão</w:t>
      </w:r>
      <w:r w:rsidRPr="004F67F4">
        <w:rPr>
          <w:rFonts w:ascii="Arial" w:hAnsi="Arial" w:cs="Arial"/>
          <w:sz w:val="24"/>
          <w:szCs w:val="24"/>
        </w:rPr>
        <w:t>. Revista Brasileira de Política e Administração da Educação, v. 26, n. 1, 2010.</w:t>
      </w:r>
    </w:p>
    <w:p w14:paraId="7EC55189" w14:textId="77777777" w:rsidR="00801787" w:rsidRPr="004D78D3" w:rsidRDefault="00801787" w:rsidP="004F67F4">
      <w:pPr>
        <w:pStyle w:val="IDpaper-Text"/>
        <w:widowControl/>
        <w:spacing w:after="0"/>
        <w:jc w:val="both"/>
        <w:rPr>
          <w:rFonts w:cs="Arial"/>
          <w:kern w:val="0"/>
          <w:sz w:val="24"/>
          <w:szCs w:val="24"/>
          <w:lang w:val="pt-BR" w:eastAsia="pt-BR"/>
        </w:rPr>
      </w:pPr>
    </w:p>
    <w:p w14:paraId="078BA0DA" w14:textId="77777777" w:rsidR="00235886" w:rsidRPr="004F67F4" w:rsidRDefault="00235886" w:rsidP="004F67F4">
      <w:pPr>
        <w:spacing w:line="276" w:lineRule="auto"/>
        <w:rPr>
          <w:rFonts w:ascii="Arial" w:hAnsi="Arial" w:cs="Arial"/>
        </w:rPr>
      </w:pPr>
    </w:p>
    <w:sectPr w:rsidR="00235886" w:rsidRPr="004F67F4" w:rsidSect="004F67F4">
      <w:headerReference w:type="default" r:id="rId8"/>
      <w:footerReference w:type="default" r:id="rId9"/>
      <w:headerReference w:type="first" r:id="rId10"/>
      <w:pgSz w:w="11906" w:h="16838"/>
      <w:pgMar w:top="1701"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8DFE" w14:textId="77777777" w:rsidR="009E4DC9" w:rsidRDefault="009E4DC9">
      <w:r>
        <w:separator/>
      </w:r>
    </w:p>
  </w:endnote>
  <w:endnote w:type="continuationSeparator" w:id="0">
    <w:p w14:paraId="16F34BD5" w14:textId="77777777" w:rsidR="009E4DC9" w:rsidRDefault="009E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A3D4" w14:textId="77777777"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4F679E">
      <w:rPr>
        <w:rFonts w:ascii="Calibri" w:hAnsi="Calibri" w:cs="Calibri"/>
        <w:noProof/>
        <w:sz w:val="20"/>
      </w:rPr>
      <w:t>11</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4E31" w14:textId="77777777" w:rsidR="009E4DC9" w:rsidRDefault="009E4DC9">
      <w:r>
        <w:separator/>
      </w:r>
    </w:p>
  </w:footnote>
  <w:footnote w:type="continuationSeparator" w:id="0">
    <w:p w14:paraId="283EFE47" w14:textId="77777777" w:rsidR="009E4DC9" w:rsidRDefault="009E4DC9">
      <w:r>
        <w:continuationSeparator/>
      </w:r>
    </w:p>
  </w:footnote>
  <w:footnote w:id="1">
    <w:p w14:paraId="6D574EEE" w14:textId="00873F0C" w:rsidR="00D12011" w:rsidRPr="004F67F4" w:rsidRDefault="00D12011" w:rsidP="004F67F4">
      <w:pPr>
        <w:pStyle w:val="Textodenotaderodap"/>
        <w:jc w:val="both"/>
        <w:rPr>
          <w:rFonts w:ascii="Arial" w:hAnsi="Arial" w:cs="Arial"/>
        </w:rPr>
      </w:pPr>
      <w:r w:rsidRPr="004F67F4">
        <w:rPr>
          <w:rStyle w:val="Refdenotaderodap"/>
          <w:rFonts w:ascii="Arial" w:hAnsi="Arial" w:cs="Arial"/>
        </w:rPr>
        <w:footnoteRef/>
      </w:r>
      <w:r w:rsidRPr="004F67F4">
        <w:rPr>
          <w:rFonts w:ascii="Arial" w:hAnsi="Arial" w:cs="Arial"/>
        </w:rPr>
        <w:t xml:space="preserve"> </w:t>
      </w:r>
      <w:r w:rsidR="000F077C" w:rsidRPr="004F67F4">
        <w:rPr>
          <w:rFonts w:ascii="Arial" w:hAnsi="Arial" w:cs="Arial"/>
        </w:rPr>
        <w:t>Mestra em Engenharia de Produção, Doutoranda em Planejamento Regional e Gestão de Cidade</w:t>
      </w:r>
      <w:r w:rsidR="00BD1D88" w:rsidRPr="004F67F4">
        <w:rPr>
          <w:rFonts w:ascii="Arial" w:hAnsi="Arial" w:cs="Arial"/>
        </w:rPr>
        <w:t>.</w:t>
      </w:r>
      <w:r w:rsidR="000F077C" w:rsidRPr="004F67F4">
        <w:rPr>
          <w:rFonts w:ascii="Arial" w:hAnsi="Arial" w:cs="Arial"/>
        </w:rPr>
        <w:t xml:space="preserve"> UCAM. E-mail:vaneska_prestes@yahoo.com.br</w:t>
      </w:r>
    </w:p>
  </w:footnote>
  <w:footnote w:id="2">
    <w:p w14:paraId="0434CB87" w14:textId="5F8A5546" w:rsidR="000F077C" w:rsidRPr="004F67F4" w:rsidRDefault="00D12011" w:rsidP="004F67F4">
      <w:pPr>
        <w:pStyle w:val="Textodenotaderodap"/>
        <w:jc w:val="both"/>
        <w:rPr>
          <w:rStyle w:val="Refdenotaderodap"/>
          <w:rFonts w:ascii="Arial" w:hAnsi="Arial" w:cs="Arial"/>
        </w:rPr>
      </w:pPr>
      <w:r w:rsidRPr="004F67F4">
        <w:rPr>
          <w:rStyle w:val="Refdenotaderodap"/>
          <w:rFonts w:ascii="Arial" w:hAnsi="Arial" w:cs="Arial"/>
        </w:rPr>
        <w:footnoteRef/>
      </w:r>
      <w:r w:rsidRPr="004F67F4">
        <w:rPr>
          <w:rFonts w:ascii="Arial" w:hAnsi="Arial" w:cs="Arial"/>
        </w:rPr>
        <w:t xml:space="preserve"> </w:t>
      </w:r>
      <w:r w:rsidR="000F077C" w:rsidRPr="004F67F4">
        <w:rPr>
          <w:rFonts w:ascii="Arial" w:hAnsi="Arial" w:cs="Arial"/>
        </w:rPr>
        <w:t>Especialista em Gestão de RH e Ges</w:t>
      </w:r>
      <w:r w:rsidR="00BD1D88" w:rsidRPr="004F67F4">
        <w:rPr>
          <w:rFonts w:ascii="Arial" w:hAnsi="Arial" w:cs="Arial"/>
        </w:rPr>
        <w:t>t</w:t>
      </w:r>
      <w:r w:rsidR="000F077C" w:rsidRPr="004F67F4">
        <w:rPr>
          <w:rFonts w:ascii="Arial" w:hAnsi="Arial" w:cs="Arial"/>
        </w:rPr>
        <w:t>ão, Design e Marketing, Professora do Programa Mulheres Mil do Instituto Federal Fluminense, Mestrando em Planejamento Regional e Gestão de Cidade</w:t>
      </w:r>
      <w:r w:rsidR="00BD1D88" w:rsidRPr="004F67F4">
        <w:rPr>
          <w:rFonts w:ascii="Arial" w:hAnsi="Arial" w:cs="Arial"/>
        </w:rPr>
        <w:t>.</w:t>
      </w:r>
      <w:r w:rsidR="000F077C" w:rsidRPr="004F67F4">
        <w:rPr>
          <w:rFonts w:ascii="Arial" w:hAnsi="Arial" w:cs="Arial"/>
        </w:rPr>
        <w:t xml:space="preserve"> UCAM. E-mail:</w:t>
      </w:r>
      <w:r w:rsidR="00BD1D88" w:rsidRPr="004F67F4">
        <w:rPr>
          <w:rFonts w:ascii="Arial" w:hAnsi="Arial" w:cs="Arial"/>
        </w:rPr>
        <w:t xml:space="preserve"> rspereiracardoso@gmail.com</w:t>
      </w:r>
      <w:r w:rsidR="00BD1D88" w:rsidRPr="004F67F4">
        <w:rPr>
          <w:rStyle w:val="Refdenotaderodap"/>
          <w:rFonts w:ascii="Arial" w:hAnsi="Arial" w:cs="Arial"/>
        </w:rPr>
        <w:t xml:space="preserve"> </w:t>
      </w:r>
    </w:p>
  </w:footnote>
  <w:footnote w:id="3">
    <w:p w14:paraId="22A9AFE2" w14:textId="677D8BDE" w:rsidR="000F077C" w:rsidRPr="004F67F4" w:rsidRDefault="000F077C" w:rsidP="004F67F4">
      <w:pPr>
        <w:pStyle w:val="Textodenotaderodap"/>
        <w:jc w:val="both"/>
        <w:rPr>
          <w:rStyle w:val="Refdenotaderodap"/>
          <w:rFonts w:ascii="Arial" w:hAnsi="Arial" w:cs="Arial"/>
        </w:rPr>
      </w:pPr>
      <w:r w:rsidRPr="004F67F4">
        <w:rPr>
          <w:rStyle w:val="Refdenotaderodap"/>
          <w:rFonts w:ascii="Arial" w:hAnsi="Arial" w:cs="Arial"/>
        </w:rPr>
        <w:footnoteRef/>
      </w:r>
      <w:r w:rsidR="00F33170" w:rsidRPr="004F67F4">
        <w:rPr>
          <w:rFonts w:ascii="Arial" w:hAnsi="Arial" w:cs="Arial"/>
        </w:rPr>
        <w:t xml:space="preserve"> </w:t>
      </w:r>
      <w:r w:rsidR="00BD1D88" w:rsidRPr="004F67F4">
        <w:rPr>
          <w:rFonts w:ascii="Arial" w:hAnsi="Arial" w:cs="Arial"/>
        </w:rPr>
        <w:t xml:space="preserve">Mestre e Doutor em Direito. </w:t>
      </w:r>
      <w:proofErr w:type="spellStart"/>
      <w:r w:rsidR="00BD1D88" w:rsidRPr="004F67F4">
        <w:rPr>
          <w:rFonts w:ascii="Arial" w:hAnsi="Arial" w:cs="Arial"/>
        </w:rPr>
        <w:t>Ucam</w:t>
      </w:r>
      <w:proofErr w:type="spellEnd"/>
      <w:r w:rsidR="00BD1D88" w:rsidRPr="004F67F4">
        <w:rPr>
          <w:rFonts w:ascii="Arial" w:hAnsi="Arial" w:cs="Arial"/>
        </w:rPr>
        <w:t xml:space="preserve">. </w:t>
      </w:r>
      <w:r w:rsidR="00F33170" w:rsidRPr="004F67F4">
        <w:rPr>
          <w:rFonts w:ascii="Arial" w:hAnsi="Arial" w:cs="Arial"/>
        </w:rPr>
        <w:t>E-mail:</w:t>
      </w:r>
      <w:r w:rsidR="00BD1D88" w:rsidRPr="004F67F4">
        <w:rPr>
          <w:rFonts w:ascii="Arial" w:hAnsi="Arial" w:cs="Arial"/>
        </w:rPr>
        <w:t xml:space="preserve"> flavioahmed@gmail.com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5655" w14:textId="5D380CA1" w:rsidR="00490E5B" w:rsidRDefault="00D12011">
    <w:pPr>
      <w:pStyle w:val="Cabealho"/>
    </w:pPr>
    <w:r>
      <w:rPr>
        <w:noProof/>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2A7E71"/>
    <w:multiLevelType w:val="multilevel"/>
    <w:tmpl w:val="F58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2"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F2D1E6F"/>
    <w:multiLevelType w:val="hybridMultilevel"/>
    <w:tmpl w:val="9E86EF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4"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976F4"/>
    <w:multiLevelType w:val="multilevel"/>
    <w:tmpl w:val="79CA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abstractNumId w:val="30"/>
  </w:num>
  <w:num w:numId="2">
    <w:abstractNumId w:val="39"/>
  </w:num>
  <w:num w:numId="3">
    <w:abstractNumId w:val="36"/>
  </w:num>
  <w:num w:numId="4">
    <w:abstractNumId w:val="2"/>
  </w:num>
  <w:num w:numId="5">
    <w:abstractNumId w:val="22"/>
  </w:num>
  <w:num w:numId="6">
    <w:abstractNumId w:val="26"/>
  </w:num>
  <w:num w:numId="7">
    <w:abstractNumId w:val="3"/>
  </w:num>
  <w:num w:numId="8">
    <w:abstractNumId w:val="28"/>
  </w:num>
  <w:num w:numId="9">
    <w:abstractNumId w:val="21"/>
  </w:num>
  <w:num w:numId="10">
    <w:abstractNumId w:val="33"/>
  </w:num>
  <w:num w:numId="11">
    <w:abstractNumId w:val="7"/>
  </w:num>
  <w:num w:numId="12">
    <w:abstractNumId w:val="0"/>
  </w:num>
  <w:num w:numId="13">
    <w:abstractNumId w:val="8"/>
  </w:num>
  <w:num w:numId="14">
    <w:abstractNumId w:val="38"/>
  </w:num>
  <w:num w:numId="15">
    <w:abstractNumId w:val="14"/>
  </w:num>
  <w:num w:numId="16">
    <w:abstractNumId w:val="11"/>
  </w:num>
  <w:num w:numId="17">
    <w:abstractNumId w:val="25"/>
  </w:num>
  <w:num w:numId="18">
    <w:abstractNumId w:val="19"/>
  </w:num>
  <w:num w:numId="19">
    <w:abstractNumId w:val="9"/>
  </w:num>
  <w:num w:numId="20">
    <w:abstractNumId w:val="10"/>
  </w:num>
  <w:num w:numId="21">
    <w:abstractNumId w:val="23"/>
  </w:num>
  <w:num w:numId="22">
    <w:abstractNumId w:val="32"/>
  </w:num>
  <w:num w:numId="23">
    <w:abstractNumId w:val="20"/>
  </w:num>
  <w:num w:numId="24">
    <w:abstractNumId w:val="34"/>
  </w:num>
  <w:num w:numId="25">
    <w:abstractNumId w:val="6"/>
  </w:num>
  <w:num w:numId="26">
    <w:abstractNumId w:val="1"/>
  </w:num>
  <w:num w:numId="27">
    <w:abstractNumId w:val="42"/>
  </w:num>
  <w:num w:numId="28">
    <w:abstractNumId w:val="5"/>
  </w:num>
  <w:num w:numId="29">
    <w:abstractNumId w:val="35"/>
  </w:num>
  <w:num w:numId="30">
    <w:abstractNumId w:val="37"/>
  </w:num>
  <w:num w:numId="31">
    <w:abstractNumId w:val="12"/>
  </w:num>
  <w:num w:numId="32">
    <w:abstractNumId w:val="18"/>
  </w:num>
  <w:num w:numId="33">
    <w:abstractNumId w:val="31"/>
  </w:num>
  <w:num w:numId="34">
    <w:abstractNumId w:val="40"/>
  </w:num>
  <w:num w:numId="35">
    <w:abstractNumId w:val="27"/>
  </w:num>
  <w:num w:numId="36">
    <w:abstractNumId w:val="13"/>
  </w:num>
  <w:num w:numId="37">
    <w:abstractNumId w:val="16"/>
  </w:num>
  <w:num w:numId="38">
    <w:abstractNumId w:val="15"/>
  </w:num>
  <w:num w:numId="39">
    <w:abstractNumId w:val="24"/>
  </w:num>
  <w:num w:numId="40">
    <w:abstractNumId w:val="4"/>
  </w:num>
  <w:num w:numId="4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4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10226"/>
    <w:rsid w:val="00024269"/>
    <w:rsid w:val="000414E8"/>
    <w:rsid w:val="0004217D"/>
    <w:rsid w:val="00046AB6"/>
    <w:rsid w:val="0005777C"/>
    <w:rsid w:val="00063038"/>
    <w:rsid w:val="00065F47"/>
    <w:rsid w:val="00095E46"/>
    <w:rsid w:val="000A6B80"/>
    <w:rsid w:val="000A6F41"/>
    <w:rsid w:val="000A72DE"/>
    <w:rsid w:val="000C242D"/>
    <w:rsid w:val="000C4183"/>
    <w:rsid w:val="000D5A14"/>
    <w:rsid w:val="000E1DFF"/>
    <w:rsid w:val="000E2D73"/>
    <w:rsid w:val="000F077C"/>
    <w:rsid w:val="000F16D0"/>
    <w:rsid w:val="000F2E32"/>
    <w:rsid w:val="000F3D59"/>
    <w:rsid w:val="00104A10"/>
    <w:rsid w:val="001078E3"/>
    <w:rsid w:val="001123A7"/>
    <w:rsid w:val="001138E0"/>
    <w:rsid w:val="001147CC"/>
    <w:rsid w:val="00114B1B"/>
    <w:rsid w:val="00117C30"/>
    <w:rsid w:val="00120A4E"/>
    <w:rsid w:val="00127565"/>
    <w:rsid w:val="00127C73"/>
    <w:rsid w:val="00136A83"/>
    <w:rsid w:val="00155BB8"/>
    <w:rsid w:val="001675B9"/>
    <w:rsid w:val="00167CB2"/>
    <w:rsid w:val="00191522"/>
    <w:rsid w:val="00196D8B"/>
    <w:rsid w:val="001A27E8"/>
    <w:rsid w:val="001B2486"/>
    <w:rsid w:val="001B3129"/>
    <w:rsid w:val="001C0E88"/>
    <w:rsid w:val="001C79CE"/>
    <w:rsid w:val="001D2061"/>
    <w:rsid w:val="001D5941"/>
    <w:rsid w:val="001E20FC"/>
    <w:rsid w:val="001E7764"/>
    <w:rsid w:val="001F3BC5"/>
    <w:rsid w:val="001F62B8"/>
    <w:rsid w:val="001F6D68"/>
    <w:rsid w:val="001F74CA"/>
    <w:rsid w:val="00200951"/>
    <w:rsid w:val="00201A0B"/>
    <w:rsid w:val="00202520"/>
    <w:rsid w:val="00220D27"/>
    <w:rsid w:val="00223899"/>
    <w:rsid w:val="00224126"/>
    <w:rsid w:val="00230897"/>
    <w:rsid w:val="00231461"/>
    <w:rsid w:val="00235886"/>
    <w:rsid w:val="002407C1"/>
    <w:rsid w:val="00261CD9"/>
    <w:rsid w:val="00264FC4"/>
    <w:rsid w:val="00271EBF"/>
    <w:rsid w:val="00273E9A"/>
    <w:rsid w:val="00284807"/>
    <w:rsid w:val="002867F3"/>
    <w:rsid w:val="00290946"/>
    <w:rsid w:val="00293475"/>
    <w:rsid w:val="00295B3E"/>
    <w:rsid w:val="00297E83"/>
    <w:rsid w:val="002A0031"/>
    <w:rsid w:val="002A170C"/>
    <w:rsid w:val="002A686B"/>
    <w:rsid w:val="002A7713"/>
    <w:rsid w:val="002B29BD"/>
    <w:rsid w:val="002C09E9"/>
    <w:rsid w:val="002D4CA1"/>
    <w:rsid w:val="002E2F98"/>
    <w:rsid w:val="002E4F09"/>
    <w:rsid w:val="002F2EF7"/>
    <w:rsid w:val="0031360D"/>
    <w:rsid w:val="003254F8"/>
    <w:rsid w:val="00326E56"/>
    <w:rsid w:val="00327944"/>
    <w:rsid w:val="00341D1F"/>
    <w:rsid w:val="00362DDE"/>
    <w:rsid w:val="00362E84"/>
    <w:rsid w:val="00363C90"/>
    <w:rsid w:val="0036438F"/>
    <w:rsid w:val="003730F8"/>
    <w:rsid w:val="0037371D"/>
    <w:rsid w:val="00374A27"/>
    <w:rsid w:val="00376A96"/>
    <w:rsid w:val="003800A6"/>
    <w:rsid w:val="00393BF8"/>
    <w:rsid w:val="003B5837"/>
    <w:rsid w:val="003C59E4"/>
    <w:rsid w:val="003C7EF0"/>
    <w:rsid w:val="003E49D5"/>
    <w:rsid w:val="003E782A"/>
    <w:rsid w:val="003F0D31"/>
    <w:rsid w:val="003F1F0C"/>
    <w:rsid w:val="003F3012"/>
    <w:rsid w:val="003F4883"/>
    <w:rsid w:val="00405800"/>
    <w:rsid w:val="0041522A"/>
    <w:rsid w:val="00415E91"/>
    <w:rsid w:val="00426719"/>
    <w:rsid w:val="0043144A"/>
    <w:rsid w:val="0043185B"/>
    <w:rsid w:val="00440513"/>
    <w:rsid w:val="00442E22"/>
    <w:rsid w:val="00445DE1"/>
    <w:rsid w:val="004501FE"/>
    <w:rsid w:val="00457C7E"/>
    <w:rsid w:val="004739E0"/>
    <w:rsid w:val="00477E51"/>
    <w:rsid w:val="004819E9"/>
    <w:rsid w:val="00490E5B"/>
    <w:rsid w:val="00494B89"/>
    <w:rsid w:val="00496054"/>
    <w:rsid w:val="004A17BD"/>
    <w:rsid w:val="004A4E00"/>
    <w:rsid w:val="004A4FC3"/>
    <w:rsid w:val="004A6EBA"/>
    <w:rsid w:val="004A70CB"/>
    <w:rsid w:val="004B1806"/>
    <w:rsid w:val="004B5C77"/>
    <w:rsid w:val="004C43E6"/>
    <w:rsid w:val="004D78D3"/>
    <w:rsid w:val="004E0028"/>
    <w:rsid w:val="004E093B"/>
    <w:rsid w:val="004E5D19"/>
    <w:rsid w:val="004F679E"/>
    <w:rsid w:val="004F67F4"/>
    <w:rsid w:val="005055F4"/>
    <w:rsid w:val="00506622"/>
    <w:rsid w:val="00517648"/>
    <w:rsid w:val="00521E49"/>
    <w:rsid w:val="00535643"/>
    <w:rsid w:val="00536719"/>
    <w:rsid w:val="00542640"/>
    <w:rsid w:val="005565E4"/>
    <w:rsid w:val="00567737"/>
    <w:rsid w:val="00570D1D"/>
    <w:rsid w:val="00571CFD"/>
    <w:rsid w:val="00572E2F"/>
    <w:rsid w:val="0057601C"/>
    <w:rsid w:val="00582B58"/>
    <w:rsid w:val="0059288D"/>
    <w:rsid w:val="005972B0"/>
    <w:rsid w:val="005A1CD6"/>
    <w:rsid w:val="005A314C"/>
    <w:rsid w:val="005A47F3"/>
    <w:rsid w:val="005B01D5"/>
    <w:rsid w:val="005B49B9"/>
    <w:rsid w:val="005B7ACD"/>
    <w:rsid w:val="005C31CB"/>
    <w:rsid w:val="005C41E6"/>
    <w:rsid w:val="005D48F7"/>
    <w:rsid w:val="005E16F1"/>
    <w:rsid w:val="005E263B"/>
    <w:rsid w:val="005E648F"/>
    <w:rsid w:val="005F34A0"/>
    <w:rsid w:val="005F52BC"/>
    <w:rsid w:val="00607097"/>
    <w:rsid w:val="00622DC2"/>
    <w:rsid w:val="00624AE5"/>
    <w:rsid w:val="00630D2E"/>
    <w:rsid w:val="006366BC"/>
    <w:rsid w:val="00650AF6"/>
    <w:rsid w:val="00653C27"/>
    <w:rsid w:val="00666AFA"/>
    <w:rsid w:val="00667AE6"/>
    <w:rsid w:val="006744BE"/>
    <w:rsid w:val="00674FAE"/>
    <w:rsid w:val="0067630F"/>
    <w:rsid w:val="00680E2C"/>
    <w:rsid w:val="00681ABF"/>
    <w:rsid w:val="00682D0D"/>
    <w:rsid w:val="00682DC9"/>
    <w:rsid w:val="0068594F"/>
    <w:rsid w:val="00687B33"/>
    <w:rsid w:val="00693C5D"/>
    <w:rsid w:val="00695742"/>
    <w:rsid w:val="00695E13"/>
    <w:rsid w:val="006A00E2"/>
    <w:rsid w:val="006A3003"/>
    <w:rsid w:val="006B0D3D"/>
    <w:rsid w:val="006B7364"/>
    <w:rsid w:val="006C0DB4"/>
    <w:rsid w:val="006C358E"/>
    <w:rsid w:val="006D40D5"/>
    <w:rsid w:val="006D6411"/>
    <w:rsid w:val="006E048A"/>
    <w:rsid w:val="006E631B"/>
    <w:rsid w:val="006E7616"/>
    <w:rsid w:val="006F18B0"/>
    <w:rsid w:val="00700A42"/>
    <w:rsid w:val="00721BE8"/>
    <w:rsid w:val="00730FFC"/>
    <w:rsid w:val="007347D1"/>
    <w:rsid w:val="00741715"/>
    <w:rsid w:val="00745D16"/>
    <w:rsid w:val="00757A25"/>
    <w:rsid w:val="007722E0"/>
    <w:rsid w:val="007774CE"/>
    <w:rsid w:val="00780E64"/>
    <w:rsid w:val="00783943"/>
    <w:rsid w:val="00786157"/>
    <w:rsid w:val="00791C37"/>
    <w:rsid w:val="00793C56"/>
    <w:rsid w:val="007B243F"/>
    <w:rsid w:val="007C0FC3"/>
    <w:rsid w:val="007C1ADF"/>
    <w:rsid w:val="007C1B96"/>
    <w:rsid w:val="007D5DDC"/>
    <w:rsid w:val="007E0711"/>
    <w:rsid w:val="007E7F7C"/>
    <w:rsid w:val="007F1C9A"/>
    <w:rsid w:val="00801787"/>
    <w:rsid w:val="00801EA0"/>
    <w:rsid w:val="00813611"/>
    <w:rsid w:val="00815495"/>
    <w:rsid w:val="008174A8"/>
    <w:rsid w:val="00831914"/>
    <w:rsid w:val="008334ED"/>
    <w:rsid w:val="00843BC1"/>
    <w:rsid w:val="00846D63"/>
    <w:rsid w:val="00860638"/>
    <w:rsid w:val="00872B3A"/>
    <w:rsid w:val="008757BF"/>
    <w:rsid w:val="00880CB3"/>
    <w:rsid w:val="008917DA"/>
    <w:rsid w:val="00895B21"/>
    <w:rsid w:val="00895DCE"/>
    <w:rsid w:val="00897DDF"/>
    <w:rsid w:val="008A313F"/>
    <w:rsid w:val="008A3951"/>
    <w:rsid w:val="008A6527"/>
    <w:rsid w:val="008B02CF"/>
    <w:rsid w:val="008B1DDC"/>
    <w:rsid w:val="008B38B0"/>
    <w:rsid w:val="008B4230"/>
    <w:rsid w:val="008B4CF6"/>
    <w:rsid w:val="008C541A"/>
    <w:rsid w:val="008F029C"/>
    <w:rsid w:val="008F4712"/>
    <w:rsid w:val="00905E02"/>
    <w:rsid w:val="0094519B"/>
    <w:rsid w:val="00946C4C"/>
    <w:rsid w:val="00947EED"/>
    <w:rsid w:val="00962533"/>
    <w:rsid w:val="0097119C"/>
    <w:rsid w:val="0097448C"/>
    <w:rsid w:val="00974E35"/>
    <w:rsid w:val="00980FA7"/>
    <w:rsid w:val="009A0CC3"/>
    <w:rsid w:val="009A1200"/>
    <w:rsid w:val="009A5779"/>
    <w:rsid w:val="009A61A3"/>
    <w:rsid w:val="009B006A"/>
    <w:rsid w:val="009C365F"/>
    <w:rsid w:val="009D4E5E"/>
    <w:rsid w:val="009E11AF"/>
    <w:rsid w:val="009E2AAF"/>
    <w:rsid w:val="009E4DC9"/>
    <w:rsid w:val="009F3725"/>
    <w:rsid w:val="009F786E"/>
    <w:rsid w:val="00A01F45"/>
    <w:rsid w:val="00A15D73"/>
    <w:rsid w:val="00A279D3"/>
    <w:rsid w:val="00A3111E"/>
    <w:rsid w:val="00A36F5B"/>
    <w:rsid w:val="00A378F9"/>
    <w:rsid w:val="00A42870"/>
    <w:rsid w:val="00A45B64"/>
    <w:rsid w:val="00A50241"/>
    <w:rsid w:val="00A51777"/>
    <w:rsid w:val="00A51B9A"/>
    <w:rsid w:val="00A56B54"/>
    <w:rsid w:val="00A606E6"/>
    <w:rsid w:val="00A60E78"/>
    <w:rsid w:val="00A61767"/>
    <w:rsid w:val="00A621D7"/>
    <w:rsid w:val="00A659E9"/>
    <w:rsid w:val="00A701BD"/>
    <w:rsid w:val="00A83DE6"/>
    <w:rsid w:val="00A9462A"/>
    <w:rsid w:val="00A95E7E"/>
    <w:rsid w:val="00AA3317"/>
    <w:rsid w:val="00AC7470"/>
    <w:rsid w:val="00AD15DA"/>
    <w:rsid w:val="00AE2288"/>
    <w:rsid w:val="00AE4865"/>
    <w:rsid w:val="00AE6655"/>
    <w:rsid w:val="00AF2DDA"/>
    <w:rsid w:val="00B01BC4"/>
    <w:rsid w:val="00B033CB"/>
    <w:rsid w:val="00B05CD8"/>
    <w:rsid w:val="00B06A2D"/>
    <w:rsid w:val="00B074FA"/>
    <w:rsid w:val="00B10974"/>
    <w:rsid w:val="00B12650"/>
    <w:rsid w:val="00B247D4"/>
    <w:rsid w:val="00B26AC4"/>
    <w:rsid w:val="00B35681"/>
    <w:rsid w:val="00B400F6"/>
    <w:rsid w:val="00B41B00"/>
    <w:rsid w:val="00B43077"/>
    <w:rsid w:val="00B46EF9"/>
    <w:rsid w:val="00B47196"/>
    <w:rsid w:val="00B5272A"/>
    <w:rsid w:val="00B5755E"/>
    <w:rsid w:val="00B743F2"/>
    <w:rsid w:val="00B814ED"/>
    <w:rsid w:val="00B8206A"/>
    <w:rsid w:val="00B82BC4"/>
    <w:rsid w:val="00B87915"/>
    <w:rsid w:val="00B91D7C"/>
    <w:rsid w:val="00B94E4D"/>
    <w:rsid w:val="00BA3EAE"/>
    <w:rsid w:val="00BD1D88"/>
    <w:rsid w:val="00BD2E89"/>
    <w:rsid w:val="00BD58F3"/>
    <w:rsid w:val="00BF415F"/>
    <w:rsid w:val="00C07174"/>
    <w:rsid w:val="00C100EF"/>
    <w:rsid w:val="00C15287"/>
    <w:rsid w:val="00C167E2"/>
    <w:rsid w:val="00C26BD6"/>
    <w:rsid w:val="00C34DFE"/>
    <w:rsid w:val="00C50DCB"/>
    <w:rsid w:val="00C559FD"/>
    <w:rsid w:val="00C56B29"/>
    <w:rsid w:val="00C57930"/>
    <w:rsid w:val="00C64578"/>
    <w:rsid w:val="00C67A4C"/>
    <w:rsid w:val="00C75CEC"/>
    <w:rsid w:val="00C776E8"/>
    <w:rsid w:val="00C8456E"/>
    <w:rsid w:val="00C91980"/>
    <w:rsid w:val="00C9544A"/>
    <w:rsid w:val="00CA44F9"/>
    <w:rsid w:val="00CB2D50"/>
    <w:rsid w:val="00CD21B2"/>
    <w:rsid w:val="00CE3359"/>
    <w:rsid w:val="00CE393F"/>
    <w:rsid w:val="00CE55D0"/>
    <w:rsid w:val="00CF0886"/>
    <w:rsid w:val="00CF1945"/>
    <w:rsid w:val="00CF7E6C"/>
    <w:rsid w:val="00D02EE3"/>
    <w:rsid w:val="00D05648"/>
    <w:rsid w:val="00D12011"/>
    <w:rsid w:val="00D20F95"/>
    <w:rsid w:val="00D3027E"/>
    <w:rsid w:val="00D439AA"/>
    <w:rsid w:val="00D43FFD"/>
    <w:rsid w:val="00D564D8"/>
    <w:rsid w:val="00D602B1"/>
    <w:rsid w:val="00D62030"/>
    <w:rsid w:val="00D7654A"/>
    <w:rsid w:val="00D90448"/>
    <w:rsid w:val="00D90EF7"/>
    <w:rsid w:val="00D94358"/>
    <w:rsid w:val="00DA23C2"/>
    <w:rsid w:val="00DA79DB"/>
    <w:rsid w:val="00DB3E3E"/>
    <w:rsid w:val="00DB6886"/>
    <w:rsid w:val="00DC43FA"/>
    <w:rsid w:val="00DD0900"/>
    <w:rsid w:val="00DD5885"/>
    <w:rsid w:val="00DE15D1"/>
    <w:rsid w:val="00DF123A"/>
    <w:rsid w:val="00DF26FD"/>
    <w:rsid w:val="00E032D8"/>
    <w:rsid w:val="00E1449E"/>
    <w:rsid w:val="00E151B3"/>
    <w:rsid w:val="00E242F7"/>
    <w:rsid w:val="00E336D7"/>
    <w:rsid w:val="00E35B5C"/>
    <w:rsid w:val="00E41D8C"/>
    <w:rsid w:val="00E4403B"/>
    <w:rsid w:val="00E448FE"/>
    <w:rsid w:val="00E460FE"/>
    <w:rsid w:val="00E51EDE"/>
    <w:rsid w:val="00E53F1F"/>
    <w:rsid w:val="00E56733"/>
    <w:rsid w:val="00E65E72"/>
    <w:rsid w:val="00E771B8"/>
    <w:rsid w:val="00EA2C25"/>
    <w:rsid w:val="00EA3457"/>
    <w:rsid w:val="00EB1F42"/>
    <w:rsid w:val="00EB466E"/>
    <w:rsid w:val="00EC33AE"/>
    <w:rsid w:val="00EC5241"/>
    <w:rsid w:val="00EE0F6F"/>
    <w:rsid w:val="00EE4562"/>
    <w:rsid w:val="00EE4C8F"/>
    <w:rsid w:val="00EF3426"/>
    <w:rsid w:val="00EF5F75"/>
    <w:rsid w:val="00F01EBE"/>
    <w:rsid w:val="00F06F4A"/>
    <w:rsid w:val="00F111D0"/>
    <w:rsid w:val="00F15EEC"/>
    <w:rsid w:val="00F2116A"/>
    <w:rsid w:val="00F21DC7"/>
    <w:rsid w:val="00F30F28"/>
    <w:rsid w:val="00F32A95"/>
    <w:rsid w:val="00F33170"/>
    <w:rsid w:val="00F40B67"/>
    <w:rsid w:val="00F453E2"/>
    <w:rsid w:val="00F45C07"/>
    <w:rsid w:val="00F512C0"/>
    <w:rsid w:val="00F53E84"/>
    <w:rsid w:val="00F5612F"/>
    <w:rsid w:val="00F671DF"/>
    <w:rsid w:val="00F70C42"/>
    <w:rsid w:val="00F73A38"/>
    <w:rsid w:val="00F7740E"/>
    <w:rsid w:val="00F77DED"/>
    <w:rsid w:val="00F803E0"/>
    <w:rsid w:val="00F80A13"/>
    <w:rsid w:val="00F80DA8"/>
    <w:rsid w:val="00F846C0"/>
    <w:rsid w:val="00F86E19"/>
    <w:rsid w:val="00FB0496"/>
    <w:rsid w:val="00FB23D9"/>
    <w:rsid w:val="00FB64BA"/>
    <w:rsid w:val="00FC06BF"/>
    <w:rsid w:val="00FC2432"/>
    <w:rsid w:val="00FC7FBB"/>
    <w:rsid w:val="00FD58FF"/>
    <w:rsid w:val="00FE3684"/>
    <w:rsid w:val="00FE507B"/>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paragraph" w:styleId="Pr-formataoHTML">
    <w:name w:val="HTML Preformatted"/>
    <w:basedOn w:val="Normal"/>
    <w:link w:val="Pr-formataoHTMLChar"/>
    <w:unhideWhenUsed/>
    <w:rsid w:val="00E242F7"/>
    <w:rPr>
      <w:rFonts w:ascii="Consolas" w:hAnsi="Consolas"/>
      <w:sz w:val="20"/>
      <w:szCs w:val="20"/>
    </w:rPr>
  </w:style>
  <w:style w:type="character" w:customStyle="1" w:styleId="Pr-formataoHTMLChar">
    <w:name w:val="Pré-formatação HTML Char"/>
    <w:basedOn w:val="Fontepargpadro"/>
    <w:link w:val="Pr-formataoHTML"/>
    <w:uiPriority w:val="99"/>
    <w:semiHidden/>
    <w:rsid w:val="00E242F7"/>
    <w:rPr>
      <w:rFonts w:ascii="Consolas" w:hAnsi="Consolas"/>
    </w:rPr>
  </w:style>
  <w:style w:type="character" w:styleId="MenoPendente">
    <w:name w:val="Unresolved Mention"/>
    <w:basedOn w:val="Fontepargpadro"/>
    <w:uiPriority w:val="99"/>
    <w:semiHidden/>
    <w:unhideWhenUsed/>
    <w:rsid w:val="000F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ABC54-56F3-496D-AA55-CFA9E25C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6584</Words>
  <Characters>35554</Characters>
  <Application>Microsoft Office Word</Application>
  <DocSecurity>0</DocSecurity>
  <Lines>296</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42054</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ADM</cp:lastModifiedBy>
  <cp:revision>2</cp:revision>
  <cp:lastPrinted>2025-10-21T22:53:00Z</cp:lastPrinted>
  <dcterms:created xsi:type="dcterms:W3CDTF">2025-10-22T14:16:00Z</dcterms:created>
  <dcterms:modified xsi:type="dcterms:W3CDTF">2025-10-22T14:16:00Z</dcterms:modified>
</cp:coreProperties>
</file>