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7CDB" w14:textId="0E8899A5" w:rsidR="009D1CB1" w:rsidRDefault="001A518F" w:rsidP="008F53E2">
      <w:pPr>
        <w:spacing w:line="360" w:lineRule="auto"/>
        <w:jc w:val="center"/>
        <w:rPr>
          <w:rFonts w:cs="Arial"/>
          <w:sz w:val="24"/>
          <w:szCs w:val="24"/>
        </w:rPr>
      </w:pPr>
      <w:bookmarkStart w:id="0" w:name="_Hlk120915664"/>
      <w:r>
        <w:rPr>
          <w:noProof/>
        </w:rPr>
        <w:drawing>
          <wp:inline distT="0" distB="0" distL="0" distR="0" wp14:anchorId="297B1394" wp14:editId="46D4E174">
            <wp:extent cx="4670425" cy="1297305"/>
            <wp:effectExtent l="0" t="0" r="0" b="0"/>
            <wp:docPr id="1"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Interface gráfica do usuário&#10;&#10;O conteúdo gerado por IA pode estar incorret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670425" cy="1297305"/>
                    </a:xfrm>
                    <a:prstGeom prst="rect">
                      <a:avLst/>
                    </a:prstGeom>
                    <a:noFill/>
                    <a:ln>
                      <a:noFill/>
                    </a:ln>
                  </pic:spPr>
                </pic:pic>
              </a:graphicData>
            </a:graphic>
          </wp:inline>
        </w:drawing>
      </w:r>
    </w:p>
    <w:p w14:paraId="1DADC217" w14:textId="7D78E705" w:rsidR="005D6AC7" w:rsidRPr="009D1CB1" w:rsidRDefault="005D6AC7" w:rsidP="008F53E2">
      <w:pPr>
        <w:spacing w:line="360" w:lineRule="auto"/>
        <w:jc w:val="center"/>
        <w:rPr>
          <w:rFonts w:ascii="Times New Roman" w:hAnsi="Times New Roman" w:cs="Times New Roman"/>
          <w:b/>
          <w:bCs/>
          <w:sz w:val="24"/>
          <w:szCs w:val="24"/>
        </w:rPr>
      </w:pPr>
      <w:r w:rsidRPr="009D1CB1">
        <w:rPr>
          <w:rFonts w:cs="Arial"/>
          <w:sz w:val="24"/>
          <w:szCs w:val="24"/>
        </w:rPr>
        <w:t xml:space="preserve">Eixo Temático: </w:t>
      </w:r>
      <w:bookmarkEnd w:id="0"/>
      <w:r w:rsidR="00A37F35" w:rsidRPr="00C83F6F">
        <w:rPr>
          <w:rFonts w:cs="Arial"/>
          <w:b/>
          <w:bCs/>
          <w:color w:val="000000" w:themeColor="text1"/>
          <w:sz w:val="24"/>
          <w:szCs w:val="24"/>
        </w:rPr>
        <w:t>GT2 – Políticas Públicas, Emancipação e Desenvolvimento Regional</w:t>
      </w:r>
    </w:p>
    <w:p w14:paraId="40BDD0EA" w14:textId="4015C184" w:rsidR="0072458D" w:rsidRPr="0072458D" w:rsidRDefault="0072458D" w:rsidP="008F53E2">
      <w:pPr>
        <w:spacing w:line="360" w:lineRule="auto"/>
        <w:jc w:val="center"/>
        <w:rPr>
          <w:rFonts w:ascii="Times New Roman" w:hAnsi="Times New Roman" w:cs="Times New Roman"/>
          <w:b/>
          <w:bCs/>
          <w:sz w:val="28"/>
          <w:szCs w:val="28"/>
        </w:rPr>
      </w:pPr>
      <w:r w:rsidRPr="0072458D">
        <w:rPr>
          <w:rFonts w:ascii="Times New Roman" w:hAnsi="Times New Roman" w:cs="Times New Roman"/>
          <w:b/>
          <w:bCs/>
          <w:sz w:val="28"/>
          <w:szCs w:val="28"/>
        </w:rPr>
        <w:t>Cidades que planejam a saúde coletiva: uma análise crítica e propositiva a partir de dados públicos e casos reais</w:t>
      </w:r>
    </w:p>
    <w:p w14:paraId="68932C20" w14:textId="213671F0" w:rsidR="00067DA0" w:rsidRPr="009F12BA" w:rsidRDefault="00067DA0" w:rsidP="008F53E2">
      <w:pPr>
        <w:spacing w:line="360" w:lineRule="auto"/>
        <w:jc w:val="center"/>
        <w:rPr>
          <w:rFonts w:ascii="Times New Roman" w:hAnsi="Times New Roman" w:cs="Times New Roman"/>
          <w:i/>
          <w:iCs/>
          <w:sz w:val="24"/>
          <w:szCs w:val="24"/>
        </w:rPr>
      </w:pPr>
      <w:proofErr w:type="spellStart"/>
      <w:r w:rsidRPr="009F12BA">
        <w:rPr>
          <w:rFonts w:ascii="Times New Roman" w:hAnsi="Times New Roman" w:cs="Times New Roman"/>
          <w:i/>
          <w:iCs/>
          <w:sz w:val="24"/>
          <w:szCs w:val="24"/>
        </w:rPr>
        <w:t>Cities</w:t>
      </w:r>
      <w:proofErr w:type="spellEnd"/>
      <w:r w:rsidRPr="009F12BA">
        <w:rPr>
          <w:rFonts w:ascii="Times New Roman" w:hAnsi="Times New Roman" w:cs="Times New Roman"/>
          <w:i/>
          <w:iCs/>
          <w:sz w:val="24"/>
          <w:szCs w:val="24"/>
        </w:rPr>
        <w:t xml:space="preserve"> </w:t>
      </w:r>
      <w:proofErr w:type="spellStart"/>
      <w:r w:rsidRPr="009F12BA">
        <w:rPr>
          <w:rFonts w:ascii="Times New Roman" w:hAnsi="Times New Roman" w:cs="Times New Roman"/>
          <w:i/>
          <w:iCs/>
          <w:sz w:val="24"/>
          <w:szCs w:val="24"/>
        </w:rPr>
        <w:t>that</w:t>
      </w:r>
      <w:proofErr w:type="spellEnd"/>
      <w:r w:rsidRPr="009F12BA">
        <w:rPr>
          <w:rFonts w:ascii="Times New Roman" w:hAnsi="Times New Roman" w:cs="Times New Roman"/>
          <w:i/>
          <w:iCs/>
          <w:sz w:val="24"/>
          <w:szCs w:val="24"/>
        </w:rPr>
        <w:t xml:space="preserve"> </w:t>
      </w:r>
      <w:proofErr w:type="spellStart"/>
      <w:r w:rsidRPr="009F12BA">
        <w:rPr>
          <w:rFonts w:ascii="Times New Roman" w:hAnsi="Times New Roman" w:cs="Times New Roman"/>
          <w:i/>
          <w:iCs/>
          <w:sz w:val="24"/>
          <w:szCs w:val="24"/>
        </w:rPr>
        <w:t>Plan</w:t>
      </w:r>
      <w:proofErr w:type="spellEnd"/>
      <w:r w:rsidRPr="009F12BA">
        <w:rPr>
          <w:rFonts w:ascii="Times New Roman" w:hAnsi="Times New Roman" w:cs="Times New Roman"/>
          <w:i/>
          <w:iCs/>
          <w:sz w:val="24"/>
          <w:szCs w:val="24"/>
        </w:rPr>
        <w:t xml:space="preserve"> </w:t>
      </w:r>
      <w:proofErr w:type="spellStart"/>
      <w:r w:rsidRPr="009F12BA">
        <w:rPr>
          <w:rFonts w:ascii="Times New Roman" w:hAnsi="Times New Roman" w:cs="Times New Roman"/>
          <w:i/>
          <w:iCs/>
          <w:sz w:val="24"/>
          <w:szCs w:val="24"/>
        </w:rPr>
        <w:t>Public</w:t>
      </w:r>
      <w:proofErr w:type="spellEnd"/>
      <w:r w:rsidRPr="009F12BA">
        <w:rPr>
          <w:rFonts w:ascii="Times New Roman" w:hAnsi="Times New Roman" w:cs="Times New Roman"/>
          <w:i/>
          <w:iCs/>
          <w:sz w:val="24"/>
          <w:szCs w:val="24"/>
        </w:rPr>
        <w:t xml:space="preserve"> Health: A </w:t>
      </w:r>
      <w:proofErr w:type="spellStart"/>
      <w:r w:rsidRPr="009F12BA">
        <w:rPr>
          <w:rFonts w:ascii="Times New Roman" w:hAnsi="Times New Roman" w:cs="Times New Roman"/>
          <w:i/>
          <w:iCs/>
          <w:sz w:val="24"/>
          <w:szCs w:val="24"/>
        </w:rPr>
        <w:t>Critical</w:t>
      </w:r>
      <w:proofErr w:type="spellEnd"/>
      <w:r w:rsidRPr="009F12BA">
        <w:rPr>
          <w:rFonts w:ascii="Times New Roman" w:hAnsi="Times New Roman" w:cs="Times New Roman"/>
          <w:i/>
          <w:iCs/>
          <w:sz w:val="24"/>
          <w:szCs w:val="24"/>
        </w:rPr>
        <w:t xml:space="preserve"> </w:t>
      </w:r>
      <w:proofErr w:type="spellStart"/>
      <w:r w:rsidRPr="009F12BA">
        <w:rPr>
          <w:rFonts w:ascii="Times New Roman" w:hAnsi="Times New Roman" w:cs="Times New Roman"/>
          <w:i/>
          <w:iCs/>
          <w:sz w:val="24"/>
          <w:szCs w:val="24"/>
        </w:rPr>
        <w:t>and</w:t>
      </w:r>
      <w:proofErr w:type="spellEnd"/>
      <w:r w:rsidRPr="009F12BA">
        <w:rPr>
          <w:rFonts w:ascii="Times New Roman" w:hAnsi="Times New Roman" w:cs="Times New Roman"/>
          <w:i/>
          <w:iCs/>
          <w:sz w:val="24"/>
          <w:szCs w:val="24"/>
        </w:rPr>
        <w:t xml:space="preserve"> </w:t>
      </w:r>
      <w:proofErr w:type="spellStart"/>
      <w:r w:rsidRPr="009F12BA">
        <w:rPr>
          <w:rFonts w:ascii="Times New Roman" w:hAnsi="Times New Roman" w:cs="Times New Roman"/>
          <w:i/>
          <w:iCs/>
          <w:sz w:val="24"/>
          <w:szCs w:val="24"/>
        </w:rPr>
        <w:t>Propositional</w:t>
      </w:r>
      <w:proofErr w:type="spellEnd"/>
      <w:r w:rsidRPr="009F12BA">
        <w:rPr>
          <w:rFonts w:ascii="Times New Roman" w:hAnsi="Times New Roman" w:cs="Times New Roman"/>
          <w:i/>
          <w:iCs/>
          <w:sz w:val="24"/>
          <w:szCs w:val="24"/>
        </w:rPr>
        <w:t xml:space="preserve"> </w:t>
      </w:r>
      <w:proofErr w:type="spellStart"/>
      <w:r w:rsidRPr="009F12BA">
        <w:rPr>
          <w:rFonts w:ascii="Times New Roman" w:hAnsi="Times New Roman" w:cs="Times New Roman"/>
          <w:i/>
          <w:iCs/>
          <w:sz w:val="24"/>
          <w:szCs w:val="24"/>
        </w:rPr>
        <w:t>Analysis</w:t>
      </w:r>
      <w:proofErr w:type="spellEnd"/>
      <w:r w:rsidRPr="009F12BA">
        <w:rPr>
          <w:rFonts w:ascii="Times New Roman" w:hAnsi="Times New Roman" w:cs="Times New Roman"/>
          <w:i/>
          <w:iCs/>
          <w:sz w:val="24"/>
          <w:szCs w:val="24"/>
        </w:rPr>
        <w:t xml:space="preserve"> </w:t>
      </w:r>
      <w:proofErr w:type="spellStart"/>
      <w:r w:rsidRPr="009F12BA">
        <w:rPr>
          <w:rFonts w:ascii="Times New Roman" w:hAnsi="Times New Roman" w:cs="Times New Roman"/>
          <w:i/>
          <w:iCs/>
          <w:sz w:val="24"/>
          <w:szCs w:val="24"/>
        </w:rPr>
        <w:t>from</w:t>
      </w:r>
      <w:proofErr w:type="spellEnd"/>
      <w:r w:rsidRPr="009F12BA">
        <w:rPr>
          <w:rFonts w:ascii="Times New Roman" w:hAnsi="Times New Roman" w:cs="Times New Roman"/>
          <w:i/>
          <w:iCs/>
          <w:sz w:val="24"/>
          <w:szCs w:val="24"/>
        </w:rPr>
        <w:t xml:space="preserve"> </w:t>
      </w:r>
      <w:proofErr w:type="spellStart"/>
      <w:r w:rsidRPr="009F12BA">
        <w:rPr>
          <w:rFonts w:ascii="Times New Roman" w:hAnsi="Times New Roman" w:cs="Times New Roman"/>
          <w:i/>
          <w:iCs/>
          <w:sz w:val="24"/>
          <w:szCs w:val="24"/>
        </w:rPr>
        <w:t>Public</w:t>
      </w:r>
      <w:proofErr w:type="spellEnd"/>
      <w:r w:rsidRPr="009F12BA">
        <w:rPr>
          <w:rFonts w:ascii="Times New Roman" w:hAnsi="Times New Roman" w:cs="Times New Roman"/>
          <w:i/>
          <w:iCs/>
          <w:sz w:val="24"/>
          <w:szCs w:val="24"/>
        </w:rPr>
        <w:t xml:space="preserve"> Data </w:t>
      </w:r>
      <w:proofErr w:type="spellStart"/>
      <w:r w:rsidRPr="009F12BA">
        <w:rPr>
          <w:rFonts w:ascii="Times New Roman" w:hAnsi="Times New Roman" w:cs="Times New Roman"/>
          <w:i/>
          <w:iCs/>
          <w:sz w:val="24"/>
          <w:szCs w:val="24"/>
        </w:rPr>
        <w:t>and</w:t>
      </w:r>
      <w:proofErr w:type="spellEnd"/>
      <w:r w:rsidRPr="009F12BA">
        <w:rPr>
          <w:rFonts w:ascii="Times New Roman" w:hAnsi="Times New Roman" w:cs="Times New Roman"/>
          <w:i/>
          <w:iCs/>
          <w:sz w:val="24"/>
          <w:szCs w:val="24"/>
        </w:rPr>
        <w:t xml:space="preserve"> Real-World Cases</w:t>
      </w:r>
    </w:p>
    <w:p w14:paraId="694B5742" w14:textId="013D2E3E" w:rsidR="00FD7BF8" w:rsidRPr="00EC0F5A" w:rsidRDefault="00FD7BF8" w:rsidP="00EC0F5A">
      <w:pPr>
        <w:spacing w:after="0" w:line="360" w:lineRule="auto"/>
        <w:jc w:val="right"/>
        <w:rPr>
          <w:rFonts w:ascii="Times New Roman" w:hAnsi="Times New Roman" w:cs="Times New Roman"/>
          <w:b/>
          <w:bCs/>
          <w:sz w:val="18"/>
          <w:szCs w:val="18"/>
        </w:rPr>
      </w:pPr>
      <w:r w:rsidRPr="00EC0F5A">
        <w:rPr>
          <w:rFonts w:ascii="Times New Roman" w:hAnsi="Times New Roman" w:cs="Times New Roman"/>
          <w:b/>
          <w:bCs/>
          <w:sz w:val="18"/>
          <w:szCs w:val="18"/>
        </w:rPr>
        <w:t>Alexandra Moreira Carvalho Gomes</w:t>
      </w:r>
      <w:r w:rsidR="000F037D">
        <w:rPr>
          <w:rStyle w:val="Refdenotaderodap"/>
          <w:rFonts w:ascii="Times New Roman" w:hAnsi="Times New Roman" w:cs="Times New Roman"/>
          <w:b/>
          <w:bCs/>
          <w:sz w:val="18"/>
          <w:szCs w:val="18"/>
        </w:rPr>
        <w:footnoteReference w:id="1"/>
      </w:r>
    </w:p>
    <w:p w14:paraId="166B20CF" w14:textId="4E2393B9" w:rsidR="00B615F8" w:rsidRPr="00EC0F5A" w:rsidRDefault="00B7184C" w:rsidP="008F53E2">
      <w:pPr>
        <w:spacing w:line="360" w:lineRule="auto"/>
        <w:jc w:val="right"/>
        <w:rPr>
          <w:rFonts w:ascii="Times New Roman" w:hAnsi="Times New Roman" w:cs="Times New Roman"/>
          <w:b/>
          <w:bCs/>
          <w:sz w:val="18"/>
          <w:szCs w:val="18"/>
        </w:rPr>
      </w:pPr>
      <w:r w:rsidRPr="00EC0F5A">
        <w:rPr>
          <w:rFonts w:ascii="Times New Roman" w:hAnsi="Times New Roman" w:cs="Times New Roman"/>
          <w:b/>
          <w:bCs/>
          <w:sz w:val="18"/>
          <w:szCs w:val="18"/>
        </w:rPr>
        <w:t>Geísa Pereira Marcilio Nogueira</w:t>
      </w:r>
      <w:r w:rsidR="000C6C17">
        <w:rPr>
          <w:rStyle w:val="Refdenotaderodap"/>
          <w:rFonts w:ascii="Times New Roman" w:hAnsi="Times New Roman" w:cs="Times New Roman"/>
          <w:b/>
          <w:bCs/>
          <w:sz w:val="18"/>
          <w:szCs w:val="18"/>
        </w:rPr>
        <w:footnoteReference w:id="2"/>
      </w:r>
    </w:p>
    <w:p w14:paraId="09611742" w14:textId="2EE6FA04" w:rsidR="008F53E2" w:rsidRPr="005B1407" w:rsidRDefault="008F53E2" w:rsidP="008F53E2">
      <w:pPr>
        <w:spacing w:line="360" w:lineRule="auto"/>
        <w:jc w:val="both"/>
        <w:rPr>
          <w:rFonts w:ascii="Times New Roman" w:hAnsi="Times New Roman" w:cs="Times New Roman"/>
          <w:sz w:val="20"/>
          <w:szCs w:val="20"/>
        </w:rPr>
      </w:pPr>
      <w:r w:rsidRPr="005B1407">
        <w:rPr>
          <w:rFonts w:ascii="Times New Roman" w:hAnsi="Times New Roman" w:cs="Times New Roman"/>
          <w:b/>
          <w:bCs/>
          <w:sz w:val="20"/>
          <w:szCs w:val="20"/>
        </w:rPr>
        <w:t xml:space="preserve">Resumo: </w:t>
      </w:r>
      <w:r w:rsidR="00BC6E90" w:rsidRPr="005B1407">
        <w:rPr>
          <w:rFonts w:ascii="Times New Roman" w:hAnsi="Times New Roman" w:cs="Times New Roman"/>
          <w:sz w:val="20"/>
          <w:szCs w:val="20"/>
        </w:rPr>
        <w:t>O artigo analisa a relação entre planejamento urbano e saúde coletiva no Brasil, com foco nas disparidades regionais do Norte Fluminense. A partir de dados oficiais (DataSUS, IBGE, SICONFI e IFDM-Saúde) e de referências teóricas, demonstra-se que o modelo hospitalocêntrico permanece insuficiente diante de desigualdades estruturais, como revelam indicadores de mortalidade infantil, orçamento público em saúde e cobertura da Estratégia de Saúde da Família. Além de discutir a trajetória do Sistema Único de Saúde (SUS), a Agenda 2030 da ONU e experiências internacionais de cidades saudáveis, o estudo apresenta dimensões estratégicas para políticas públicas integradas, abrangendo atenção básica, saneamento, mobilidade, habitação e participação social. A análise mostra que, embora alguns municípios tenham avançado, a maioria permanece em patamar de desenvolvimento baixo segundo o IFDM-Saúde, evidenciando a necessidade de superar o subfinanciamento, fortalecer a intersetorialidade e reduzir desigualdades territoriais. O artigo combina crítica e proposição, contribuindo para o debate acadêmico e para a formulação de políticas voltadas à promoção de cidades mais equitativas, sustentáveis e saudáveis.</w:t>
      </w:r>
    </w:p>
    <w:p w14:paraId="5EE165DF" w14:textId="093535DE" w:rsidR="008F53E2" w:rsidRPr="005B1407" w:rsidRDefault="008F53E2" w:rsidP="00063E12">
      <w:pPr>
        <w:spacing w:line="360" w:lineRule="auto"/>
        <w:jc w:val="both"/>
        <w:rPr>
          <w:rFonts w:ascii="Times New Roman" w:hAnsi="Times New Roman" w:cs="Times New Roman"/>
          <w:sz w:val="20"/>
          <w:szCs w:val="20"/>
        </w:rPr>
      </w:pPr>
      <w:r w:rsidRPr="005B1407">
        <w:rPr>
          <w:rFonts w:ascii="Times New Roman" w:hAnsi="Times New Roman" w:cs="Times New Roman"/>
          <w:b/>
          <w:bCs/>
          <w:sz w:val="20"/>
          <w:szCs w:val="20"/>
        </w:rPr>
        <w:t xml:space="preserve">Palavras-chave: </w:t>
      </w:r>
      <w:r w:rsidR="00BC6E90" w:rsidRPr="005B1407">
        <w:rPr>
          <w:rFonts w:ascii="Times New Roman" w:hAnsi="Times New Roman" w:cs="Times New Roman"/>
          <w:sz w:val="20"/>
          <w:szCs w:val="20"/>
        </w:rPr>
        <w:t>Saúde coletiva; Planejamento urbano; Desenvolvimento regional; Estratégia de Saúde da Família; IFDM-Saúde.</w:t>
      </w:r>
    </w:p>
    <w:p w14:paraId="6728E218" w14:textId="77777777" w:rsidR="00736B08" w:rsidRPr="005B1407" w:rsidRDefault="00736B08" w:rsidP="00736B08">
      <w:pPr>
        <w:spacing w:line="360" w:lineRule="auto"/>
        <w:jc w:val="both"/>
        <w:rPr>
          <w:rFonts w:ascii="Times New Roman" w:hAnsi="Times New Roman" w:cs="Times New Roman"/>
          <w:b/>
          <w:bCs/>
          <w:sz w:val="20"/>
          <w:szCs w:val="20"/>
          <w:lang w:val="en-US"/>
        </w:rPr>
      </w:pPr>
      <w:r w:rsidRPr="005B1407">
        <w:rPr>
          <w:rFonts w:ascii="Times New Roman" w:hAnsi="Times New Roman" w:cs="Times New Roman"/>
          <w:b/>
          <w:bCs/>
          <w:sz w:val="20"/>
          <w:szCs w:val="20"/>
          <w:lang w:val="en-US"/>
        </w:rPr>
        <w:t>Abstract</w:t>
      </w:r>
    </w:p>
    <w:p w14:paraId="26769F4B" w14:textId="77777777" w:rsidR="00736B08" w:rsidRPr="005B1407" w:rsidRDefault="00736B08" w:rsidP="00736B08">
      <w:pPr>
        <w:spacing w:line="360" w:lineRule="auto"/>
        <w:jc w:val="both"/>
        <w:rPr>
          <w:rFonts w:ascii="Times New Roman" w:hAnsi="Times New Roman" w:cs="Times New Roman"/>
          <w:sz w:val="20"/>
          <w:szCs w:val="20"/>
          <w:lang w:val="en-US"/>
        </w:rPr>
      </w:pPr>
      <w:r w:rsidRPr="005B1407">
        <w:rPr>
          <w:rFonts w:ascii="Times New Roman" w:hAnsi="Times New Roman" w:cs="Times New Roman"/>
          <w:sz w:val="20"/>
          <w:szCs w:val="20"/>
          <w:lang w:val="en-US"/>
        </w:rPr>
        <w:t>This article analyzes the relationship between urban planning and public health in Brazil, with a focus on regional disparities in the Northern region of Rio de Janeiro. Using official data (</w:t>
      </w:r>
      <w:proofErr w:type="spellStart"/>
      <w:r w:rsidRPr="005B1407">
        <w:rPr>
          <w:rFonts w:ascii="Times New Roman" w:hAnsi="Times New Roman" w:cs="Times New Roman"/>
          <w:sz w:val="20"/>
          <w:szCs w:val="20"/>
          <w:lang w:val="en-US"/>
        </w:rPr>
        <w:t>DataSUS</w:t>
      </w:r>
      <w:proofErr w:type="spellEnd"/>
      <w:r w:rsidRPr="005B1407">
        <w:rPr>
          <w:rFonts w:ascii="Times New Roman" w:hAnsi="Times New Roman" w:cs="Times New Roman"/>
          <w:sz w:val="20"/>
          <w:szCs w:val="20"/>
          <w:lang w:val="en-US"/>
        </w:rPr>
        <w:t xml:space="preserve">, IBGE, SICONFI, and IFDM-Health) and theoretical references, it demonstrates that the hospital-centered model remains insufficient in the face </w:t>
      </w:r>
      <w:r w:rsidRPr="005B1407">
        <w:rPr>
          <w:rFonts w:ascii="Times New Roman" w:hAnsi="Times New Roman" w:cs="Times New Roman"/>
          <w:sz w:val="20"/>
          <w:szCs w:val="20"/>
          <w:lang w:val="en-US"/>
        </w:rPr>
        <w:lastRenderedPageBreak/>
        <w:t>of structural inequalities, as revealed by indicators such as infant mortality, public health spending, and coverage of the Family Health Strategy. In addition to discussing the trajectory of the Brazilian Unified Health System (SUS), the UN 2030 Agenda, and international experiences of healthy cities, the study proposes strategic dimensions for integrated public policies, including primary care, sanitation, mobility, housing, and social participation. The analysis shows that although some municipalities have advanced, most remain at a low development level according to IFDM-Health, highlighting the need to overcome underfunding, strengthen intersectoral governance, and reduce territorial inequalities. By combining critique and proposition, this article contributes both to academic debate and to policy design aimed at fostering more equitable, sustainable, and healthy cities.</w:t>
      </w:r>
    </w:p>
    <w:p w14:paraId="2FC9BB4A" w14:textId="77777777" w:rsidR="00736B08" w:rsidRPr="005B1407" w:rsidRDefault="00736B08" w:rsidP="00736B08">
      <w:pPr>
        <w:spacing w:line="360" w:lineRule="auto"/>
        <w:jc w:val="both"/>
        <w:rPr>
          <w:rFonts w:ascii="Times New Roman" w:hAnsi="Times New Roman" w:cs="Times New Roman"/>
          <w:sz w:val="20"/>
          <w:szCs w:val="20"/>
          <w:lang w:val="en-US"/>
        </w:rPr>
      </w:pPr>
      <w:r w:rsidRPr="005B1407">
        <w:rPr>
          <w:rFonts w:ascii="Times New Roman" w:hAnsi="Times New Roman" w:cs="Times New Roman"/>
          <w:b/>
          <w:bCs/>
          <w:sz w:val="20"/>
          <w:szCs w:val="20"/>
          <w:lang w:val="en-US"/>
        </w:rPr>
        <w:t>Keywords:</w:t>
      </w:r>
      <w:r w:rsidRPr="005B1407">
        <w:rPr>
          <w:rFonts w:ascii="Times New Roman" w:hAnsi="Times New Roman" w:cs="Times New Roman"/>
          <w:sz w:val="20"/>
          <w:szCs w:val="20"/>
          <w:lang w:val="en-US"/>
        </w:rPr>
        <w:t xml:space="preserve"> Public health; Urban planning; Regional development; Family Health Strategy; IFDM-Health.</w:t>
      </w:r>
    </w:p>
    <w:p w14:paraId="318DBA7A" w14:textId="080DFCF9"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Introdução</w:t>
      </w:r>
    </w:p>
    <w:p w14:paraId="2537B6B5" w14:textId="5D099191" w:rsidR="00063E12" w:rsidRPr="00BC6E90" w:rsidRDefault="00063E12" w:rsidP="002244FE">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 debate sobre a relação entre planejamento urbano e saúde coletiva tem se consolidado como um dos grandes eixos estratégicos do século XXI. Em um mundo cada vez mais urbanizado, compreender as cidades não apenas como espaços de moradia e circulação, mas como ambientes que produzem saúde ou doença, é um desafio fundamental para pesquisadores, gestores públicos e sociedade civil. A interdependência entre fatores sociais, ambientais, econômicos e políticos se revela, de maneira clara, no campo da saúde: não é possível compreender as condições de vida de uma população sem observar o território onde ela se insere, as políticas que regulam esse espaço e a forma como o ambiente urbano influencia práticas de prevenção, cuidado e bem-estar</w:t>
      </w:r>
      <w:r w:rsidR="003468FC">
        <w:rPr>
          <w:rFonts w:ascii="Times New Roman" w:hAnsi="Times New Roman" w:cs="Times New Roman"/>
          <w:sz w:val="24"/>
          <w:szCs w:val="24"/>
        </w:rPr>
        <w:t xml:space="preserve"> </w:t>
      </w:r>
      <w:r w:rsidR="003468FC" w:rsidRPr="003468FC">
        <w:rPr>
          <w:rFonts w:ascii="Times New Roman" w:hAnsi="Times New Roman" w:cs="Times New Roman"/>
          <w:sz w:val="24"/>
          <w:szCs w:val="24"/>
        </w:rPr>
        <w:t>(AHMED, 2010)</w:t>
      </w:r>
      <w:r w:rsidRPr="00BC6E90">
        <w:rPr>
          <w:rFonts w:ascii="Times New Roman" w:hAnsi="Times New Roman" w:cs="Times New Roman"/>
          <w:sz w:val="24"/>
          <w:szCs w:val="24"/>
        </w:rPr>
        <w:t>.</w:t>
      </w:r>
    </w:p>
    <w:p w14:paraId="6569162B"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No Brasil, esse debate adquire contornos ainda mais complexos diante de um histórico marcado por desigualdade social, modelo hospitalocêntrico e fragilidades institucionais. A cultura da medicalização e da busca por soluções emergenciais em hospitais e prontos-socorros, em detrimento de uma lógica preventiva, evidencia a permanência de um paradigma que privilegia a doença em vez da saúde. Esse modelo, herdado de um passado colonial e consolidado ao longo do século XX, tem sido criticado por sanitaristas, gestores e estudiosos, entre eles Jaime Landmann (1983), que já denunciava a lógica de “promover a doença” como caminho de acumulação de lucros para grupos econômicos.</w:t>
      </w:r>
    </w:p>
    <w:p w14:paraId="0B84565A"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 xml:space="preserve">Com a Constituição de 1988, a criação do Sistema Único de Saúde (SUS) representou um marco histórico, ao consolidar o direito universal à saúde e estabelecer bases para a descentralização administrativa e o fortalecimento da atenção primária. O SUS é hoje reconhecido internacionalmente como um dos maiores sistemas públicos de saúde do mundo, atendendo gratuitamente milhões de brasileiros e oferecendo desde serviços básicos de </w:t>
      </w:r>
      <w:r w:rsidRPr="00BC6E90">
        <w:rPr>
          <w:rFonts w:ascii="Times New Roman" w:hAnsi="Times New Roman" w:cs="Times New Roman"/>
          <w:sz w:val="24"/>
          <w:szCs w:val="24"/>
        </w:rPr>
        <w:lastRenderedPageBreak/>
        <w:t>prevenção até tratamentos de alta complexidade, como transplantes e terapias oncológicas. No entanto, apesar dos avanços, persistem desafios estruturais relacionados ao financiamento, à gestão, à efetividade da atenção básica e à integração das políticas urbanas com a saúde coletiva.</w:t>
      </w:r>
    </w:p>
    <w:p w14:paraId="6EF16F4B"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Esse artigo propõe discutir o papel das “cidades que planejam a saúde coletiva”, compreendendo que a saúde é um fenômeno multidimensional que depende da qualidade do ambiente urbano, da mobilidade, do saneamento, do lazer, da habitação, da educação e do acesso a serviços públicos de qualidade. Para tanto, busca-se articular conceitos clássicos e contemporâneos da saúde coletiva, experiências nacionais e internacionais de planejamento urbano saudável, indicadores de desenvolvimento sustentável e o diálogo com a Agenda 2030 da Organização das Nações Unidas, em especial com os Objetivos de Desenvolvimento Sustentável (ODS) 3 e 11, que tratam de saúde e cidades sustentáveis.</w:t>
      </w:r>
    </w:p>
    <w:p w14:paraId="3F477DB7" w14:textId="77777777" w:rsidR="00063E12" w:rsidRPr="00063E12"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 objetivo é demonstrar que o planejamento urbano integrado à saúde coletiva não é apenas uma opção administrativa, mas uma necessidade urgente diante de crises sanitárias, ambientais e sociais. Cidades que investem em políticas intersetoriais, que fortalecem a participação social e que compreendem a saúde como direito universal tendem a se tornar mais resilientes, sustentáveis e capazes de garantir qualidade de vida para seus habitantes.</w:t>
      </w:r>
    </w:p>
    <w:p w14:paraId="7F8947BC" w14:textId="2262741A"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1 – Planejamento Urbano e Saúde</w:t>
      </w:r>
    </w:p>
    <w:p w14:paraId="5091E956" w14:textId="1E1ACD22"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Historicamente, a organização da saúde no Brasil esteve marcada por uma lógica hospitalocêntrica, isto é, centrada no tratamento da doença quando já manifestada, geralmente em unidades hospitalares de média e alta complexidade. Essa característica, herdada do período colonial e reforçada ao longo do século XX, reflete um padrão cultural e político em que a prevenção, a promoção de hábitos saudáveis e a atenção básica foram secundarizadas. Tal modelo não é fruto apenas de escolhas médicas, mas está intimamente relacionado às estruturas de poder e de desigualdade que organizaram as cidades brasileiras</w:t>
      </w:r>
      <w:r w:rsidR="003468FC" w:rsidRPr="00FA4995">
        <w:rPr>
          <w:rFonts w:ascii="Times New Roman" w:hAnsi="Times New Roman" w:cs="Times New Roman"/>
          <w:sz w:val="24"/>
          <w:szCs w:val="24"/>
        </w:rPr>
        <w:t xml:space="preserve"> </w:t>
      </w:r>
      <w:r w:rsidR="003468FC" w:rsidRPr="003468FC">
        <w:rPr>
          <w:rFonts w:ascii="Times New Roman" w:hAnsi="Times New Roman" w:cs="Times New Roman"/>
          <w:sz w:val="24"/>
          <w:szCs w:val="24"/>
        </w:rPr>
        <w:t>(PAIM, 2009)</w:t>
      </w:r>
      <w:r w:rsidRPr="00BC6E90">
        <w:rPr>
          <w:rFonts w:ascii="Times New Roman" w:hAnsi="Times New Roman" w:cs="Times New Roman"/>
          <w:sz w:val="24"/>
          <w:szCs w:val="24"/>
        </w:rPr>
        <w:t>.</w:t>
      </w:r>
    </w:p>
    <w:p w14:paraId="08B173C5"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Como observa Jaime Landmann (1983), a indústria da saúde, ao privilegiar a comercialização de serviços médicos e medicamentos, acaba por “promover a doença” em vez de investir na saúde. Esse raciocínio evidencia o quanto interesses econômicos e corporativos foram determinantes na configuração do sistema de saúde e no comportamento da população, que aprendeu a buscar o hospital e a automedicação como respostas imediatas para qualquer problema de saúde, mesmo os que poderiam ser resolvidos em unidades básicas de atenção primária.</w:t>
      </w:r>
    </w:p>
    <w:p w14:paraId="1AB2F2C8" w14:textId="04AF081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lastRenderedPageBreak/>
        <w:t xml:space="preserve">Com a Constituição de 1988, o Brasil rompeu parcialmente com esse paradigma ao instituir o SUS, sustentado em três princípios fundamentais: universalidade, integralidade e equidade. A criação do SUS representou não apenas uma conquista jurídica, mas também uma mudança cultural e institucional. Pela primeira vez, </w:t>
      </w:r>
      <w:r w:rsidR="003E1010">
        <w:rPr>
          <w:rFonts w:ascii="Times New Roman" w:hAnsi="Times New Roman" w:cs="Times New Roman"/>
          <w:sz w:val="24"/>
          <w:szCs w:val="24"/>
        </w:rPr>
        <w:t xml:space="preserve">a </w:t>
      </w:r>
      <w:r w:rsidRPr="00BC6E90">
        <w:rPr>
          <w:rFonts w:ascii="Times New Roman" w:hAnsi="Times New Roman" w:cs="Times New Roman"/>
          <w:sz w:val="24"/>
          <w:szCs w:val="24"/>
        </w:rPr>
        <w:t>saúde foi reconhecida como direito de todos e dever do Estado, impondo aos municípios, estados e União a responsabilidade compartilhada de garantir serviços gratuitos à população.</w:t>
      </w:r>
    </w:p>
    <w:p w14:paraId="5E18AE8F"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Contudo, a universalização não foi suficiente para eliminar os gargalos históricos. O subfinanciamento crônico, a gestão fragmentada e a baixa resolutividade em nível local ainda são obstáculos reais. Municípios pequenos, muitas vezes sem capacidade financeira ou técnica, encontram dificuldades em estruturar serviços básicos de saúde, o que gera dependência de centros urbanos maiores e sobrecarga hospitalar. Nesse contexto, os consórcios públicos intermunicipais surgem como instrumentos importantes para ampliar a oferta de serviços e racionalizar recursos. Conforme destaca Cruz e Passos (2022), a cooperação regional pode reduzir custos e elevar a eficiência, sobretudo em territórios marcados pela fragmentação administrativa.</w:t>
      </w:r>
    </w:p>
    <w:p w14:paraId="73ED7DDC" w14:textId="1D06C791"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A relação entre saúde e urbanismo torna-se evidente quando se observa que determinantes sociais da saúde — como saneamento, transporte, moradia, segurança alimentar e lazer — são, em grande parte, produtos do planejamento (ou da ausência dele) nas cidades. Uma cidade com deficiências estruturais nesses aspectos tende a gerar mais doenças crônicas, maior vulnerabilidade social e aumento da pressão sobre os hospitais. Por outro lado, cidades que planejam políticas públicas integradas, capazes de alinhar saúde com habitação, mobilidade e meio ambiente, constroem uma rede de proteção mais eficiente e menos custosa</w:t>
      </w:r>
      <w:r w:rsidR="00034C03">
        <w:rPr>
          <w:rFonts w:ascii="Times New Roman" w:hAnsi="Times New Roman" w:cs="Times New Roman"/>
          <w:sz w:val="24"/>
          <w:szCs w:val="24"/>
        </w:rPr>
        <w:t xml:space="preserve"> </w:t>
      </w:r>
      <w:r w:rsidR="00034C03" w:rsidRPr="00034C03">
        <w:rPr>
          <w:rFonts w:ascii="Times New Roman" w:hAnsi="Times New Roman" w:cs="Times New Roman"/>
          <w:sz w:val="24"/>
          <w:szCs w:val="24"/>
        </w:rPr>
        <w:t>(BRASIL, 2008)</w:t>
      </w:r>
      <w:r w:rsidRPr="00BC6E90">
        <w:rPr>
          <w:rFonts w:ascii="Times New Roman" w:hAnsi="Times New Roman" w:cs="Times New Roman"/>
          <w:sz w:val="24"/>
          <w:szCs w:val="24"/>
        </w:rPr>
        <w:t>.</w:t>
      </w:r>
    </w:p>
    <w:p w14:paraId="79025FEC" w14:textId="55A85006"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Exemplos internacionais reforçam esse argumento. Barcelona, ao priorizar espaços públicos de convivência, ciclovias e redução da poluição, conseguiu ganhos expressivos na qualidade de vida da população urbana. Bogotá, com suas ciclovias dominicais e estímulo à mobilidade ativa, promoveu a saúde coletiva por meio de uma política urbana inclusiva e inovadora. No Brasil, Curitiba é referência em integração entre transporte coletivo, meio ambiente e políticas sociais, demonstrando que o planejamento urbano impacta diretamente nos indicadores de saúde</w:t>
      </w:r>
      <w:r w:rsidR="0044404F">
        <w:rPr>
          <w:rFonts w:ascii="Times New Roman" w:hAnsi="Times New Roman" w:cs="Times New Roman"/>
          <w:sz w:val="24"/>
          <w:szCs w:val="24"/>
        </w:rPr>
        <w:t xml:space="preserve"> </w:t>
      </w:r>
      <w:r w:rsidR="0044404F" w:rsidRPr="0044404F">
        <w:rPr>
          <w:rFonts w:ascii="Times New Roman" w:hAnsi="Times New Roman" w:cs="Times New Roman"/>
          <w:sz w:val="24"/>
          <w:szCs w:val="24"/>
        </w:rPr>
        <w:t>(OMS, 1986; JORNAL DA USP, 2025)</w:t>
      </w:r>
      <w:r w:rsidRPr="00BC6E90">
        <w:rPr>
          <w:rFonts w:ascii="Times New Roman" w:hAnsi="Times New Roman" w:cs="Times New Roman"/>
          <w:sz w:val="24"/>
          <w:szCs w:val="24"/>
        </w:rPr>
        <w:t>.</w:t>
      </w:r>
    </w:p>
    <w:p w14:paraId="6B26DC70" w14:textId="5DE80DB5"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 xml:space="preserve">Nesse sentido, é fundamental compreender a saúde como função pública de interesse comum, articulada com o planejamento urbano e a gestão territorial. O SUS, ao ser desenhado </w:t>
      </w:r>
      <w:r w:rsidRPr="00BC6E90">
        <w:rPr>
          <w:rFonts w:ascii="Times New Roman" w:hAnsi="Times New Roman" w:cs="Times New Roman"/>
          <w:sz w:val="24"/>
          <w:szCs w:val="24"/>
        </w:rPr>
        <w:lastRenderedPageBreak/>
        <w:t>sob o paradigma da municipalização descentralizada, reconheceu a necessidade de proximidade entre gestão local e necessidades da população. Porém, diante de desigualdades regionais, é cada vez mais evidente a urgência de modelos cooperativos regionais, capazes de garantir a efetividade do direito à saúde mesmo em municípios pequenos e de baixa capacidade instalada</w:t>
      </w:r>
      <w:r w:rsidR="0044404F">
        <w:rPr>
          <w:rFonts w:ascii="Times New Roman" w:hAnsi="Times New Roman" w:cs="Times New Roman"/>
          <w:sz w:val="24"/>
          <w:szCs w:val="24"/>
        </w:rPr>
        <w:t xml:space="preserve"> </w:t>
      </w:r>
      <w:r w:rsidR="0044404F" w:rsidRPr="0044404F">
        <w:rPr>
          <w:rFonts w:ascii="Times New Roman" w:hAnsi="Times New Roman" w:cs="Times New Roman"/>
          <w:sz w:val="24"/>
          <w:szCs w:val="24"/>
        </w:rPr>
        <w:t>(PAIM, 2009; CRUZ; PASSOS, 2022)</w:t>
      </w:r>
      <w:r w:rsidRPr="00BC6E90">
        <w:rPr>
          <w:rFonts w:ascii="Times New Roman" w:hAnsi="Times New Roman" w:cs="Times New Roman"/>
          <w:sz w:val="24"/>
          <w:szCs w:val="24"/>
        </w:rPr>
        <w:t>.</w:t>
      </w:r>
    </w:p>
    <w:p w14:paraId="4CE3B0B2" w14:textId="49CAE436" w:rsidR="00063E12" w:rsidRPr="00063E12"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 desafio brasileiro, portanto, está em superar a lógica do hospital como centro exclusivo da saúde e construir um modelo em que o planejamento urbano seja indissociável da saúde coletiva. Isso significa pensar em cidades saudáveis: territórios que incentivem a mobilidade ativa, disponham de saneamento adequado, ofereçam espaços de lazer, garantam acesso universal a serviços de saúde e promovam ambientes sustentáveis</w:t>
      </w:r>
      <w:r w:rsidR="0044404F">
        <w:rPr>
          <w:rFonts w:ascii="Times New Roman" w:hAnsi="Times New Roman" w:cs="Times New Roman"/>
          <w:sz w:val="24"/>
          <w:szCs w:val="24"/>
        </w:rPr>
        <w:t xml:space="preserve"> </w:t>
      </w:r>
      <w:r w:rsidR="0044404F" w:rsidRPr="0044404F">
        <w:rPr>
          <w:rFonts w:ascii="Times New Roman" w:hAnsi="Times New Roman" w:cs="Times New Roman"/>
          <w:sz w:val="24"/>
          <w:szCs w:val="24"/>
        </w:rPr>
        <w:t>(OMS, 1986; AHMED, 2010)</w:t>
      </w:r>
      <w:r w:rsidRPr="00BC6E90">
        <w:rPr>
          <w:rFonts w:ascii="Times New Roman" w:hAnsi="Times New Roman" w:cs="Times New Roman"/>
          <w:sz w:val="24"/>
          <w:szCs w:val="24"/>
        </w:rPr>
        <w:t>.</w:t>
      </w:r>
    </w:p>
    <w:p w14:paraId="49B8E945" w14:textId="30D9C51B"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2 – Saúde Coletiva como Função Pública de Interesse Comum</w:t>
      </w:r>
    </w:p>
    <w:p w14:paraId="55D9CDE3" w14:textId="246B6A95"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 xml:space="preserve">A saúde coletiva, no contexto brasileiro, deve ser compreendida não apenas como um direito fundamental inscrito na Constituição Federal de 1988, mas também como uma função pública de interesse comum. Isso significa que sua efetivação depende de um arranjo institucional capaz de articular múltiplos níveis de governo, atores sociais e políticas públicas intersetoriais. Não se trata apenas de prover hospitais e medicamentos, mas de estruturar um sistema </w:t>
      </w:r>
      <w:proofErr w:type="spellStart"/>
      <w:r w:rsidRPr="00BC6E90">
        <w:rPr>
          <w:rFonts w:ascii="Times New Roman" w:hAnsi="Times New Roman" w:cs="Times New Roman"/>
          <w:sz w:val="24"/>
          <w:szCs w:val="24"/>
        </w:rPr>
        <w:t>territorializado</w:t>
      </w:r>
      <w:proofErr w:type="spellEnd"/>
      <w:r w:rsidRPr="00BC6E90">
        <w:rPr>
          <w:rFonts w:ascii="Times New Roman" w:hAnsi="Times New Roman" w:cs="Times New Roman"/>
          <w:sz w:val="24"/>
          <w:szCs w:val="24"/>
        </w:rPr>
        <w:t xml:space="preserve"> que integre prevenção, promoção, assistência e participação social</w:t>
      </w:r>
      <w:r w:rsidR="0044404F">
        <w:rPr>
          <w:rFonts w:ascii="Times New Roman" w:hAnsi="Times New Roman" w:cs="Times New Roman"/>
          <w:sz w:val="24"/>
          <w:szCs w:val="24"/>
        </w:rPr>
        <w:t xml:space="preserve"> </w:t>
      </w:r>
      <w:r w:rsidR="0044404F" w:rsidRPr="0044404F">
        <w:rPr>
          <w:rFonts w:ascii="Times New Roman" w:hAnsi="Times New Roman" w:cs="Times New Roman"/>
          <w:sz w:val="24"/>
          <w:szCs w:val="24"/>
        </w:rPr>
        <w:t>(PAIM, 2009)</w:t>
      </w:r>
      <w:r w:rsidRPr="00BC6E90">
        <w:rPr>
          <w:rFonts w:ascii="Times New Roman" w:hAnsi="Times New Roman" w:cs="Times New Roman"/>
          <w:sz w:val="24"/>
          <w:szCs w:val="24"/>
        </w:rPr>
        <w:t>.</w:t>
      </w:r>
    </w:p>
    <w:p w14:paraId="1FBC64CB" w14:textId="77777777"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2.1 Descentralização e o paradigma da municipalização</w:t>
      </w:r>
    </w:p>
    <w:p w14:paraId="197385BB" w14:textId="02BFBF6D"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Com a criação do SUS, o Brasil adotou a descentralização como princípio orientador da política de saúde. Essa escolha se baseava na ideia de que os municípios, por estarem mais próximos das demandas da população, seriam mais capazes de identificar necessidades locais e formular respostas adequadas. De fato, a municipalização trouxe ganhos importantes em termos de cobertura e capilaridade, sobretudo na atenção básica. Municípios de pequeno e médio porte passaram a gerir suas redes de saúde, fortalecendo programas como a Estratégia de Saúde da Família</w:t>
      </w:r>
      <w:r w:rsidR="000E41A8">
        <w:rPr>
          <w:rFonts w:ascii="Times New Roman" w:hAnsi="Times New Roman" w:cs="Times New Roman"/>
          <w:sz w:val="24"/>
          <w:szCs w:val="24"/>
        </w:rPr>
        <w:t xml:space="preserve"> (ESF)</w:t>
      </w:r>
      <w:r w:rsidR="0044404F">
        <w:rPr>
          <w:rFonts w:ascii="Times New Roman" w:hAnsi="Times New Roman" w:cs="Times New Roman"/>
          <w:sz w:val="24"/>
          <w:szCs w:val="24"/>
        </w:rPr>
        <w:t xml:space="preserve"> </w:t>
      </w:r>
      <w:r w:rsidR="0044404F" w:rsidRPr="0044404F">
        <w:rPr>
          <w:rFonts w:ascii="Times New Roman" w:hAnsi="Times New Roman" w:cs="Times New Roman"/>
          <w:sz w:val="24"/>
          <w:szCs w:val="24"/>
        </w:rPr>
        <w:t>(PAIM, 2009)</w:t>
      </w:r>
      <w:r w:rsidRPr="00BC6E90">
        <w:rPr>
          <w:rFonts w:ascii="Times New Roman" w:hAnsi="Times New Roman" w:cs="Times New Roman"/>
          <w:sz w:val="24"/>
          <w:szCs w:val="24"/>
        </w:rPr>
        <w:t>.</w:t>
      </w:r>
    </w:p>
    <w:p w14:paraId="7FDE236F"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 xml:space="preserve">Entretanto, a descentralização também revelou suas fragilidades estruturais. Muitos municípios não dispõem de capacidade técnica, administrativa ou financeira para prover serviços de saúde em níveis adequados. O resultado é uma fragmentação territorial que gera desigualdades no acesso e sobrecarga dos centros urbanos de referência, que acabam </w:t>
      </w:r>
      <w:r w:rsidRPr="00BC6E90">
        <w:rPr>
          <w:rFonts w:ascii="Times New Roman" w:hAnsi="Times New Roman" w:cs="Times New Roman"/>
          <w:sz w:val="24"/>
          <w:szCs w:val="24"/>
        </w:rPr>
        <w:lastRenderedPageBreak/>
        <w:t>absorvendo demandas de municípios vizinhos. Esse cenário reforça a percepção de que a saúde coletiva extrapola fronteiras administrativas, configurando-se como um bem público de interesse comum que exige coordenação regional.</w:t>
      </w:r>
    </w:p>
    <w:p w14:paraId="080244A0" w14:textId="77777777"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2.2 Consórcios públicos e governança regional</w:t>
      </w:r>
    </w:p>
    <w:p w14:paraId="5A0F65CC" w14:textId="36EAAB00"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Nesse contexto, os consórcios públicos intermunicipais de saúde surgem como alternativas viáveis para enfrentar a fragmentação e ampliar a eficiência do sistema. Previsto na Lei nº 11.107/2005, o consórcio é um arranjo institucional em que municípios se unem para compartilhar serviços, reduzir custos e ampliar o acesso da população a procedimentos de maior complexidade</w:t>
      </w:r>
      <w:r w:rsidR="00736B08" w:rsidRPr="00FA4995">
        <w:rPr>
          <w:rFonts w:ascii="Times New Roman" w:hAnsi="Times New Roman" w:cs="Times New Roman"/>
          <w:sz w:val="24"/>
          <w:szCs w:val="24"/>
        </w:rPr>
        <w:t xml:space="preserve"> </w:t>
      </w:r>
      <w:r w:rsidR="00736B08" w:rsidRPr="00736B08">
        <w:rPr>
          <w:rFonts w:ascii="Times New Roman" w:hAnsi="Times New Roman" w:cs="Times New Roman"/>
          <w:sz w:val="24"/>
          <w:szCs w:val="24"/>
        </w:rPr>
        <w:t>(BRASIL, 2005)</w:t>
      </w:r>
      <w:r w:rsidRPr="00BC6E90">
        <w:rPr>
          <w:rFonts w:ascii="Times New Roman" w:hAnsi="Times New Roman" w:cs="Times New Roman"/>
          <w:sz w:val="24"/>
          <w:szCs w:val="24"/>
        </w:rPr>
        <w:t>.</w:t>
      </w:r>
    </w:p>
    <w:p w14:paraId="5A440AAA" w14:textId="608ACCD9"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Cruz e Passos (2022) destacam que a lógica da cooperação regional fortalece o ganho de escala, permitindo que pequenos municípios acessem serviços especializados que, individualmente, seriam inviáveis. Mais do que um instrumento administrativo, os consórcios representam uma forma de governança regional, em que diferentes municípios compartilham responsabilidades e decisões estratégicas para melhorar a saúde coletiva.</w:t>
      </w:r>
      <w:r w:rsidR="0034767A">
        <w:rPr>
          <w:rFonts w:ascii="Times New Roman" w:hAnsi="Times New Roman" w:cs="Times New Roman"/>
          <w:sz w:val="24"/>
          <w:szCs w:val="24"/>
        </w:rPr>
        <w:t xml:space="preserve"> </w:t>
      </w:r>
      <w:r w:rsidRPr="00BC6E90">
        <w:rPr>
          <w:rFonts w:ascii="Times New Roman" w:hAnsi="Times New Roman" w:cs="Times New Roman"/>
          <w:sz w:val="24"/>
          <w:szCs w:val="24"/>
        </w:rPr>
        <w:t>Todavia, essa cooperação ainda encontra barreiras práticas. Há casos de desequilíbrio na contribuição financeira entre municípios, disputas políticas locais e falta de instrumentos eficazes de monitoramento e avaliação. Além disso, a ausência de uma cultura consolidada de cooperação intermunicipal dificulta a plena institucionalização desses arranjos.</w:t>
      </w:r>
    </w:p>
    <w:p w14:paraId="7F59FEF6" w14:textId="77777777"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2.3 Intersetorialidade como condição para a saúde</w:t>
      </w:r>
    </w:p>
    <w:p w14:paraId="3A971017" w14:textId="435A8DF4"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Ao tratar a saúde coletiva como função pública de interesse comum, é indispensável compreender que determinantes sociais da saúde como saneamento básico, educação, habitação, mobilidade urbana, meio ambiente e segurança</w:t>
      </w:r>
      <w:r w:rsidR="00D039CE" w:rsidRPr="00BC6E90">
        <w:rPr>
          <w:rFonts w:ascii="Times New Roman" w:hAnsi="Times New Roman" w:cs="Times New Roman"/>
          <w:sz w:val="24"/>
          <w:szCs w:val="24"/>
        </w:rPr>
        <w:t xml:space="preserve"> </w:t>
      </w:r>
      <w:r w:rsidRPr="00BC6E90">
        <w:rPr>
          <w:rFonts w:ascii="Times New Roman" w:hAnsi="Times New Roman" w:cs="Times New Roman"/>
          <w:sz w:val="24"/>
          <w:szCs w:val="24"/>
        </w:rPr>
        <w:t>precisam ser incorporados às políticas de planejamento urbano. O conceito de cidade saudável, proposto pela Organização Mundial da Saúde (OMS) desde os anos 1980, parte exatamente dessa perspectiva: saúde não se produz apenas em hospitais, mas no território em que as pessoas vivem, trabalham, estudam e convivem</w:t>
      </w:r>
      <w:r w:rsidR="00736B08">
        <w:rPr>
          <w:rFonts w:ascii="Times New Roman" w:hAnsi="Times New Roman" w:cs="Times New Roman"/>
          <w:sz w:val="24"/>
          <w:szCs w:val="24"/>
        </w:rPr>
        <w:t xml:space="preserve"> </w:t>
      </w:r>
      <w:r w:rsidR="00736B08" w:rsidRPr="00736B08">
        <w:rPr>
          <w:rFonts w:ascii="Times New Roman" w:hAnsi="Times New Roman" w:cs="Times New Roman"/>
          <w:sz w:val="24"/>
          <w:szCs w:val="24"/>
        </w:rPr>
        <w:t>(OMS, 1986)</w:t>
      </w:r>
      <w:r w:rsidRPr="00BC6E90">
        <w:rPr>
          <w:rFonts w:ascii="Times New Roman" w:hAnsi="Times New Roman" w:cs="Times New Roman"/>
          <w:sz w:val="24"/>
          <w:szCs w:val="24"/>
        </w:rPr>
        <w:t>.</w:t>
      </w:r>
    </w:p>
    <w:p w14:paraId="50510B69" w14:textId="7736DE5B" w:rsidR="003A1C29"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 xml:space="preserve">Experiências de cidades que adotaram políticas urbanas saudáveis reforçam essa compreensão. Toronto (Canadá) foi pioneira na institucionalização de conselhos locais de saúde integrados ao planejamento urbano. Bogotá (Colômbia), ao articular mobilidade ativa e inclusão social, demonstrou como o transporte pode ser uma política de saúde. No Brasil, o Programa de Saúde da Família de Quissamã, com cobertura integral do território desde 2008, é </w:t>
      </w:r>
      <w:r w:rsidRPr="00BC6E90">
        <w:rPr>
          <w:rFonts w:ascii="Times New Roman" w:hAnsi="Times New Roman" w:cs="Times New Roman"/>
          <w:sz w:val="24"/>
          <w:szCs w:val="24"/>
        </w:rPr>
        <w:lastRenderedPageBreak/>
        <w:t>exemplo de como a atenção básica pode ser universalizada quando há planejamento político-institucional e prioridade governamental</w:t>
      </w:r>
      <w:r w:rsidR="0044404F">
        <w:rPr>
          <w:rFonts w:ascii="Times New Roman" w:hAnsi="Times New Roman" w:cs="Times New Roman"/>
          <w:sz w:val="24"/>
          <w:szCs w:val="24"/>
        </w:rPr>
        <w:t xml:space="preserve"> </w:t>
      </w:r>
      <w:r w:rsidR="0044404F" w:rsidRPr="0044404F">
        <w:rPr>
          <w:rFonts w:ascii="Times New Roman" w:hAnsi="Times New Roman" w:cs="Times New Roman"/>
          <w:sz w:val="24"/>
          <w:szCs w:val="24"/>
        </w:rPr>
        <w:t>(OMS, 1986; GOMES, 2020)</w:t>
      </w:r>
      <w:r w:rsidRPr="00BC6E90">
        <w:rPr>
          <w:rFonts w:ascii="Times New Roman" w:hAnsi="Times New Roman" w:cs="Times New Roman"/>
          <w:sz w:val="24"/>
          <w:szCs w:val="24"/>
        </w:rPr>
        <w:t>.</w:t>
      </w:r>
    </w:p>
    <w:p w14:paraId="502F98CE" w14:textId="77777777"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2.4 Participação social e controle democrático</w:t>
      </w:r>
    </w:p>
    <w:p w14:paraId="4D05F29F" w14:textId="65D0F608"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Outro aspecto essencial é a participação social. A Constituição de 1988 e a Lei nº 8.142/1990 instituíram os Conselhos de Saúde, espaços de deliberação e acompanhamento obrigatórios em todas as esferas de governo. Essa institucionalidade garante que a sociedade civil organizada participe da formulação, execução e fiscalização das políticas de saúde. Na prática, porém, muitos conselhos enfrentam limitações: ausência de formação técnica dos conselheiros, baixa influência nas decisões estratégicas e resistência de gestores que enxergam o controle social como entrave</w:t>
      </w:r>
      <w:r w:rsidR="00BE36C4">
        <w:rPr>
          <w:rFonts w:ascii="Times New Roman" w:hAnsi="Times New Roman" w:cs="Times New Roman"/>
          <w:sz w:val="24"/>
          <w:szCs w:val="24"/>
        </w:rPr>
        <w:t xml:space="preserve"> </w:t>
      </w:r>
      <w:r w:rsidR="00BE36C4" w:rsidRPr="00BE36C4">
        <w:rPr>
          <w:rFonts w:ascii="Times New Roman" w:hAnsi="Times New Roman" w:cs="Times New Roman"/>
          <w:sz w:val="24"/>
          <w:szCs w:val="24"/>
        </w:rPr>
        <w:t>(BRASIL, 1988; BRASIL, 1990)</w:t>
      </w:r>
      <w:r w:rsidRPr="00BC6E90">
        <w:rPr>
          <w:rFonts w:ascii="Times New Roman" w:hAnsi="Times New Roman" w:cs="Times New Roman"/>
          <w:sz w:val="24"/>
          <w:szCs w:val="24"/>
        </w:rPr>
        <w:t>.</w:t>
      </w:r>
    </w:p>
    <w:p w14:paraId="7839AB27"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Ainda assim, a participação social deve ser vista como condição de legitimidade democrática. A saúde, enquanto função pública de interesse comum, exige processos decisórios transparentes, colaborativos e inclusivos, em que comunidades possam influenciar diretamente o planejamento urbano e sanitário.</w:t>
      </w:r>
    </w:p>
    <w:p w14:paraId="5767FEDD" w14:textId="77777777"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2.5 Saúde coletiva e sustentabilidade urbana</w:t>
      </w:r>
    </w:p>
    <w:p w14:paraId="4BA93C53" w14:textId="5A1DEC9C"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A noção de saúde coletiva também se conecta à sustentabilidade. Uma cidade que negligencia saneamento, poluição atmosférica ou mobilidade segura não apenas compromete a qualidade de vida de seus habitantes, mas também aumenta os custos futuros com saúde. O Índice de Desenvolvimento Sustentável das Cidades (IDSC-BR), desenvolvido pela Rede</w:t>
      </w:r>
      <w:r w:rsidR="00047E92">
        <w:rPr>
          <w:rFonts w:ascii="Times New Roman" w:hAnsi="Times New Roman" w:cs="Times New Roman"/>
          <w:sz w:val="24"/>
          <w:szCs w:val="24"/>
        </w:rPr>
        <w:t xml:space="preserve"> de Soluções para o Desenvolvimento Sustentável</w:t>
      </w:r>
      <w:r w:rsidRPr="00BC6E90">
        <w:rPr>
          <w:rFonts w:ascii="Times New Roman" w:hAnsi="Times New Roman" w:cs="Times New Roman"/>
          <w:sz w:val="24"/>
          <w:szCs w:val="24"/>
        </w:rPr>
        <w:t xml:space="preserve"> </w:t>
      </w:r>
      <w:r w:rsidR="00047E92">
        <w:rPr>
          <w:rFonts w:ascii="Times New Roman" w:hAnsi="Times New Roman" w:cs="Times New Roman"/>
          <w:sz w:val="24"/>
          <w:szCs w:val="24"/>
        </w:rPr>
        <w:t>(</w:t>
      </w:r>
      <w:r w:rsidRPr="00BC6E90">
        <w:rPr>
          <w:rFonts w:ascii="Times New Roman" w:hAnsi="Times New Roman" w:cs="Times New Roman"/>
          <w:sz w:val="24"/>
          <w:szCs w:val="24"/>
        </w:rPr>
        <w:t>SDSN</w:t>
      </w:r>
      <w:r w:rsidR="00047E92">
        <w:rPr>
          <w:rFonts w:ascii="Times New Roman" w:hAnsi="Times New Roman" w:cs="Times New Roman"/>
          <w:sz w:val="24"/>
          <w:szCs w:val="24"/>
        </w:rPr>
        <w:t>)</w:t>
      </w:r>
      <w:r w:rsidRPr="00BC6E90">
        <w:rPr>
          <w:rFonts w:ascii="Times New Roman" w:hAnsi="Times New Roman" w:cs="Times New Roman"/>
          <w:sz w:val="24"/>
          <w:szCs w:val="24"/>
        </w:rPr>
        <w:t xml:space="preserve"> em parceria com universidades brasileiras, mostra que cerca de 70% dos municípios brasileiros têm desempenho “baixo” ou “muito baixo” em sustentabilidade (JORNAL DA USP, 2025). Esses indicadores reforçam a tese de que a saúde coletiva não pode ser dissociada de políticas ambientais, sociais e econômicas.</w:t>
      </w:r>
    </w:p>
    <w:p w14:paraId="7066ADBF" w14:textId="2D6B7C0B"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3 – Cidades e Bem-Estar</w:t>
      </w:r>
    </w:p>
    <w:p w14:paraId="2E246CE7" w14:textId="0B533160"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 xml:space="preserve">O conceito de saúde vem passando por profundas transformações ao longo do tempo. Se, no passado, predominava a ideia restrita de ausência de doença, a OMS consolidou, em 1946, uma definição ampliada: </w:t>
      </w:r>
      <w:r w:rsidRPr="00FA4995">
        <w:rPr>
          <w:rFonts w:ascii="Times New Roman" w:hAnsi="Times New Roman" w:cs="Times New Roman"/>
          <w:sz w:val="24"/>
          <w:szCs w:val="24"/>
        </w:rPr>
        <w:t>“saúde é um estado de completo bem-estar físico, mental e social e não apenas a ausência de enfermidades”</w:t>
      </w:r>
      <w:r w:rsidRPr="00BC6E90">
        <w:rPr>
          <w:rFonts w:ascii="Times New Roman" w:hAnsi="Times New Roman" w:cs="Times New Roman"/>
          <w:sz w:val="24"/>
          <w:szCs w:val="24"/>
        </w:rPr>
        <w:t>. Essa formulação, ainda hoje considerada revolucionária, marca a transição para uma visão multidimensional que articula fatores biológicos, sociais, econômicos e ambientais.</w:t>
      </w:r>
    </w:p>
    <w:p w14:paraId="46729EC7" w14:textId="77777777"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lastRenderedPageBreak/>
        <w:t>3.1 O território como determinante da saúde</w:t>
      </w:r>
    </w:p>
    <w:p w14:paraId="36420F5C" w14:textId="1B518CC2"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 xml:space="preserve">As condições de saúde das populações estão diretamente relacionadas ao território em que vivem. Moradia precária, falta de saneamento básico, insegurança alimentar, ausência de áreas verdes e deficiências na mobilidade urbana são fatores que impactam diretamente os índices de mortalidade, morbidade e qualidade de vida. Estudos do </w:t>
      </w:r>
      <w:r w:rsidR="00CE5731">
        <w:rPr>
          <w:rFonts w:ascii="Times New Roman" w:hAnsi="Times New Roman" w:cs="Times New Roman"/>
          <w:sz w:val="24"/>
          <w:szCs w:val="24"/>
        </w:rPr>
        <w:t>Instituto Brasileiro de Geografia e Estatística (</w:t>
      </w:r>
      <w:r w:rsidRPr="00BC6E90">
        <w:rPr>
          <w:rFonts w:ascii="Times New Roman" w:hAnsi="Times New Roman" w:cs="Times New Roman"/>
          <w:sz w:val="24"/>
          <w:szCs w:val="24"/>
        </w:rPr>
        <w:t>IBGE</w:t>
      </w:r>
      <w:r w:rsidR="00CE5731">
        <w:rPr>
          <w:rFonts w:ascii="Times New Roman" w:hAnsi="Times New Roman" w:cs="Times New Roman"/>
          <w:sz w:val="24"/>
          <w:szCs w:val="24"/>
        </w:rPr>
        <w:t>)</w:t>
      </w:r>
      <w:r w:rsidRPr="00BC6E90">
        <w:rPr>
          <w:rFonts w:ascii="Times New Roman" w:hAnsi="Times New Roman" w:cs="Times New Roman"/>
          <w:sz w:val="24"/>
          <w:szCs w:val="24"/>
        </w:rPr>
        <w:t xml:space="preserve"> confirmam que regiões metropolitanas com maiores níveis de desigualdade apresentam também maiores taxas de doenças crônicas e infecciosas, evidenciando que o espaço urbano é um determinante da saúde tanto quanto a genética ou o estilo de vida</w:t>
      </w:r>
      <w:r w:rsidR="0044404F">
        <w:rPr>
          <w:rFonts w:ascii="Times New Roman" w:hAnsi="Times New Roman" w:cs="Times New Roman"/>
          <w:sz w:val="24"/>
          <w:szCs w:val="24"/>
        </w:rPr>
        <w:t xml:space="preserve"> </w:t>
      </w:r>
      <w:r w:rsidR="0044404F" w:rsidRPr="0044404F">
        <w:rPr>
          <w:rFonts w:ascii="Times New Roman" w:hAnsi="Times New Roman" w:cs="Times New Roman"/>
          <w:sz w:val="24"/>
          <w:szCs w:val="24"/>
        </w:rPr>
        <w:t>(IBGE, 2022)</w:t>
      </w:r>
      <w:r w:rsidR="0044404F">
        <w:rPr>
          <w:rFonts w:ascii="Times New Roman" w:hAnsi="Times New Roman" w:cs="Times New Roman"/>
          <w:sz w:val="24"/>
          <w:szCs w:val="24"/>
        </w:rPr>
        <w:t>.</w:t>
      </w:r>
    </w:p>
    <w:p w14:paraId="718D2251" w14:textId="55177CE8" w:rsidR="00447D47" w:rsidRDefault="00447D47"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 xml:space="preserve">No Brasil, o desafio é ainda maior devido à disparidade regional. No Norte Fluminense, por exemplo, a comparação entre municípios evidencia realidades contrastantes. Quissamã, com cobertura integral da </w:t>
      </w:r>
      <w:r w:rsidR="000E41A8">
        <w:rPr>
          <w:rFonts w:ascii="Times New Roman" w:hAnsi="Times New Roman" w:cs="Times New Roman"/>
          <w:sz w:val="24"/>
          <w:szCs w:val="24"/>
        </w:rPr>
        <w:t xml:space="preserve">ESF </w:t>
      </w:r>
      <w:r w:rsidRPr="00BC6E90">
        <w:rPr>
          <w:rFonts w:ascii="Times New Roman" w:hAnsi="Times New Roman" w:cs="Times New Roman"/>
          <w:sz w:val="24"/>
          <w:szCs w:val="24"/>
        </w:rPr>
        <w:t xml:space="preserve">desde 2008, apresenta a menor taxa de mortalidade infantil da região (7,5 por mil nascidos vivos), resultado associado ao investimento expressivo em saúde (R$ 4.595,73 per capita) e à universalização da atenção básica. Em contrapartida, municípios como São Francisco de Itabapoana registram mortalidade infantil alarmante (31,9 por mil), reflexo de um orçamento reduzido (R$ 1.142,56 per capita), apesar da alta cobertura da ESF. Já Campos dos Goytacazes e Macaé, mesmo dispondo de grande porte populacional e mais recursos absolutos, mantêm baixa cobertura da atenção básica (cerca de 40%), o que reforça a dependência hospitalar e impacta negativamente os indicadores. Esses contrastes revelam que o desempenho em saúde coletiva depende não apenas do volume de recursos, mas da forma como são aplicados e da prioridade conferida à atenção primária, conforme demonstrado </w:t>
      </w:r>
      <w:r w:rsidR="0099515E">
        <w:rPr>
          <w:rFonts w:ascii="Times New Roman" w:hAnsi="Times New Roman" w:cs="Times New Roman"/>
          <w:sz w:val="24"/>
          <w:szCs w:val="24"/>
        </w:rPr>
        <w:t xml:space="preserve">no </w:t>
      </w:r>
      <w:r w:rsidR="0099515E" w:rsidRPr="0099515E">
        <w:rPr>
          <w:rFonts w:ascii="Times New Roman" w:hAnsi="Times New Roman" w:cs="Times New Roman"/>
          <w:sz w:val="24"/>
          <w:szCs w:val="24"/>
        </w:rPr>
        <w:t>Quadro 1</w:t>
      </w:r>
      <w:r w:rsidR="00CE08EA">
        <w:rPr>
          <w:rFonts w:ascii="Times New Roman" w:hAnsi="Times New Roman" w:cs="Times New Roman"/>
          <w:sz w:val="24"/>
          <w:szCs w:val="24"/>
        </w:rPr>
        <w:t xml:space="preserve"> -</w:t>
      </w:r>
      <w:r w:rsidR="0099515E" w:rsidRPr="0099515E">
        <w:rPr>
          <w:rFonts w:ascii="Times New Roman" w:hAnsi="Times New Roman" w:cs="Times New Roman"/>
          <w:sz w:val="24"/>
          <w:szCs w:val="24"/>
        </w:rPr>
        <w:t xml:space="preserve"> Desigualdades regionais em saúde no Norte Fluminense</w:t>
      </w:r>
      <w:r w:rsidRPr="00BC6E90">
        <w:rPr>
          <w:rFonts w:ascii="Times New Roman" w:hAnsi="Times New Roman" w:cs="Times New Roman"/>
          <w:sz w:val="24"/>
          <w:szCs w:val="24"/>
        </w:rPr>
        <w:t>.</w:t>
      </w:r>
    </w:p>
    <w:p w14:paraId="6CC8E815" w14:textId="420E55CB" w:rsidR="00FF4894" w:rsidRPr="00FF4894" w:rsidRDefault="00FF4894" w:rsidP="00FF4894">
      <w:pPr>
        <w:spacing w:after="0" w:line="360" w:lineRule="auto"/>
        <w:jc w:val="center"/>
        <w:rPr>
          <w:rFonts w:ascii="Times New Roman" w:hAnsi="Times New Roman" w:cs="Times New Roman"/>
          <w:sz w:val="20"/>
          <w:szCs w:val="20"/>
        </w:rPr>
      </w:pPr>
      <w:r w:rsidRPr="00FF4894">
        <w:rPr>
          <w:rFonts w:ascii="Times New Roman" w:hAnsi="Times New Roman" w:cs="Times New Roman"/>
          <w:sz w:val="20"/>
          <w:szCs w:val="20"/>
        </w:rPr>
        <w:t>Quadro 1</w:t>
      </w:r>
      <w:r w:rsidR="008A58D2">
        <w:rPr>
          <w:rFonts w:ascii="Times New Roman" w:hAnsi="Times New Roman" w:cs="Times New Roman"/>
          <w:sz w:val="20"/>
          <w:szCs w:val="20"/>
        </w:rPr>
        <w:t xml:space="preserve"> -</w:t>
      </w:r>
      <w:r w:rsidRPr="00FF4894">
        <w:rPr>
          <w:rFonts w:ascii="Times New Roman" w:hAnsi="Times New Roman" w:cs="Times New Roman"/>
          <w:sz w:val="20"/>
          <w:szCs w:val="20"/>
        </w:rPr>
        <w:t xml:space="preserve"> Desigualdades regionais em saúde no Norte Fluminense.</w:t>
      </w:r>
    </w:p>
    <w:tbl>
      <w:tblPr>
        <w:tblStyle w:val="TabeladeGrade3"/>
        <w:tblW w:w="9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502"/>
        <w:gridCol w:w="1502"/>
        <w:gridCol w:w="1502"/>
        <w:gridCol w:w="1502"/>
        <w:gridCol w:w="1502"/>
      </w:tblGrid>
      <w:tr w:rsidR="00B97818" w:rsidRPr="00447D47" w14:paraId="35D4B708" w14:textId="77777777" w:rsidTr="003A1C29">
        <w:trPr>
          <w:cnfStyle w:val="100000000000" w:firstRow="1" w:lastRow="0" w:firstColumn="0" w:lastColumn="0" w:oddVBand="0" w:evenVBand="0" w:oddHBand="0" w:evenHBand="0" w:firstRowFirstColumn="0" w:firstRowLastColumn="0" w:lastRowFirstColumn="0" w:lastRowLastColumn="0"/>
          <w:trHeight w:val="1872"/>
          <w:tblHeader/>
        </w:trPr>
        <w:tc>
          <w:tcPr>
            <w:cnfStyle w:val="001000000100" w:firstRow="0" w:lastRow="0" w:firstColumn="1" w:lastColumn="0" w:oddVBand="0" w:evenVBand="0" w:oddHBand="0" w:evenHBand="0" w:firstRowFirstColumn="1" w:firstRowLastColumn="0" w:lastRowFirstColumn="0" w:lastRowLastColumn="0"/>
            <w:tcW w:w="1600" w:type="dxa"/>
            <w:tcBorders>
              <w:top w:val="none" w:sz="0" w:space="0" w:color="auto"/>
              <w:left w:val="none" w:sz="0" w:space="0" w:color="auto"/>
              <w:bottom w:val="none" w:sz="0" w:space="0" w:color="auto"/>
              <w:right w:val="none" w:sz="0" w:space="0" w:color="auto"/>
            </w:tcBorders>
            <w:shd w:val="clear" w:color="auto" w:fill="auto"/>
            <w:noWrap/>
            <w:vAlign w:val="center"/>
            <w:hideMark/>
          </w:tcPr>
          <w:p w14:paraId="4D5BC970" w14:textId="33BF65C8" w:rsidR="00447D47" w:rsidRPr="00447D47" w:rsidRDefault="00B75A45" w:rsidP="00B97818">
            <w:pPr>
              <w:jc w:val="center"/>
              <w:rPr>
                <w:rFonts w:ascii="Times New Roman" w:eastAsia="Times New Roman" w:hAnsi="Times New Roman" w:cs="Times New Roman"/>
                <w:i w:val="0"/>
                <w:iCs w:val="0"/>
                <w:color w:val="000000"/>
                <w:kern w:val="0"/>
                <w:sz w:val="24"/>
                <w:szCs w:val="24"/>
                <w:lang w:eastAsia="pt-BR"/>
                <w14:ligatures w14:val="none"/>
              </w:rPr>
            </w:pPr>
            <w:r w:rsidRPr="00330653">
              <w:rPr>
                <w:rFonts w:ascii="Times New Roman" w:hAnsi="Times New Roman" w:cs="Times New Roman"/>
                <w:color w:val="000000" w:themeColor="text1"/>
                <w:sz w:val="20"/>
                <w:szCs w:val="20"/>
              </w:rPr>
              <w:t xml:space="preserve">Quadro </w:t>
            </w:r>
            <w:r w:rsidRPr="00330653">
              <w:rPr>
                <w:rFonts w:ascii="Times New Roman" w:hAnsi="Times New Roman" w:cs="Times New Roman"/>
                <w:color w:val="000000" w:themeColor="text1"/>
                <w:sz w:val="20"/>
                <w:szCs w:val="20"/>
              </w:rPr>
              <w:fldChar w:fldCharType="begin"/>
            </w:r>
            <w:r w:rsidRPr="00330653">
              <w:rPr>
                <w:rFonts w:ascii="Times New Roman" w:hAnsi="Times New Roman" w:cs="Times New Roman"/>
                <w:color w:val="000000" w:themeColor="text1"/>
                <w:sz w:val="20"/>
                <w:szCs w:val="20"/>
              </w:rPr>
              <w:instrText xml:space="preserve"> SEQ Quadro \* ARABIC </w:instrText>
            </w:r>
            <w:r w:rsidRPr="00330653">
              <w:rPr>
                <w:rFonts w:ascii="Times New Roman" w:hAnsi="Times New Roman" w:cs="Times New Roman"/>
                <w:color w:val="000000" w:themeColor="text1"/>
                <w:sz w:val="20"/>
                <w:szCs w:val="20"/>
              </w:rPr>
              <w:fldChar w:fldCharType="separate"/>
            </w:r>
            <w:r w:rsidR="00023192">
              <w:rPr>
                <w:rFonts w:ascii="Times New Roman" w:hAnsi="Times New Roman" w:cs="Times New Roman"/>
                <w:noProof/>
                <w:color w:val="000000" w:themeColor="text1"/>
                <w:sz w:val="20"/>
                <w:szCs w:val="20"/>
              </w:rPr>
              <w:t>1</w:t>
            </w:r>
            <w:r w:rsidRPr="00330653">
              <w:rPr>
                <w:rFonts w:ascii="Times New Roman" w:hAnsi="Times New Roman" w:cs="Times New Roman"/>
                <w:color w:val="000000" w:themeColor="text1"/>
                <w:sz w:val="20"/>
                <w:szCs w:val="20"/>
              </w:rPr>
              <w:fldChar w:fldCharType="end"/>
            </w:r>
            <w:r w:rsidRPr="00330653">
              <w:rPr>
                <w:rFonts w:ascii="Times New Roman" w:hAnsi="Times New Roman" w:cs="Times New Roman"/>
                <w:color w:val="000000" w:themeColor="text1"/>
                <w:sz w:val="20"/>
                <w:szCs w:val="20"/>
              </w:rPr>
              <w:t>:</w:t>
            </w:r>
            <w:r w:rsidRPr="00330653">
              <w:rPr>
                <w:rFonts w:ascii="Times New Roman" w:hAnsi="Times New Roman" w:cs="Times New Roman"/>
                <w:i w:val="0"/>
                <w:iCs w:val="0"/>
                <w:color w:val="000000" w:themeColor="text1"/>
                <w:sz w:val="20"/>
                <w:szCs w:val="20"/>
              </w:rPr>
              <w:t xml:space="preserve"> </w:t>
            </w:r>
            <w:r w:rsidR="00871745" w:rsidRPr="00330653">
              <w:rPr>
                <w:rFonts w:ascii="Times New Roman" w:hAnsi="Times New Roman" w:cs="Times New Roman"/>
                <w:i w:val="0"/>
                <w:iCs w:val="0"/>
                <w:color w:val="000000" w:themeColor="text1"/>
                <w:sz w:val="20"/>
                <w:szCs w:val="20"/>
              </w:rPr>
              <w:t>Desigualdades regionais em saúde no Norte Fluminense</w:t>
            </w:r>
            <w:r w:rsidR="00447D47" w:rsidRPr="00447D47">
              <w:rPr>
                <w:rFonts w:ascii="Times New Roman" w:eastAsia="Times New Roman" w:hAnsi="Times New Roman" w:cs="Times New Roman"/>
                <w:i w:val="0"/>
                <w:iCs w:val="0"/>
                <w:color w:val="000000"/>
                <w:kern w:val="0"/>
                <w:sz w:val="24"/>
                <w:szCs w:val="24"/>
                <w:lang w:eastAsia="pt-BR"/>
                <w14:ligatures w14:val="none"/>
              </w:rPr>
              <w:t>Município</w:t>
            </w:r>
          </w:p>
        </w:tc>
        <w:tc>
          <w:tcPr>
            <w:tcW w:w="1502" w:type="dxa"/>
            <w:tcBorders>
              <w:top w:val="none" w:sz="0" w:space="0" w:color="auto"/>
              <w:left w:val="none" w:sz="0" w:space="0" w:color="auto"/>
              <w:right w:val="none" w:sz="0" w:space="0" w:color="auto"/>
            </w:tcBorders>
            <w:shd w:val="clear" w:color="auto" w:fill="auto"/>
            <w:vAlign w:val="center"/>
            <w:hideMark/>
          </w:tcPr>
          <w:p w14:paraId="554BA115" w14:textId="77777777" w:rsidR="00447D47" w:rsidRPr="00447D47" w:rsidRDefault="00447D47" w:rsidP="00B978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População 2022</w:t>
            </w:r>
          </w:p>
        </w:tc>
        <w:tc>
          <w:tcPr>
            <w:tcW w:w="1502" w:type="dxa"/>
            <w:tcBorders>
              <w:top w:val="none" w:sz="0" w:space="0" w:color="auto"/>
              <w:left w:val="none" w:sz="0" w:space="0" w:color="auto"/>
              <w:right w:val="none" w:sz="0" w:space="0" w:color="auto"/>
            </w:tcBorders>
            <w:shd w:val="clear" w:color="auto" w:fill="auto"/>
            <w:vAlign w:val="center"/>
            <w:hideMark/>
          </w:tcPr>
          <w:p w14:paraId="516F82D6" w14:textId="77777777" w:rsidR="00447D47" w:rsidRPr="00447D47" w:rsidRDefault="00447D47" w:rsidP="00B978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Mortalidade infantil (crianças menores de 1 ano) (mil nascidas vivas)</w:t>
            </w:r>
          </w:p>
        </w:tc>
        <w:tc>
          <w:tcPr>
            <w:tcW w:w="1502" w:type="dxa"/>
            <w:tcBorders>
              <w:top w:val="none" w:sz="0" w:space="0" w:color="auto"/>
              <w:left w:val="none" w:sz="0" w:space="0" w:color="auto"/>
              <w:right w:val="none" w:sz="0" w:space="0" w:color="auto"/>
            </w:tcBorders>
            <w:shd w:val="clear" w:color="auto" w:fill="auto"/>
            <w:vAlign w:val="center"/>
            <w:hideMark/>
          </w:tcPr>
          <w:p w14:paraId="3DFB2E46" w14:textId="77777777" w:rsidR="00447D47" w:rsidRPr="00447D47" w:rsidRDefault="00447D47" w:rsidP="00B978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Orçamento municipal para a saúde (em reais, per capita)</w:t>
            </w:r>
          </w:p>
        </w:tc>
        <w:tc>
          <w:tcPr>
            <w:tcW w:w="1502" w:type="dxa"/>
            <w:tcBorders>
              <w:top w:val="none" w:sz="0" w:space="0" w:color="auto"/>
              <w:left w:val="none" w:sz="0" w:space="0" w:color="auto"/>
              <w:right w:val="none" w:sz="0" w:space="0" w:color="auto"/>
            </w:tcBorders>
            <w:shd w:val="clear" w:color="auto" w:fill="auto"/>
            <w:vAlign w:val="center"/>
            <w:hideMark/>
          </w:tcPr>
          <w:p w14:paraId="682B07CC" w14:textId="77777777" w:rsidR="00447D47" w:rsidRPr="00447D47" w:rsidRDefault="00447D47" w:rsidP="00B978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População atendida por equipes de saúde da família (%)</w:t>
            </w:r>
          </w:p>
        </w:tc>
        <w:tc>
          <w:tcPr>
            <w:tcW w:w="1502" w:type="dxa"/>
            <w:tcBorders>
              <w:top w:val="none" w:sz="0" w:space="0" w:color="auto"/>
              <w:left w:val="none" w:sz="0" w:space="0" w:color="auto"/>
              <w:right w:val="none" w:sz="0" w:space="0" w:color="auto"/>
            </w:tcBorders>
            <w:shd w:val="clear" w:color="auto" w:fill="auto"/>
            <w:vAlign w:val="center"/>
            <w:hideMark/>
          </w:tcPr>
          <w:p w14:paraId="55D70B2E" w14:textId="77777777" w:rsidR="00447D47" w:rsidRPr="00447D47" w:rsidRDefault="00447D47" w:rsidP="00B9781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Unidades Básicas de Saúde (mil habitantes)</w:t>
            </w:r>
          </w:p>
        </w:tc>
      </w:tr>
      <w:tr w:rsidR="00B97818" w:rsidRPr="00447D47" w14:paraId="440E78D0" w14:textId="77777777" w:rsidTr="00561A8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00" w:type="dxa"/>
            <w:tcBorders>
              <w:top w:val="none" w:sz="0" w:space="0" w:color="auto"/>
              <w:left w:val="none" w:sz="0" w:space="0" w:color="auto"/>
              <w:bottom w:val="none" w:sz="0" w:space="0" w:color="auto"/>
            </w:tcBorders>
            <w:shd w:val="clear" w:color="auto" w:fill="auto"/>
            <w:noWrap/>
            <w:hideMark/>
          </w:tcPr>
          <w:p w14:paraId="3C7E8725" w14:textId="77777777" w:rsidR="00447D47" w:rsidRPr="00447D47" w:rsidRDefault="00447D47" w:rsidP="00447D47">
            <w:pPr>
              <w:jc w:val="left"/>
              <w:rPr>
                <w:rFonts w:ascii="Times New Roman" w:eastAsia="Times New Roman" w:hAnsi="Times New Roman" w:cs="Times New Roman"/>
                <w:i w:val="0"/>
                <w:iCs w:val="0"/>
                <w:color w:val="000000"/>
                <w:kern w:val="0"/>
                <w:sz w:val="24"/>
                <w:szCs w:val="24"/>
                <w:lang w:eastAsia="pt-BR"/>
                <w14:ligatures w14:val="none"/>
              </w:rPr>
            </w:pPr>
            <w:r w:rsidRPr="00447D47">
              <w:rPr>
                <w:rFonts w:ascii="Times New Roman" w:eastAsia="Times New Roman" w:hAnsi="Times New Roman" w:cs="Times New Roman"/>
                <w:i w:val="0"/>
                <w:iCs w:val="0"/>
                <w:color w:val="000000"/>
                <w:kern w:val="0"/>
                <w:sz w:val="24"/>
                <w:szCs w:val="24"/>
                <w:lang w:eastAsia="pt-BR"/>
                <w14:ligatures w14:val="none"/>
              </w:rPr>
              <w:t xml:space="preserve">Carapebus </w:t>
            </w:r>
          </w:p>
        </w:tc>
        <w:tc>
          <w:tcPr>
            <w:tcW w:w="1502" w:type="dxa"/>
            <w:shd w:val="clear" w:color="auto" w:fill="auto"/>
            <w:noWrap/>
            <w:hideMark/>
          </w:tcPr>
          <w:p w14:paraId="5D137D17"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13847</w:t>
            </w:r>
          </w:p>
        </w:tc>
        <w:tc>
          <w:tcPr>
            <w:tcW w:w="1502" w:type="dxa"/>
            <w:shd w:val="clear" w:color="auto" w:fill="auto"/>
            <w:noWrap/>
            <w:hideMark/>
          </w:tcPr>
          <w:p w14:paraId="4FB2D5B6"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14,286</w:t>
            </w:r>
          </w:p>
        </w:tc>
        <w:tc>
          <w:tcPr>
            <w:tcW w:w="1502" w:type="dxa"/>
            <w:shd w:val="clear" w:color="auto" w:fill="auto"/>
            <w:noWrap/>
            <w:hideMark/>
          </w:tcPr>
          <w:p w14:paraId="1ABD98B6"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2438,61</w:t>
            </w:r>
          </w:p>
        </w:tc>
        <w:tc>
          <w:tcPr>
            <w:tcW w:w="1502" w:type="dxa"/>
            <w:shd w:val="clear" w:color="auto" w:fill="auto"/>
            <w:noWrap/>
            <w:hideMark/>
          </w:tcPr>
          <w:p w14:paraId="76983FAD"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94,64</w:t>
            </w:r>
          </w:p>
        </w:tc>
        <w:tc>
          <w:tcPr>
            <w:tcW w:w="1502" w:type="dxa"/>
            <w:shd w:val="clear" w:color="auto" w:fill="auto"/>
            <w:noWrap/>
            <w:hideMark/>
          </w:tcPr>
          <w:p w14:paraId="49CFCD94"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0,279</w:t>
            </w:r>
          </w:p>
        </w:tc>
      </w:tr>
      <w:tr w:rsidR="00B97818" w:rsidRPr="00447D47" w14:paraId="1193267D" w14:textId="77777777" w:rsidTr="00561A85">
        <w:trPr>
          <w:trHeight w:val="312"/>
        </w:trPr>
        <w:tc>
          <w:tcPr>
            <w:cnfStyle w:val="001000000000" w:firstRow="0" w:lastRow="0" w:firstColumn="1" w:lastColumn="0" w:oddVBand="0" w:evenVBand="0" w:oddHBand="0" w:evenHBand="0" w:firstRowFirstColumn="0" w:firstRowLastColumn="0" w:lastRowFirstColumn="0" w:lastRowLastColumn="0"/>
            <w:tcW w:w="1600" w:type="dxa"/>
            <w:tcBorders>
              <w:top w:val="none" w:sz="0" w:space="0" w:color="auto"/>
              <w:left w:val="none" w:sz="0" w:space="0" w:color="auto"/>
              <w:bottom w:val="none" w:sz="0" w:space="0" w:color="auto"/>
            </w:tcBorders>
            <w:shd w:val="clear" w:color="auto" w:fill="auto"/>
            <w:noWrap/>
            <w:hideMark/>
          </w:tcPr>
          <w:p w14:paraId="7A3D996D" w14:textId="77777777" w:rsidR="00447D47" w:rsidRPr="00447D47" w:rsidRDefault="00447D47" w:rsidP="00447D47">
            <w:pPr>
              <w:jc w:val="left"/>
              <w:rPr>
                <w:rFonts w:ascii="Times New Roman" w:eastAsia="Times New Roman" w:hAnsi="Times New Roman" w:cs="Times New Roman"/>
                <w:i w:val="0"/>
                <w:iCs w:val="0"/>
                <w:color w:val="000000"/>
                <w:kern w:val="0"/>
                <w:sz w:val="24"/>
                <w:szCs w:val="24"/>
                <w:lang w:eastAsia="pt-BR"/>
                <w14:ligatures w14:val="none"/>
              </w:rPr>
            </w:pPr>
            <w:r w:rsidRPr="00447D47">
              <w:rPr>
                <w:rFonts w:ascii="Times New Roman" w:eastAsia="Times New Roman" w:hAnsi="Times New Roman" w:cs="Times New Roman"/>
                <w:i w:val="0"/>
                <w:iCs w:val="0"/>
                <w:color w:val="000000"/>
                <w:kern w:val="0"/>
                <w:sz w:val="24"/>
                <w:szCs w:val="24"/>
                <w:lang w:eastAsia="pt-BR"/>
                <w14:ligatures w14:val="none"/>
              </w:rPr>
              <w:t xml:space="preserve">Campos dos Goytacazes </w:t>
            </w:r>
          </w:p>
        </w:tc>
        <w:tc>
          <w:tcPr>
            <w:tcW w:w="1502" w:type="dxa"/>
            <w:noWrap/>
            <w:hideMark/>
          </w:tcPr>
          <w:p w14:paraId="2833F0F2"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483551</w:t>
            </w:r>
          </w:p>
        </w:tc>
        <w:tc>
          <w:tcPr>
            <w:tcW w:w="1502" w:type="dxa"/>
            <w:noWrap/>
            <w:hideMark/>
          </w:tcPr>
          <w:p w14:paraId="6BAF419D"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16,635</w:t>
            </w:r>
          </w:p>
        </w:tc>
        <w:tc>
          <w:tcPr>
            <w:tcW w:w="1502" w:type="dxa"/>
            <w:noWrap/>
            <w:hideMark/>
          </w:tcPr>
          <w:p w14:paraId="3D750BBD"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2076,627</w:t>
            </w:r>
          </w:p>
        </w:tc>
        <w:tc>
          <w:tcPr>
            <w:tcW w:w="1502" w:type="dxa"/>
            <w:noWrap/>
            <w:hideMark/>
          </w:tcPr>
          <w:p w14:paraId="4E50141F"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42,2</w:t>
            </w:r>
          </w:p>
        </w:tc>
        <w:tc>
          <w:tcPr>
            <w:tcW w:w="1502" w:type="dxa"/>
            <w:noWrap/>
            <w:hideMark/>
          </w:tcPr>
          <w:p w14:paraId="7120C785"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0,162</w:t>
            </w:r>
          </w:p>
        </w:tc>
      </w:tr>
      <w:tr w:rsidR="00B97818" w:rsidRPr="00447D47" w14:paraId="503E9D6D" w14:textId="77777777" w:rsidTr="00561A8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00" w:type="dxa"/>
            <w:tcBorders>
              <w:top w:val="none" w:sz="0" w:space="0" w:color="auto"/>
              <w:left w:val="none" w:sz="0" w:space="0" w:color="auto"/>
              <w:bottom w:val="none" w:sz="0" w:space="0" w:color="auto"/>
            </w:tcBorders>
            <w:shd w:val="clear" w:color="auto" w:fill="auto"/>
            <w:noWrap/>
            <w:hideMark/>
          </w:tcPr>
          <w:p w14:paraId="553855E9" w14:textId="77777777" w:rsidR="00447D47" w:rsidRPr="00447D47" w:rsidRDefault="00447D47" w:rsidP="00447D47">
            <w:pPr>
              <w:jc w:val="left"/>
              <w:rPr>
                <w:rFonts w:ascii="Times New Roman" w:eastAsia="Times New Roman" w:hAnsi="Times New Roman" w:cs="Times New Roman"/>
                <w:i w:val="0"/>
                <w:iCs w:val="0"/>
                <w:color w:val="000000"/>
                <w:kern w:val="0"/>
                <w:sz w:val="24"/>
                <w:szCs w:val="24"/>
                <w:lang w:eastAsia="pt-BR"/>
                <w14:ligatures w14:val="none"/>
              </w:rPr>
            </w:pPr>
            <w:r w:rsidRPr="00447D47">
              <w:rPr>
                <w:rFonts w:ascii="Times New Roman" w:eastAsia="Times New Roman" w:hAnsi="Times New Roman" w:cs="Times New Roman"/>
                <w:i w:val="0"/>
                <w:iCs w:val="0"/>
                <w:color w:val="000000"/>
                <w:kern w:val="0"/>
                <w:sz w:val="24"/>
                <w:szCs w:val="24"/>
                <w:lang w:eastAsia="pt-BR"/>
                <w14:ligatures w14:val="none"/>
              </w:rPr>
              <w:t xml:space="preserve">Cardoso Moreira </w:t>
            </w:r>
          </w:p>
        </w:tc>
        <w:tc>
          <w:tcPr>
            <w:tcW w:w="1502" w:type="dxa"/>
            <w:shd w:val="clear" w:color="auto" w:fill="auto"/>
            <w:noWrap/>
            <w:hideMark/>
          </w:tcPr>
          <w:p w14:paraId="6D44B6F0"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12958</w:t>
            </w:r>
          </w:p>
        </w:tc>
        <w:tc>
          <w:tcPr>
            <w:tcW w:w="1502" w:type="dxa"/>
            <w:shd w:val="clear" w:color="auto" w:fill="auto"/>
            <w:noWrap/>
            <w:hideMark/>
          </w:tcPr>
          <w:p w14:paraId="002B1997"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22,222</w:t>
            </w:r>
          </w:p>
        </w:tc>
        <w:tc>
          <w:tcPr>
            <w:tcW w:w="1502" w:type="dxa"/>
            <w:shd w:val="clear" w:color="auto" w:fill="auto"/>
            <w:noWrap/>
            <w:hideMark/>
          </w:tcPr>
          <w:p w14:paraId="108167D6"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2287,296</w:t>
            </w:r>
          </w:p>
        </w:tc>
        <w:tc>
          <w:tcPr>
            <w:tcW w:w="1502" w:type="dxa"/>
            <w:shd w:val="clear" w:color="auto" w:fill="auto"/>
            <w:noWrap/>
            <w:hideMark/>
          </w:tcPr>
          <w:p w14:paraId="4F793623"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99,46</w:t>
            </w:r>
          </w:p>
        </w:tc>
        <w:tc>
          <w:tcPr>
            <w:tcW w:w="1502" w:type="dxa"/>
            <w:shd w:val="clear" w:color="auto" w:fill="auto"/>
            <w:noWrap/>
            <w:hideMark/>
          </w:tcPr>
          <w:p w14:paraId="781ECA2A"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0,671</w:t>
            </w:r>
          </w:p>
        </w:tc>
      </w:tr>
      <w:tr w:rsidR="00B97818" w:rsidRPr="00447D47" w14:paraId="239604B3" w14:textId="77777777" w:rsidTr="00561A85">
        <w:trPr>
          <w:trHeight w:val="312"/>
        </w:trPr>
        <w:tc>
          <w:tcPr>
            <w:cnfStyle w:val="001000000000" w:firstRow="0" w:lastRow="0" w:firstColumn="1" w:lastColumn="0" w:oddVBand="0" w:evenVBand="0" w:oddHBand="0" w:evenHBand="0" w:firstRowFirstColumn="0" w:firstRowLastColumn="0" w:lastRowFirstColumn="0" w:lastRowLastColumn="0"/>
            <w:tcW w:w="1600" w:type="dxa"/>
            <w:tcBorders>
              <w:top w:val="none" w:sz="0" w:space="0" w:color="auto"/>
              <w:left w:val="none" w:sz="0" w:space="0" w:color="auto"/>
              <w:bottom w:val="none" w:sz="0" w:space="0" w:color="auto"/>
            </w:tcBorders>
            <w:shd w:val="clear" w:color="auto" w:fill="auto"/>
            <w:noWrap/>
            <w:hideMark/>
          </w:tcPr>
          <w:p w14:paraId="0D2A354B" w14:textId="77777777" w:rsidR="00447D47" w:rsidRPr="00447D47" w:rsidRDefault="00447D47" w:rsidP="00447D47">
            <w:pPr>
              <w:jc w:val="left"/>
              <w:rPr>
                <w:rFonts w:ascii="Times New Roman" w:eastAsia="Times New Roman" w:hAnsi="Times New Roman" w:cs="Times New Roman"/>
                <w:i w:val="0"/>
                <w:iCs w:val="0"/>
                <w:color w:val="000000"/>
                <w:kern w:val="0"/>
                <w:sz w:val="24"/>
                <w:szCs w:val="24"/>
                <w:lang w:eastAsia="pt-BR"/>
                <w14:ligatures w14:val="none"/>
              </w:rPr>
            </w:pPr>
            <w:r w:rsidRPr="00447D47">
              <w:rPr>
                <w:rFonts w:ascii="Times New Roman" w:eastAsia="Times New Roman" w:hAnsi="Times New Roman" w:cs="Times New Roman"/>
                <w:i w:val="0"/>
                <w:iCs w:val="0"/>
                <w:color w:val="000000"/>
                <w:kern w:val="0"/>
                <w:sz w:val="24"/>
                <w:szCs w:val="24"/>
                <w:lang w:eastAsia="pt-BR"/>
                <w14:ligatures w14:val="none"/>
              </w:rPr>
              <w:t xml:space="preserve">Conceição de Macabu </w:t>
            </w:r>
          </w:p>
        </w:tc>
        <w:tc>
          <w:tcPr>
            <w:tcW w:w="1502" w:type="dxa"/>
            <w:noWrap/>
            <w:hideMark/>
          </w:tcPr>
          <w:p w14:paraId="274B37CB"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21104</w:t>
            </w:r>
          </w:p>
        </w:tc>
        <w:tc>
          <w:tcPr>
            <w:tcW w:w="1502" w:type="dxa"/>
            <w:noWrap/>
            <w:hideMark/>
          </w:tcPr>
          <w:p w14:paraId="0BA82D68"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26,432</w:t>
            </w:r>
          </w:p>
        </w:tc>
        <w:tc>
          <w:tcPr>
            <w:tcW w:w="1502" w:type="dxa"/>
            <w:noWrap/>
            <w:hideMark/>
          </w:tcPr>
          <w:p w14:paraId="4DE2AD45"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1772,826</w:t>
            </w:r>
          </w:p>
        </w:tc>
        <w:tc>
          <w:tcPr>
            <w:tcW w:w="1502" w:type="dxa"/>
            <w:noWrap/>
            <w:hideMark/>
          </w:tcPr>
          <w:p w14:paraId="0C1E1CA4"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100</w:t>
            </w:r>
          </w:p>
        </w:tc>
        <w:tc>
          <w:tcPr>
            <w:tcW w:w="1502" w:type="dxa"/>
            <w:noWrap/>
            <w:hideMark/>
          </w:tcPr>
          <w:p w14:paraId="7A3D7A9E"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0,643</w:t>
            </w:r>
          </w:p>
        </w:tc>
      </w:tr>
      <w:tr w:rsidR="00B97818" w:rsidRPr="00447D47" w14:paraId="716039D5" w14:textId="77777777" w:rsidTr="00561A8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00" w:type="dxa"/>
            <w:tcBorders>
              <w:top w:val="none" w:sz="0" w:space="0" w:color="auto"/>
              <w:left w:val="none" w:sz="0" w:space="0" w:color="auto"/>
              <w:bottom w:val="none" w:sz="0" w:space="0" w:color="auto"/>
            </w:tcBorders>
            <w:shd w:val="clear" w:color="auto" w:fill="auto"/>
            <w:noWrap/>
            <w:hideMark/>
          </w:tcPr>
          <w:p w14:paraId="4D3EFFE6" w14:textId="77777777" w:rsidR="00447D47" w:rsidRPr="00447D47" w:rsidRDefault="00447D47" w:rsidP="00447D47">
            <w:pPr>
              <w:jc w:val="left"/>
              <w:rPr>
                <w:rFonts w:ascii="Times New Roman" w:eastAsia="Times New Roman" w:hAnsi="Times New Roman" w:cs="Times New Roman"/>
                <w:i w:val="0"/>
                <w:iCs w:val="0"/>
                <w:color w:val="000000"/>
                <w:kern w:val="0"/>
                <w:sz w:val="24"/>
                <w:szCs w:val="24"/>
                <w:lang w:eastAsia="pt-BR"/>
                <w14:ligatures w14:val="none"/>
              </w:rPr>
            </w:pPr>
            <w:r w:rsidRPr="00447D47">
              <w:rPr>
                <w:rFonts w:ascii="Times New Roman" w:eastAsia="Times New Roman" w:hAnsi="Times New Roman" w:cs="Times New Roman"/>
                <w:i w:val="0"/>
                <w:iCs w:val="0"/>
                <w:color w:val="000000"/>
                <w:kern w:val="0"/>
                <w:sz w:val="24"/>
                <w:szCs w:val="24"/>
                <w:lang w:eastAsia="pt-BR"/>
                <w14:ligatures w14:val="none"/>
              </w:rPr>
              <w:lastRenderedPageBreak/>
              <w:t xml:space="preserve">Macaé </w:t>
            </w:r>
          </w:p>
        </w:tc>
        <w:tc>
          <w:tcPr>
            <w:tcW w:w="1502" w:type="dxa"/>
            <w:shd w:val="clear" w:color="auto" w:fill="auto"/>
            <w:noWrap/>
            <w:hideMark/>
          </w:tcPr>
          <w:p w14:paraId="04EBEF3A"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246391</w:t>
            </w:r>
          </w:p>
        </w:tc>
        <w:tc>
          <w:tcPr>
            <w:tcW w:w="1502" w:type="dxa"/>
            <w:shd w:val="clear" w:color="auto" w:fill="auto"/>
            <w:noWrap/>
            <w:hideMark/>
          </w:tcPr>
          <w:p w14:paraId="6A454149"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9,582</w:t>
            </w:r>
          </w:p>
        </w:tc>
        <w:tc>
          <w:tcPr>
            <w:tcW w:w="1502" w:type="dxa"/>
            <w:shd w:val="clear" w:color="auto" w:fill="auto"/>
            <w:noWrap/>
            <w:hideMark/>
          </w:tcPr>
          <w:p w14:paraId="7DE676B7"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2862,208</w:t>
            </w:r>
          </w:p>
        </w:tc>
        <w:tc>
          <w:tcPr>
            <w:tcW w:w="1502" w:type="dxa"/>
            <w:shd w:val="clear" w:color="auto" w:fill="auto"/>
            <w:noWrap/>
            <w:hideMark/>
          </w:tcPr>
          <w:p w14:paraId="0D654B96"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39,53</w:t>
            </w:r>
          </w:p>
        </w:tc>
        <w:tc>
          <w:tcPr>
            <w:tcW w:w="1502" w:type="dxa"/>
            <w:shd w:val="clear" w:color="auto" w:fill="auto"/>
            <w:noWrap/>
            <w:hideMark/>
          </w:tcPr>
          <w:p w14:paraId="02116BC6"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0,212</w:t>
            </w:r>
          </w:p>
        </w:tc>
      </w:tr>
      <w:tr w:rsidR="00B97818" w:rsidRPr="00447D47" w14:paraId="25FD6BE8" w14:textId="77777777" w:rsidTr="00561A85">
        <w:trPr>
          <w:trHeight w:val="312"/>
        </w:trPr>
        <w:tc>
          <w:tcPr>
            <w:cnfStyle w:val="001000000000" w:firstRow="0" w:lastRow="0" w:firstColumn="1" w:lastColumn="0" w:oddVBand="0" w:evenVBand="0" w:oddHBand="0" w:evenHBand="0" w:firstRowFirstColumn="0" w:firstRowLastColumn="0" w:lastRowFirstColumn="0" w:lastRowLastColumn="0"/>
            <w:tcW w:w="1600" w:type="dxa"/>
            <w:tcBorders>
              <w:top w:val="none" w:sz="0" w:space="0" w:color="auto"/>
              <w:left w:val="none" w:sz="0" w:space="0" w:color="auto"/>
              <w:bottom w:val="none" w:sz="0" w:space="0" w:color="auto"/>
            </w:tcBorders>
            <w:shd w:val="clear" w:color="auto" w:fill="auto"/>
            <w:noWrap/>
            <w:hideMark/>
          </w:tcPr>
          <w:p w14:paraId="13979559" w14:textId="77777777" w:rsidR="00447D47" w:rsidRPr="00447D47" w:rsidRDefault="00447D47" w:rsidP="00447D47">
            <w:pPr>
              <w:jc w:val="left"/>
              <w:rPr>
                <w:rFonts w:ascii="Times New Roman" w:eastAsia="Times New Roman" w:hAnsi="Times New Roman" w:cs="Times New Roman"/>
                <w:i w:val="0"/>
                <w:iCs w:val="0"/>
                <w:color w:val="000000"/>
                <w:kern w:val="0"/>
                <w:sz w:val="24"/>
                <w:szCs w:val="24"/>
                <w:lang w:eastAsia="pt-BR"/>
                <w14:ligatures w14:val="none"/>
              </w:rPr>
            </w:pPr>
            <w:r w:rsidRPr="00447D47">
              <w:rPr>
                <w:rFonts w:ascii="Times New Roman" w:eastAsia="Times New Roman" w:hAnsi="Times New Roman" w:cs="Times New Roman"/>
                <w:i w:val="0"/>
                <w:iCs w:val="0"/>
                <w:color w:val="000000"/>
                <w:kern w:val="0"/>
                <w:sz w:val="24"/>
                <w:szCs w:val="24"/>
                <w:lang w:eastAsia="pt-BR"/>
                <w14:ligatures w14:val="none"/>
              </w:rPr>
              <w:t xml:space="preserve">Quissamã </w:t>
            </w:r>
          </w:p>
        </w:tc>
        <w:tc>
          <w:tcPr>
            <w:tcW w:w="1502" w:type="dxa"/>
            <w:noWrap/>
            <w:hideMark/>
          </w:tcPr>
          <w:p w14:paraId="39493034"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22393</w:t>
            </w:r>
          </w:p>
        </w:tc>
        <w:tc>
          <w:tcPr>
            <w:tcW w:w="1502" w:type="dxa"/>
            <w:noWrap/>
            <w:hideMark/>
          </w:tcPr>
          <w:p w14:paraId="47CB0F8F"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7,576</w:t>
            </w:r>
          </w:p>
        </w:tc>
        <w:tc>
          <w:tcPr>
            <w:tcW w:w="1502" w:type="dxa"/>
            <w:noWrap/>
            <w:hideMark/>
          </w:tcPr>
          <w:p w14:paraId="5420C487"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4595,734</w:t>
            </w:r>
          </w:p>
        </w:tc>
        <w:tc>
          <w:tcPr>
            <w:tcW w:w="1502" w:type="dxa"/>
            <w:noWrap/>
            <w:hideMark/>
          </w:tcPr>
          <w:p w14:paraId="0820583F"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100</w:t>
            </w:r>
          </w:p>
        </w:tc>
        <w:tc>
          <w:tcPr>
            <w:tcW w:w="1502" w:type="dxa"/>
            <w:noWrap/>
            <w:hideMark/>
          </w:tcPr>
          <w:p w14:paraId="5BE61D43"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0,389</w:t>
            </w:r>
          </w:p>
        </w:tc>
      </w:tr>
      <w:tr w:rsidR="00B97818" w:rsidRPr="00447D47" w14:paraId="01EDAC46" w14:textId="77777777" w:rsidTr="00561A8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00" w:type="dxa"/>
            <w:tcBorders>
              <w:top w:val="none" w:sz="0" w:space="0" w:color="auto"/>
              <w:left w:val="none" w:sz="0" w:space="0" w:color="auto"/>
              <w:bottom w:val="none" w:sz="0" w:space="0" w:color="auto"/>
            </w:tcBorders>
            <w:shd w:val="clear" w:color="auto" w:fill="auto"/>
            <w:noWrap/>
            <w:hideMark/>
          </w:tcPr>
          <w:p w14:paraId="06217196" w14:textId="77777777" w:rsidR="00447D47" w:rsidRPr="00447D47" w:rsidRDefault="00447D47" w:rsidP="00447D47">
            <w:pPr>
              <w:jc w:val="left"/>
              <w:rPr>
                <w:rFonts w:ascii="Times New Roman" w:eastAsia="Times New Roman" w:hAnsi="Times New Roman" w:cs="Times New Roman"/>
                <w:i w:val="0"/>
                <w:iCs w:val="0"/>
                <w:color w:val="000000"/>
                <w:kern w:val="0"/>
                <w:sz w:val="24"/>
                <w:szCs w:val="24"/>
                <w:lang w:eastAsia="pt-BR"/>
                <w14:ligatures w14:val="none"/>
              </w:rPr>
            </w:pPr>
            <w:r w:rsidRPr="00447D47">
              <w:rPr>
                <w:rFonts w:ascii="Times New Roman" w:eastAsia="Times New Roman" w:hAnsi="Times New Roman" w:cs="Times New Roman"/>
                <w:i w:val="0"/>
                <w:iCs w:val="0"/>
                <w:color w:val="000000"/>
                <w:kern w:val="0"/>
                <w:sz w:val="24"/>
                <w:szCs w:val="24"/>
                <w:lang w:eastAsia="pt-BR"/>
                <w14:ligatures w14:val="none"/>
              </w:rPr>
              <w:t xml:space="preserve">São Francisco de Itabapoana </w:t>
            </w:r>
          </w:p>
        </w:tc>
        <w:tc>
          <w:tcPr>
            <w:tcW w:w="1502" w:type="dxa"/>
            <w:shd w:val="clear" w:color="auto" w:fill="auto"/>
            <w:noWrap/>
            <w:hideMark/>
          </w:tcPr>
          <w:p w14:paraId="4C0F33D9"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45059</w:t>
            </w:r>
          </w:p>
        </w:tc>
        <w:tc>
          <w:tcPr>
            <w:tcW w:w="1502" w:type="dxa"/>
            <w:shd w:val="clear" w:color="auto" w:fill="auto"/>
            <w:noWrap/>
            <w:hideMark/>
          </w:tcPr>
          <w:p w14:paraId="7E44FA0C"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31,895</w:t>
            </w:r>
          </w:p>
        </w:tc>
        <w:tc>
          <w:tcPr>
            <w:tcW w:w="1502" w:type="dxa"/>
            <w:shd w:val="clear" w:color="auto" w:fill="auto"/>
            <w:noWrap/>
            <w:hideMark/>
          </w:tcPr>
          <w:p w14:paraId="3739A5FB"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1142,56</w:t>
            </w:r>
          </w:p>
        </w:tc>
        <w:tc>
          <w:tcPr>
            <w:tcW w:w="1502" w:type="dxa"/>
            <w:shd w:val="clear" w:color="auto" w:fill="auto"/>
            <w:noWrap/>
            <w:hideMark/>
          </w:tcPr>
          <w:p w14:paraId="39A15F55"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98,38</w:t>
            </w:r>
          </w:p>
        </w:tc>
        <w:tc>
          <w:tcPr>
            <w:tcW w:w="1502" w:type="dxa"/>
            <w:shd w:val="clear" w:color="auto" w:fill="auto"/>
            <w:noWrap/>
            <w:hideMark/>
          </w:tcPr>
          <w:p w14:paraId="7ED30EDA"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0,422</w:t>
            </w:r>
          </w:p>
        </w:tc>
      </w:tr>
      <w:tr w:rsidR="00B97818" w:rsidRPr="00447D47" w14:paraId="28D20EE5" w14:textId="77777777" w:rsidTr="00561A85">
        <w:trPr>
          <w:trHeight w:val="312"/>
        </w:trPr>
        <w:tc>
          <w:tcPr>
            <w:cnfStyle w:val="001000000000" w:firstRow="0" w:lastRow="0" w:firstColumn="1" w:lastColumn="0" w:oddVBand="0" w:evenVBand="0" w:oddHBand="0" w:evenHBand="0" w:firstRowFirstColumn="0" w:firstRowLastColumn="0" w:lastRowFirstColumn="0" w:lastRowLastColumn="0"/>
            <w:tcW w:w="1600" w:type="dxa"/>
            <w:tcBorders>
              <w:top w:val="none" w:sz="0" w:space="0" w:color="auto"/>
              <w:left w:val="none" w:sz="0" w:space="0" w:color="auto"/>
              <w:bottom w:val="none" w:sz="0" w:space="0" w:color="auto"/>
            </w:tcBorders>
            <w:shd w:val="clear" w:color="auto" w:fill="auto"/>
            <w:noWrap/>
            <w:hideMark/>
          </w:tcPr>
          <w:p w14:paraId="15F69C46" w14:textId="77777777" w:rsidR="00447D47" w:rsidRPr="00447D47" w:rsidRDefault="00447D47" w:rsidP="00447D47">
            <w:pPr>
              <w:jc w:val="left"/>
              <w:rPr>
                <w:rFonts w:ascii="Times New Roman" w:eastAsia="Times New Roman" w:hAnsi="Times New Roman" w:cs="Times New Roman"/>
                <w:i w:val="0"/>
                <w:iCs w:val="0"/>
                <w:color w:val="000000"/>
                <w:kern w:val="0"/>
                <w:sz w:val="24"/>
                <w:szCs w:val="24"/>
                <w:lang w:eastAsia="pt-BR"/>
                <w14:ligatures w14:val="none"/>
              </w:rPr>
            </w:pPr>
            <w:r w:rsidRPr="00447D47">
              <w:rPr>
                <w:rFonts w:ascii="Times New Roman" w:eastAsia="Times New Roman" w:hAnsi="Times New Roman" w:cs="Times New Roman"/>
                <w:i w:val="0"/>
                <w:iCs w:val="0"/>
                <w:color w:val="000000"/>
                <w:kern w:val="0"/>
                <w:sz w:val="24"/>
                <w:szCs w:val="24"/>
                <w:lang w:eastAsia="pt-BR"/>
                <w14:ligatures w14:val="none"/>
              </w:rPr>
              <w:t xml:space="preserve">São Fidélis </w:t>
            </w:r>
          </w:p>
        </w:tc>
        <w:tc>
          <w:tcPr>
            <w:tcW w:w="1502" w:type="dxa"/>
            <w:noWrap/>
            <w:hideMark/>
          </w:tcPr>
          <w:p w14:paraId="30D5EEAB"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38939</w:t>
            </w:r>
          </w:p>
        </w:tc>
        <w:tc>
          <w:tcPr>
            <w:tcW w:w="1502" w:type="dxa"/>
            <w:noWrap/>
            <w:hideMark/>
          </w:tcPr>
          <w:p w14:paraId="1A31DA4F"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21,563</w:t>
            </w:r>
          </w:p>
        </w:tc>
        <w:tc>
          <w:tcPr>
            <w:tcW w:w="1502" w:type="dxa"/>
            <w:noWrap/>
            <w:hideMark/>
          </w:tcPr>
          <w:p w14:paraId="0590C76B"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1447,556</w:t>
            </w:r>
          </w:p>
        </w:tc>
        <w:tc>
          <w:tcPr>
            <w:tcW w:w="1502" w:type="dxa"/>
            <w:noWrap/>
            <w:hideMark/>
          </w:tcPr>
          <w:p w14:paraId="1E3F089F"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98,54</w:t>
            </w:r>
          </w:p>
        </w:tc>
        <w:tc>
          <w:tcPr>
            <w:tcW w:w="1502" w:type="dxa"/>
            <w:noWrap/>
            <w:hideMark/>
          </w:tcPr>
          <w:p w14:paraId="733A90CD" w14:textId="77777777" w:rsidR="00447D47" w:rsidRPr="00447D47" w:rsidRDefault="00447D47" w:rsidP="00447D47">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0,388</w:t>
            </w:r>
          </w:p>
        </w:tc>
      </w:tr>
      <w:tr w:rsidR="00B97818" w:rsidRPr="00447D47" w14:paraId="5B96D786" w14:textId="77777777" w:rsidTr="00561A8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600" w:type="dxa"/>
            <w:tcBorders>
              <w:top w:val="none" w:sz="0" w:space="0" w:color="auto"/>
              <w:left w:val="none" w:sz="0" w:space="0" w:color="auto"/>
              <w:bottom w:val="none" w:sz="0" w:space="0" w:color="auto"/>
            </w:tcBorders>
            <w:shd w:val="clear" w:color="auto" w:fill="auto"/>
            <w:noWrap/>
            <w:hideMark/>
          </w:tcPr>
          <w:p w14:paraId="1D923BF0" w14:textId="77777777" w:rsidR="00447D47" w:rsidRPr="00447D47" w:rsidRDefault="00447D47" w:rsidP="00447D47">
            <w:pPr>
              <w:jc w:val="left"/>
              <w:rPr>
                <w:rFonts w:ascii="Times New Roman" w:eastAsia="Times New Roman" w:hAnsi="Times New Roman" w:cs="Times New Roman"/>
                <w:i w:val="0"/>
                <w:iCs w:val="0"/>
                <w:color w:val="000000"/>
                <w:kern w:val="0"/>
                <w:sz w:val="24"/>
                <w:szCs w:val="24"/>
                <w:lang w:eastAsia="pt-BR"/>
                <w14:ligatures w14:val="none"/>
              </w:rPr>
            </w:pPr>
            <w:r w:rsidRPr="00447D47">
              <w:rPr>
                <w:rFonts w:ascii="Times New Roman" w:eastAsia="Times New Roman" w:hAnsi="Times New Roman" w:cs="Times New Roman"/>
                <w:i w:val="0"/>
                <w:iCs w:val="0"/>
                <w:color w:val="000000"/>
                <w:kern w:val="0"/>
                <w:sz w:val="24"/>
                <w:szCs w:val="24"/>
                <w:lang w:eastAsia="pt-BR"/>
                <w14:ligatures w14:val="none"/>
              </w:rPr>
              <w:t xml:space="preserve">São João da Barra </w:t>
            </w:r>
          </w:p>
        </w:tc>
        <w:tc>
          <w:tcPr>
            <w:tcW w:w="1502" w:type="dxa"/>
            <w:shd w:val="clear" w:color="auto" w:fill="auto"/>
            <w:noWrap/>
            <w:hideMark/>
          </w:tcPr>
          <w:p w14:paraId="0E122A60"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36573</w:t>
            </w:r>
          </w:p>
        </w:tc>
        <w:tc>
          <w:tcPr>
            <w:tcW w:w="1502" w:type="dxa"/>
            <w:shd w:val="clear" w:color="auto" w:fill="auto"/>
            <w:noWrap/>
            <w:hideMark/>
          </w:tcPr>
          <w:p w14:paraId="69F06396"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17,308</w:t>
            </w:r>
          </w:p>
        </w:tc>
        <w:tc>
          <w:tcPr>
            <w:tcW w:w="1502" w:type="dxa"/>
            <w:shd w:val="clear" w:color="auto" w:fill="auto"/>
            <w:noWrap/>
            <w:hideMark/>
          </w:tcPr>
          <w:p w14:paraId="462972F8"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5649,955</w:t>
            </w:r>
          </w:p>
        </w:tc>
        <w:tc>
          <w:tcPr>
            <w:tcW w:w="1502" w:type="dxa"/>
            <w:shd w:val="clear" w:color="auto" w:fill="auto"/>
            <w:noWrap/>
            <w:hideMark/>
          </w:tcPr>
          <w:p w14:paraId="3F2C6923" w14:textId="77777777" w:rsidR="00447D47" w:rsidRPr="00447D47" w:rsidRDefault="00447D47" w:rsidP="00447D47">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100</w:t>
            </w:r>
          </w:p>
        </w:tc>
        <w:tc>
          <w:tcPr>
            <w:tcW w:w="1502" w:type="dxa"/>
            <w:shd w:val="clear" w:color="auto" w:fill="auto"/>
            <w:noWrap/>
            <w:hideMark/>
          </w:tcPr>
          <w:p w14:paraId="25CA43C6" w14:textId="77777777" w:rsidR="00447D47" w:rsidRPr="00447D47" w:rsidRDefault="00447D47" w:rsidP="0099515E">
            <w:pPr>
              <w:keepNext/>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szCs w:val="24"/>
                <w:lang w:eastAsia="pt-BR"/>
                <w14:ligatures w14:val="none"/>
              </w:rPr>
            </w:pPr>
            <w:r w:rsidRPr="00447D47">
              <w:rPr>
                <w:rFonts w:ascii="Times New Roman" w:eastAsia="Times New Roman" w:hAnsi="Times New Roman" w:cs="Times New Roman"/>
                <w:color w:val="000000"/>
                <w:kern w:val="0"/>
                <w:sz w:val="24"/>
                <w:szCs w:val="24"/>
                <w:lang w:eastAsia="pt-BR"/>
                <w14:ligatures w14:val="none"/>
              </w:rPr>
              <w:t>0,388</w:t>
            </w:r>
          </w:p>
        </w:tc>
      </w:tr>
    </w:tbl>
    <w:p w14:paraId="4318FBEE" w14:textId="190144E2" w:rsidR="00B75A45" w:rsidRPr="0099515E" w:rsidRDefault="00B75A45" w:rsidP="009C2B72">
      <w:pPr>
        <w:spacing w:after="0" w:line="240" w:lineRule="auto"/>
        <w:rPr>
          <w:rFonts w:ascii="Times New Roman" w:hAnsi="Times New Roman" w:cs="Times New Roman"/>
          <w:sz w:val="20"/>
          <w:szCs w:val="20"/>
        </w:rPr>
      </w:pPr>
      <w:r w:rsidRPr="0099515E">
        <w:rPr>
          <w:rFonts w:ascii="Times New Roman" w:hAnsi="Times New Roman" w:cs="Times New Roman"/>
          <w:sz w:val="20"/>
          <w:szCs w:val="20"/>
        </w:rPr>
        <w:t>Fonte:</w:t>
      </w:r>
      <w:r w:rsidR="00871745">
        <w:rPr>
          <w:rFonts w:ascii="Times New Roman" w:hAnsi="Times New Roman" w:cs="Times New Roman"/>
          <w:sz w:val="20"/>
          <w:szCs w:val="20"/>
        </w:rPr>
        <w:t xml:space="preserve"> </w:t>
      </w:r>
      <w:r w:rsidR="00871745" w:rsidRPr="00871745">
        <w:rPr>
          <w:rFonts w:ascii="Times New Roman" w:hAnsi="Times New Roman" w:cs="Times New Roman"/>
          <w:sz w:val="20"/>
          <w:szCs w:val="20"/>
        </w:rPr>
        <w:t xml:space="preserve">Elaboração própria, a partir de dados do </w:t>
      </w:r>
      <w:r w:rsidR="00871745" w:rsidRPr="0099515E">
        <w:rPr>
          <w:rFonts w:ascii="Times New Roman" w:hAnsi="Times New Roman" w:cs="Times New Roman"/>
          <w:sz w:val="20"/>
          <w:szCs w:val="20"/>
        </w:rPr>
        <w:t>DataSUS/SINASC</w:t>
      </w:r>
      <w:r w:rsidR="00871745" w:rsidRPr="00871745">
        <w:rPr>
          <w:rFonts w:ascii="Times New Roman" w:hAnsi="Times New Roman" w:cs="Times New Roman"/>
          <w:sz w:val="20"/>
          <w:szCs w:val="20"/>
        </w:rPr>
        <w:t xml:space="preserve">, </w:t>
      </w:r>
      <w:r w:rsidR="00871745" w:rsidRPr="0099515E">
        <w:rPr>
          <w:rFonts w:ascii="Times New Roman" w:hAnsi="Times New Roman" w:cs="Times New Roman"/>
          <w:sz w:val="20"/>
          <w:szCs w:val="20"/>
        </w:rPr>
        <w:t>SICONFI-FINBRA/Despesas por Função</w:t>
      </w:r>
      <w:r w:rsidR="00871745" w:rsidRPr="00871745">
        <w:rPr>
          <w:rFonts w:ascii="Times New Roman" w:hAnsi="Times New Roman" w:cs="Times New Roman"/>
          <w:sz w:val="20"/>
          <w:szCs w:val="20"/>
        </w:rPr>
        <w:t xml:space="preserve">, </w:t>
      </w:r>
      <w:r w:rsidR="00871745" w:rsidRPr="0099515E">
        <w:rPr>
          <w:rFonts w:ascii="Times New Roman" w:hAnsi="Times New Roman" w:cs="Times New Roman"/>
          <w:sz w:val="20"/>
          <w:szCs w:val="20"/>
        </w:rPr>
        <w:t>DataSUS/E-Gestor</w:t>
      </w:r>
      <w:r w:rsidR="00871745" w:rsidRPr="00871745">
        <w:rPr>
          <w:rFonts w:ascii="Times New Roman" w:hAnsi="Times New Roman" w:cs="Times New Roman"/>
          <w:sz w:val="20"/>
          <w:szCs w:val="20"/>
        </w:rPr>
        <w:t xml:space="preserve">, </w:t>
      </w:r>
      <w:r w:rsidR="00871745" w:rsidRPr="0099515E">
        <w:rPr>
          <w:rFonts w:ascii="Times New Roman" w:hAnsi="Times New Roman" w:cs="Times New Roman"/>
          <w:sz w:val="20"/>
          <w:szCs w:val="20"/>
        </w:rPr>
        <w:t>DataSUS/CNES</w:t>
      </w:r>
      <w:r w:rsidR="00871745" w:rsidRPr="00871745">
        <w:rPr>
          <w:rFonts w:ascii="Times New Roman" w:hAnsi="Times New Roman" w:cs="Times New Roman"/>
          <w:sz w:val="20"/>
          <w:szCs w:val="20"/>
        </w:rPr>
        <w:t xml:space="preserve"> e </w:t>
      </w:r>
      <w:r w:rsidR="00871745" w:rsidRPr="0099515E">
        <w:rPr>
          <w:rFonts w:ascii="Times New Roman" w:hAnsi="Times New Roman" w:cs="Times New Roman"/>
          <w:sz w:val="20"/>
          <w:szCs w:val="20"/>
        </w:rPr>
        <w:t>IBGE/Censo Demográfico 2022</w:t>
      </w:r>
    </w:p>
    <w:p w14:paraId="678A78C0" w14:textId="421BE47A" w:rsidR="00447D47" w:rsidRPr="00BC6E90" w:rsidRDefault="00B97818" w:rsidP="009C2B72">
      <w:pPr>
        <w:spacing w:before="160"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Os indicadores apresentados foram elaborados a partir de bases oficiais do sistema público brasileiro. Os dados de mortalidade infantil foram obtidos no DataSUS/SINASC; as informações sobre o orçamento municipal em saúde (per capita) foram extraídas do SICONFI-FINBRA/Despesas por Função, em articulação com os dados populacionais do IBGE/Censo 2022; a cobertura populacional por equipes de Saúde da Família foi consultada no DataSUS/E-Gestor; e o número de Unidades Básicas de Saúde por mil habitantes teve como fonte o DataSUS/Cadastro Nacional de Estabelecimentos de Saúde (CNES), também em conjunto com o IBGE/Censo 2022.</w:t>
      </w:r>
    </w:p>
    <w:p w14:paraId="47D119F4" w14:textId="4E352AD0" w:rsidR="0099515E" w:rsidRDefault="00F41ABB"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 xml:space="preserve">Essas mesmas cidades, quando avaliadas pelo Índice FIRJAN de Desenvolvimento Municipal (IFDM), tomando como referência o ano de 2023 e com dados divulgados em maio de 2025, apresentam resultados distintos no eixo saúde. Esse indicador, que considera variáveis como disponibilidade de médicos, cobertura de pré-natal e vacinal, prevalência de gravidez na adolescência, internações por condições sensíveis à atenção básica e óbitos infantis por causas evitáveis, busca mensurar o nível de desenvolvimento e vulnerabilidade da população sob a ótica da saúde pública. A análise revela que nenhum município do Norte Fluminense alcançou o patamar de desenvolvimento alto (índice superior a 0,8). Apenas Macaé (0,6833) e Carapebus (0,6662) atingiram o nível de desenvolvimento moderado (entre 0,6 e 0,8), demonstrando maior eficiência relativa na área da saúde. A maioria dos municípios encontra-se na faixa de desenvolvimento baixo (entre 0,4 e 0,6), incluindo Campos dos Goytacazes (0,5857), Quissamã (0,5870), Conceição de Macabu (0,5560) e São João da Barra (0,5260), o que indica avanços parciais, mas ainda insuficientes para garantir qualidade ampla dos serviços. Os resultados mais preocupantes estão em São Fidélis (0,4615), Cardoso Moreira (0,4438) e São Francisco de </w:t>
      </w:r>
      <w:r w:rsidRPr="00BC6E90">
        <w:rPr>
          <w:rFonts w:ascii="Times New Roman" w:hAnsi="Times New Roman" w:cs="Times New Roman"/>
          <w:sz w:val="24"/>
          <w:szCs w:val="24"/>
        </w:rPr>
        <w:lastRenderedPageBreak/>
        <w:t>Itabapoana (0,4156), que permanecem na base da classificação e evidenciam fragilidades profundas na rede de atenção básica e preventiva. Em síntese, os dados confirmam que a região, embora apresente alguns casos de melhor desempenho, ainda enfrenta sérias limitações para transformar recursos orçamentários e cobertura nominal em resultados consistentes de saúde coletiva.</w:t>
      </w:r>
    </w:p>
    <w:p w14:paraId="7848959D" w14:textId="77777777"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3.2 ODS 3 e ODS 11: saúde e cidades sustentáveis</w:t>
      </w:r>
    </w:p>
    <w:p w14:paraId="13A08EC4" w14:textId="61A9FC66"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A Agenda 2030 das Nações Unidas, adotada em 2015, reforçou a interdependência entre saúde e desenvolvimento urbano sustentável. Entre os 17 ODS, destacam-se dois diretamente conectados ao tema deste artigo:</w:t>
      </w:r>
    </w:p>
    <w:p w14:paraId="1191A9E2" w14:textId="77777777" w:rsidR="00063E12" w:rsidRPr="00063E12" w:rsidRDefault="00063E12" w:rsidP="00063E12">
      <w:pPr>
        <w:numPr>
          <w:ilvl w:val="0"/>
          <w:numId w:val="1"/>
        </w:numPr>
        <w:spacing w:line="360" w:lineRule="auto"/>
        <w:jc w:val="both"/>
        <w:rPr>
          <w:rFonts w:ascii="Times New Roman" w:hAnsi="Times New Roman" w:cs="Times New Roman"/>
          <w:sz w:val="24"/>
          <w:szCs w:val="24"/>
        </w:rPr>
      </w:pPr>
      <w:r w:rsidRPr="00063E12">
        <w:rPr>
          <w:rFonts w:ascii="Times New Roman" w:hAnsi="Times New Roman" w:cs="Times New Roman"/>
          <w:b/>
          <w:bCs/>
          <w:sz w:val="24"/>
          <w:szCs w:val="24"/>
        </w:rPr>
        <w:t>ODS 3 – Saúde e Bem-Estar:</w:t>
      </w:r>
      <w:r w:rsidRPr="00063E12">
        <w:rPr>
          <w:rFonts w:ascii="Times New Roman" w:hAnsi="Times New Roman" w:cs="Times New Roman"/>
          <w:sz w:val="24"/>
          <w:szCs w:val="24"/>
        </w:rPr>
        <w:t xml:space="preserve"> garantir uma vida saudável e promover o bem-estar para todos, em todas as idades.</w:t>
      </w:r>
    </w:p>
    <w:p w14:paraId="1C2EEAD1" w14:textId="77777777" w:rsidR="00063E12" w:rsidRPr="00063E12" w:rsidRDefault="00063E12" w:rsidP="00063E12">
      <w:pPr>
        <w:numPr>
          <w:ilvl w:val="0"/>
          <w:numId w:val="1"/>
        </w:numPr>
        <w:spacing w:line="360" w:lineRule="auto"/>
        <w:jc w:val="both"/>
        <w:rPr>
          <w:rFonts w:ascii="Times New Roman" w:hAnsi="Times New Roman" w:cs="Times New Roman"/>
          <w:sz w:val="24"/>
          <w:szCs w:val="24"/>
        </w:rPr>
      </w:pPr>
      <w:r w:rsidRPr="00063E12">
        <w:rPr>
          <w:rFonts w:ascii="Times New Roman" w:hAnsi="Times New Roman" w:cs="Times New Roman"/>
          <w:b/>
          <w:bCs/>
          <w:sz w:val="24"/>
          <w:szCs w:val="24"/>
        </w:rPr>
        <w:t>ODS 11 – Cidades e Comunidades Sustentáveis:</w:t>
      </w:r>
      <w:r w:rsidRPr="00063E12">
        <w:rPr>
          <w:rFonts w:ascii="Times New Roman" w:hAnsi="Times New Roman" w:cs="Times New Roman"/>
          <w:sz w:val="24"/>
          <w:szCs w:val="24"/>
        </w:rPr>
        <w:t xml:space="preserve"> tornar as cidades inclusivas, seguras, resilientes e sustentáveis.</w:t>
      </w:r>
    </w:p>
    <w:p w14:paraId="4EF311BE"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A convergência entre esses dois objetivos é evidente. Sem cidades planejadas, que ofereçam saneamento, mobilidade e moradia digna, não há como assegurar o direito à saúde. Por outro lado, sem uma população saudável, não é possível sustentar o dinamismo econômico e social das cidades. Assim, saúde e urbanismo não podem ser tratados como áreas isoladas, mas como dimensões complementares de uma mesma política pública.</w:t>
      </w:r>
    </w:p>
    <w:p w14:paraId="5DFC7A3E" w14:textId="77777777"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3.3 Indicadores de bem-estar urbano</w:t>
      </w:r>
    </w:p>
    <w:p w14:paraId="39EA7CA8" w14:textId="171C5AAD"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A análise dos indicadores é essencial para traduzir em números as desigualdades e os avanços em saúde coletiva. O IDSC-BR, lançado em parceria entre a Rede SDSN e universidades brasileiras, revela que cerca de 70% dos municípios brasileiros apresentam desempenho “baixo” ou “muito baixo” em sustentabilidade urbana (JORNAL DA USP, 2025). Essa informação reforça a urgência de integrar planejamento urbano e saúde, sob pena de perpetuar modelos de cidades excludentes.</w:t>
      </w:r>
    </w:p>
    <w:p w14:paraId="79CE71C7" w14:textId="30D0DC4C" w:rsidR="003A1C29"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Outro exemplo relevante é o Índice de Desenvolvimento Humano Municipal (IDHM), que incorpora dimensões de renda, longevidade e educação. Municípios com baixo IDHM apresentam, quase invariavelmente, fragilidades em seus sistemas de saúde e planejamento urbano. A análise conjunta do IDHM e do IDSC-BR fornece um panorama claro: cidades mais desiguais são também cidades mais doentes.</w:t>
      </w:r>
    </w:p>
    <w:p w14:paraId="37CBE3B6" w14:textId="77777777"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lastRenderedPageBreak/>
        <w:t>3.4 A cidade como promotora de saúde</w:t>
      </w:r>
    </w:p>
    <w:p w14:paraId="23EB8487" w14:textId="720C23F8"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 xml:space="preserve">Diante desse cenário, surge o conceito de “cidade saudável”, defendido pela OMS e por inúmeros estudiosos da saúde coletiva. Trata-se de compreender a cidade não apenas como </w:t>
      </w:r>
      <w:proofErr w:type="spellStart"/>
      <w:r w:rsidRPr="00BC6E90">
        <w:rPr>
          <w:rFonts w:ascii="Times New Roman" w:hAnsi="Times New Roman" w:cs="Times New Roman"/>
          <w:sz w:val="24"/>
          <w:szCs w:val="24"/>
        </w:rPr>
        <w:t>locus</w:t>
      </w:r>
      <w:proofErr w:type="spellEnd"/>
      <w:r w:rsidRPr="00BC6E90">
        <w:rPr>
          <w:rFonts w:ascii="Times New Roman" w:hAnsi="Times New Roman" w:cs="Times New Roman"/>
          <w:sz w:val="24"/>
          <w:szCs w:val="24"/>
        </w:rPr>
        <w:t xml:space="preserve"> de riscos, mas como um espaço capaz de promover saúde ativamente. Isso inclui a criação de parques, ciclovias, áreas de lazer, transporte público eficiente, políticas de habitação digna e gestão integrada de resíduos</w:t>
      </w:r>
      <w:r w:rsidR="0044404F">
        <w:rPr>
          <w:rFonts w:ascii="Times New Roman" w:hAnsi="Times New Roman" w:cs="Times New Roman"/>
          <w:sz w:val="24"/>
          <w:szCs w:val="24"/>
        </w:rPr>
        <w:t xml:space="preserve"> </w:t>
      </w:r>
      <w:r w:rsidR="0044404F" w:rsidRPr="0044404F">
        <w:rPr>
          <w:rFonts w:ascii="Times New Roman" w:hAnsi="Times New Roman" w:cs="Times New Roman"/>
          <w:sz w:val="24"/>
          <w:szCs w:val="24"/>
        </w:rPr>
        <w:t>(OMS, 1986; JORNAL DA USP, 2025)</w:t>
      </w:r>
      <w:r w:rsidRPr="00BC6E90">
        <w:rPr>
          <w:rFonts w:ascii="Times New Roman" w:hAnsi="Times New Roman" w:cs="Times New Roman"/>
          <w:sz w:val="24"/>
          <w:szCs w:val="24"/>
        </w:rPr>
        <w:t>.</w:t>
      </w:r>
    </w:p>
    <w:p w14:paraId="1D47E67E" w14:textId="351BBBCD" w:rsidR="00063E12" w:rsidRPr="00BC6E90" w:rsidRDefault="000B384F"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 xml:space="preserve">No Brasil, há exemplos exitosos que ilustram esse conceito. Curitiba, desde a década de 1970, implementa políticas integradas de transporte coletivo, áreas verdes e parques lineares que, além de controlar enchentes, oferecem espaços de lazer e convivência, contribuindo para a saúde física e mental da população. Belo Horizonte destacou-se com o programa </w:t>
      </w:r>
      <w:r w:rsidRPr="00FA4995">
        <w:rPr>
          <w:rFonts w:ascii="Times New Roman" w:hAnsi="Times New Roman" w:cs="Times New Roman"/>
          <w:sz w:val="24"/>
          <w:szCs w:val="24"/>
        </w:rPr>
        <w:t>Academia da Cidade</w:t>
      </w:r>
      <w:r w:rsidRPr="00BC6E90">
        <w:rPr>
          <w:rFonts w:ascii="Times New Roman" w:hAnsi="Times New Roman" w:cs="Times New Roman"/>
          <w:sz w:val="24"/>
          <w:szCs w:val="24"/>
        </w:rPr>
        <w:t>, que levou práticas de atividade física para praças e espaços públicos, aproximando a saúde preventiva do cotidiano da população. Mais recentemente, Fortaleza tem se consolidado como referência em mobilidade urbana sustentável, ampliando ciclovias, faixas exclusivas de ônibus e projetos de urbanismo tático que favorecem a mobilidade ativa e a segurança viária. Esses casos demonstram que cidades brasileiras, mesmo diante de desigualdades estruturais, podem adotar políticas inovadoras e eficazes de promoção da saúde coletiva</w:t>
      </w:r>
      <w:r w:rsidR="0044404F">
        <w:rPr>
          <w:rFonts w:ascii="Times New Roman" w:hAnsi="Times New Roman" w:cs="Times New Roman"/>
          <w:sz w:val="24"/>
          <w:szCs w:val="24"/>
        </w:rPr>
        <w:t xml:space="preserve"> </w:t>
      </w:r>
      <w:r w:rsidR="0044404F" w:rsidRPr="0044404F">
        <w:rPr>
          <w:rFonts w:ascii="Times New Roman" w:hAnsi="Times New Roman" w:cs="Times New Roman"/>
          <w:sz w:val="24"/>
          <w:szCs w:val="24"/>
        </w:rPr>
        <w:t>(JORNAL DA USP, 2025; OMS, 1986)</w:t>
      </w:r>
      <w:r w:rsidRPr="00BC6E90">
        <w:rPr>
          <w:rFonts w:ascii="Times New Roman" w:hAnsi="Times New Roman" w:cs="Times New Roman"/>
          <w:sz w:val="24"/>
          <w:szCs w:val="24"/>
        </w:rPr>
        <w:t>.</w:t>
      </w:r>
      <w:r w:rsidR="00D039CE" w:rsidRPr="00BC6E90">
        <w:rPr>
          <w:rFonts w:ascii="Times New Roman" w:hAnsi="Times New Roman" w:cs="Times New Roman"/>
          <w:sz w:val="24"/>
          <w:szCs w:val="24"/>
        </w:rPr>
        <w:t xml:space="preserve"> </w:t>
      </w:r>
    </w:p>
    <w:p w14:paraId="6A623322" w14:textId="77777777"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3.5 Bem-estar como direito e política pública</w:t>
      </w:r>
    </w:p>
    <w:p w14:paraId="54508481"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 bem-estar urbano, portanto, não pode ser visto como consequência natural do desenvolvimento econômico, mas como direito a ser garantido por meio de políticas públicas intersetoriais. Isso implica articular saúde, educação, habitação, mobilidade, segurança e meio ambiente em uma agenda integrada, com forte participação social.</w:t>
      </w:r>
    </w:p>
    <w:p w14:paraId="2FF82AF2"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A saúde coletiva, nesse sentido, deve ser compreendida como expressão da qualidade de vida urbana. Cidades que investem em bem-estar reduzem custos hospitalares, fortalecem o tecido social e se tornam mais resilientes frente a crises sanitárias e ambientais. Essa é a base de uma agenda que reconhece que o futuro da saúde está intrinsecamente ligado ao futuro das cidades.</w:t>
      </w:r>
    </w:p>
    <w:p w14:paraId="30FA5358" w14:textId="0F8286AB"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4 – Desafios e Experiências Internacionais</w:t>
      </w:r>
    </w:p>
    <w:p w14:paraId="0E5C1311"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 xml:space="preserve">O debate sobre saúde coletiva e planejamento urbano não é exclusivo do Brasil. Diversos países, em diferentes contextos históricos e econômicos, desenvolveram políticas inovadoras para transformar suas cidades em ambientes mais saudáveis, sustentáveis e </w:t>
      </w:r>
      <w:r w:rsidRPr="00BC6E90">
        <w:rPr>
          <w:rFonts w:ascii="Times New Roman" w:hAnsi="Times New Roman" w:cs="Times New Roman"/>
          <w:sz w:val="24"/>
          <w:szCs w:val="24"/>
        </w:rPr>
        <w:lastRenderedPageBreak/>
        <w:t>resilientes. Analisar essas experiências é essencial para compreender caminhos possíveis e, ao mesmo tempo, identificar os desafios que ainda persistem no Brasil.</w:t>
      </w:r>
    </w:p>
    <w:p w14:paraId="7D541A36" w14:textId="77777777"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4.1 Barcelona: mobilidade sustentável e redução da poluição</w:t>
      </w:r>
    </w:p>
    <w:p w14:paraId="1E7E7BCF"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Barcelona tornou-se referência mundial em políticas de mobilidade urbana e saúde coletiva. A adoção do conceito de superquadras (</w:t>
      </w:r>
      <w:proofErr w:type="spellStart"/>
      <w:r w:rsidRPr="00BC6E90">
        <w:rPr>
          <w:rFonts w:ascii="Times New Roman" w:hAnsi="Times New Roman" w:cs="Times New Roman"/>
          <w:sz w:val="24"/>
          <w:szCs w:val="24"/>
        </w:rPr>
        <w:t>superilles</w:t>
      </w:r>
      <w:proofErr w:type="spellEnd"/>
      <w:r w:rsidRPr="00BC6E90">
        <w:rPr>
          <w:rFonts w:ascii="Times New Roman" w:hAnsi="Times New Roman" w:cs="Times New Roman"/>
          <w:sz w:val="24"/>
          <w:szCs w:val="24"/>
        </w:rPr>
        <w:t>) – áreas em que o tráfego de veículos é restrito, dando lugar a pedestres, ciclistas e transporte coletivo – reduziu significativamente os níveis de poluição atmosférica e sonora. Estudos apontam que essa política contribuiu para a diminuição de doenças respiratórias e cardiovasculares, além de incentivar práticas de convivência social e atividade física.</w:t>
      </w:r>
    </w:p>
    <w:p w14:paraId="75608724" w14:textId="26E530AD"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 exemplo catalão demonstra como planejamento urbano consciente pode gerar impactos positivos imediatos na saúde pública. Barcelona integrou meio ambiente, mobilidade, lazer e convivência comunitária em uma estratégia urbana que extrapola a lógica hospitalar e reforça a cidade como promotora de saúde</w:t>
      </w:r>
      <w:r w:rsidR="007D1B8D">
        <w:rPr>
          <w:rFonts w:ascii="Times New Roman" w:hAnsi="Times New Roman" w:cs="Times New Roman"/>
          <w:sz w:val="24"/>
          <w:szCs w:val="24"/>
        </w:rPr>
        <w:t xml:space="preserve"> </w:t>
      </w:r>
      <w:r w:rsidR="007D1B8D" w:rsidRPr="007D1B8D">
        <w:rPr>
          <w:rFonts w:ascii="Times New Roman" w:hAnsi="Times New Roman" w:cs="Times New Roman"/>
          <w:sz w:val="24"/>
          <w:szCs w:val="24"/>
        </w:rPr>
        <w:t>(PÉREZ et al., 2025)</w:t>
      </w:r>
      <w:r w:rsidRPr="00BC6E90">
        <w:rPr>
          <w:rFonts w:ascii="Times New Roman" w:hAnsi="Times New Roman" w:cs="Times New Roman"/>
          <w:sz w:val="24"/>
          <w:szCs w:val="24"/>
        </w:rPr>
        <w:t>.</w:t>
      </w:r>
    </w:p>
    <w:p w14:paraId="132D7335" w14:textId="77777777"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4.2 Bogotá: mobilidade ativa e inclusão social</w:t>
      </w:r>
    </w:p>
    <w:p w14:paraId="51A966EF"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Na América Latina, Bogotá é um caso emblemático de como políticas urbanas podem ser pensadas com foco no bem-estar. A implantação das ciclovias dominicais na década de 1970, posteriormente transformadas em política permanente, promoveu não apenas a prática de atividade física, mas também a democratização do espaço urbano. Aos domingos e feriados, centenas de quilômetros de vias são fechados para carros, sendo ocupados por pedestres, ciclistas, famílias e esportistas.</w:t>
      </w:r>
    </w:p>
    <w:p w14:paraId="6ADEBEE1" w14:textId="145222A0"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Essa política simples e de baixo custo teve impacto significativo na saúde coletiva, estimulando hábitos saudáveis, reduzindo o sedentarismo e fortalecendo laços comunitários. Além disso, contribuiu para uma nova cultura urbana, em que o transporte ativo passou a ser valorizado e incorporado às políticas oficiais da cidade</w:t>
      </w:r>
      <w:r w:rsidR="007D1B8D">
        <w:rPr>
          <w:rFonts w:ascii="Times New Roman" w:hAnsi="Times New Roman" w:cs="Times New Roman"/>
          <w:sz w:val="24"/>
          <w:szCs w:val="24"/>
        </w:rPr>
        <w:t xml:space="preserve"> </w:t>
      </w:r>
      <w:r w:rsidR="007D1B8D" w:rsidRPr="007D1B8D">
        <w:rPr>
          <w:rFonts w:ascii="Times New Roman" w:hAnsi="Times New Roman" w:cs="Times New Roman"/>
          <w:sz w:val="24"/>
          <w:szCs w:val="24"/>
        </w:rPr>
        <w:t>(TORRES et al., 2013)</w:t>
      </w:r>
      <w:r w:rsidRPr="00BC6E90">
        <w:rPr>
          <w:rFonts w:ascii="Times New Roman" w:hAnsi="Times New Roman" w:cs="Times New Roman"/>
          <w:sz w:val="24"/>
          <w:szCs w:val="24"/>
        </w:rPr>
        <w:t>.</w:t>
      </w:r>
    </w:p>
    <w:p w14:paraId="7E4DB8B1" w14:textId="1FB05A08"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4.3 Toronto: integração entre saúde e planejamento urbano</w:t>
      </w:r>
    </w:p>
    <w:p w14:paraId="06B3615B"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 xml:space="preserve">No Canadá, Toronto consolidou uma experiência pioneira ao integrar formalmente conselhos de saúde às políticas de planejamento urbano. Essa aproximação entre gestores de saúde, urbanistas e sociedade civil permitiu maior coerência entre a expansão territorial da cidade e a garantia de bem-estar à população. A presença de conselhos consultivos locais </w:t>
      </w:r>
      <w:r w:rsidRPr="00BC6E90">
        <w:rPr>
          <w:rFonts w:ascii="Times New Roman" w:hAnsi="Times New Roman" w:cs="Times New Roman"/>
          <w:sz w:val="24"/>
          <w:szCs w:val="24"/>
        </w:rPr>
        <w:lastRenderedPageBreak/>
        <w:t>fortaleceu o controle democrático e possibilitou políticas mais alinhadas às demandas reais da comunidade.</w:t>
      </w:r>
    </w:p>
    <w:p w14:paraId="2AAA87B3" w14:textId="2201BB4B"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Esse modelo reforça a tese de que saúde coletiva deve ser tratada como função pública de interesse comum, superando barreiras setoriais e sendo incorporada ao planejamento do espaço urbano desde sua concepção</w:t>
      </w:r>
      <w:r w:rsidR="007D1B8D">
        <w:rPr>
          <w:rFonts w:ascii="Times New Roman" w:hAnsi="Times New Roman" w:cs="Times New Roman"/>
          <w:sz w:val="24"/>
          <w:szCs w:val="24"/>
        </w:rPr>
        <w:t xml:space="preserve"> </w:t>
      </w:r>
      <w:r w:rsidR="007D1B8D" w:rsidRPr="007D1B8D">
        <w:rPr>
          <w:rFonts w:ascii="Times New Roman" w:hAnsi="Times New Roman" w:cs="Times New Roman"/>
          <w:sz w:val="24"/>
          <w:szCs w:val="24"/>
        </w:rPr>
        <w:t>(TORONTO PUBLIC HEALTH, 2011)</w:t>
      </w:r>
      <w:r w:rsidRPr="00BC6E90">
        <w:rPr>
          <w:rFonts w:ascii="Times New Roman" w:hAnsi="Times New Roman" w:cs="Times New Roman"/>
          <w:sz w:val="24"/>
          <w:szCs w:val="24"/>
        </w:rPr>
        <w:t>.</w:t>
      </w:r>
    </w:p>
    <w:p w14:paraId="6B2494DF" w14:textId="77777777"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4.4 Curitiba: o exemplo brasileiro de integração urbana e saúde</w:t>
      </w:r>
    </w:p>
    <w:p w14:paraId="75702DB6"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No Brasil, Curitiba é frequentemente citada como referência de planejamento urbano sustentável. Desde os anos 1970, a cidade desenvolveu políticas inovadoras de transporte coletivo, zoneamento funcional e preservação ambiental. A criação de parques lineares para mitigar enchentes, por exemplo, não apenas solucionou problemas ambientais, mas também gerou áreas verdes de lazer, promovendo saúde física e mental da população.</w:t>
      </w:r>
    </w:p>
    <w:p w14:paraId="6B96A550" w14:textId="068EA03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 modelo curitibano demonstra que, mesmo em contextos de recursos limitados, é possível alinhar políticas urbanas e saúde coletiva. Ao garantir transporte público eficiente, reduzir poluição e oferecer espaços verdes, a cidade construiu um modelo em que a saúde é promovida não apenas nos hospitais, mas no cotidiano urbano</w:t>
      </w:r>
      <w:r w:rsidR="007D1B8D">
        <w:rPr>
          <w:rFonts w:ascii="Times New Roman" w:hAnsi="Times New Roman" w:cs="Times New Roman"/>
          <w:sz w:val="24"/>
          <w:szCs w:val="24"/>
        </w:rPr>
        <w:t xml:space="preserve"> </w:t>
      </w:r>
      <w:r w:rsidR="007D1B8D" w:rsidRPr="007D1B8D">
        <w:rPr>
          <w:rFonts w:ascii="Times New Roman" w:hAnsi="Times New Roman" w:cs="Times New Roman"/>
          <w:sz w:val="24"/>
          <w:szCs w:val="24"/>
        </w:rPr>
        <w:t>(ICLEI, 2016)</w:t>
      </w:r>
      <w:r w:rsidRPr="00BC6E90">
        <w:rPr>
          <w:rFonts w:ascii="Times New Roman" w:hAnsi="Times New Roman" w:cs="Times New Roman"/>
          <w:sz w:val="24"/>
          <w:szCs w:val="24"/>
        </w:rPr>
        <w:t>.</w:t>
      </w:r>
    </w:p>
    <w:p w14:paraId="0D50D431" w14:textId="77777777"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4.5 Lições para o Brasil: avanços e limitações</w:t>
      </w:r>
    </w:p>
    <w:p w14:paraId="70E92574" w14:textId="77777777" w:rsidR="00063E12" w:rsidRPr="00063E12" w:rsidRDefault="00063E12" w:rsidP="00FA4995">
      <w:pPr>
        <w:spacing w:line="360" w:lineRule="auto"/>
        <w:ind w:firstLine="851"/>
        <w:jc w:val="both"/>
        <w:rPr>
          <w:rFonts w:ascii="Times New Roman" w:hAnsi="Times New Roman" w:cs="Times New Roman"/>
          <w:sz w:val="24"/>
          <w:szCs w:val="24"/>
        </w:rPr>
      </w:pPr>
      <w:r w:rsidRPr="00063E12">
        <w:rPr>
          <w:rFonts w:ascii="Times New Roman" w:hAnsi="Times New Roman" w:cs="Times New Roman"/>
          <w:sz w:val="24"/>
          <w:szCs w:val="24"/>
        </w:rPr>
        <w:t>As experiências internacionais apontam três lições fundamentais:</w:t>
      </w:r>
    </w:p>
    <w:p w14:paraId="3B4EC22F" w14:textId="77777777" w:rsidR="00063E12" w:rsidRPr="00063E12" w:rsidRDefault="00063E12" w:rsidP="00063E12">
      <w:pPr>
        <w:numPr>
          <w:ilvl w:val="0"/>
          <w:numId w:val="2"/>
        </w:numPr>
        <w:spacing w:line="360" w:lineRule="auto"/>
        <w:jc w:val="both"/>
        <w:rPr>
          <w:rFonts w:ascii="Times New Roman" w:hAnsi="Times New Roman" w:cs="Times New Roman"/>
          <w:sz w:val="24"/>
          <w:szCs w:val="24"/>
        </w:rPr>
      </w:pPr>
      <w:r w:rsidRPr="00063E12">
        <w:rPr>
          <w:rFonts w:ascii="Times New Roman" w:hAnsi="Times New Roman" w:cs="Times New Roman"/>
          <w:b/>
          <w:bCs/>
          <w:sz w:val="24"/>
          <w:szCs w:val="24"/>
        </w:rPr>
        <w:t>Integração de políticas</w:t>
      </w:r>
      <w:r w:rsidRPr="00063E12">
        <w:rPr>
          <w:rFonts w:ascii="Times New Roman" w:hAnsi="Times New Roman" w:cs="Times New Roman"/>
          <w:sz w:val="24"/>
          <w:szCs w:val="24"/>
        </w:rPr>
        <w:t>: saúde coletiva deve estar presente nas decisões de mobilidade, habitação, meio ambiente e lazer.</w:t>
      </w:r>
    </w:p>
    <w:p w14:paraId="577C6668" w14:textId="77777777" w:rsidR="00063E12" w:rsidRPr="00063E12" w:rsidRDefault="00063E12" w:rsidP="00063E12">
      <w:pPr>
        <w:numPr>
          <w:ilvl w:val="0"/>
          <w:numId w:val="2"/>
        </w:numPr>
        <w:spacing w:line="360" w:lineRule="auto"/>
        <w:jc w:val="both"/>
        <w:rPr>
          <w:rFonts w:ascii="Times New Roman" w:hAnsi="Times New Roman" w:cs="Times New Roman"/>
          <w:sz w:val="24"/>
          <w:szCs w:val="24"/>
        </w:rPr>
      </w:pPr>
      <w:r w:rsidRPr="00063E12">
        <w:rPr>
          <w:rFonts w:ascii="Times New Roman" w:hAnsi="Times New Roman" w:cs="Times New Roman"/>
          <w:b/>
          <w:bCs/>
          <w:sz w:val="24"/>
          <w:szCs w:val="24"/>
        </w:rPr>
        <w:t>Participação social</w:t>
      </w:r>
      <w:r w:rsidRPr="00063E12">
        <w:rPr>
          <w:rFonts w:ascii="Times New Roman" w:hAnsi="Times New Roman" w:cs="Times New Roman"/>
          <w:sz w:val="24"/>
          <w:szCs w:val="24"/>
        </w:rPr>
        <w:t>: a inclusão da comunidade é decisiva para legitimar e consolidar mudanças culturais em saúde e urbanismo.</w:t>
      </w:r>
    </w:p>
    <w:p w14:paraId="5A717BBF" w14:textId="77777777" w:rsidR="00063E12" w:rsidRPr="00063E12" w:rsidRDefault="00063E12" w:rsidP="00063E12">
      <w:pPr>
        <w:numPr>
          <w:ilvl w:val="0"/>
          <w:numId w:val="2"/>
        </w:numPr>
        <w:spacing w:line="360" w:lineRule="auto"/>
        <w:jc w:val="both"/>
        <w:rPr>
          <w:rFonts w:ascii="Times New Roman" w:hAnsi="Times New Roman" w:cs="Times New Roman"/>
          <w:sz w:val="24"/>
          <w:szCs w:val="24"/>
        </w:rPr>
      </w:pPr>
      <w:r w:rsidRPr="00063E12">
        <w:rPr>
          <w:rFonts w:ascii="Times New Roman" w:hAnsi="Times New Roman" w:cs="Times New Roman"/>
          <w:b/>
          <w:bCs/>
          <w:sz w:val="24"/>
          <w:szCs w:val="24"/>
        </w:rPr>
        <w:t>Foco na prevenção</w:t>
      </w:r>
      <w:r w:rsidRPr="00063E12">
        <w:rPr>
          <w:rFonts w:ascii="Times New Roman" w:hAnsi="Times New Roman" w:cs="Times New Roman"/>
          <w:sz w:val="24"/>
          <w:szCs w:val="24"/>
        </w:rPr>
        <w:t>: políticas urbanas saudáveis reduzem custos hospitalares e fortalecem a resiliência das cidades.</w:t>
      </w:r>
    </w:p>
    <w:p w14:paraId="4EA531AB"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 Brasil, apesar de possuir um sistema público robusto como o SUS, ainda enfrenta limitações estruturais. A fragmentação federativa, a desigualdade entre municípios e o subfinanciamento da atenção básica dificultam a implementação de políticas integradas de saúde urbana. Além disso, a baixa institucionalização da cultura de planejamento a longo prazo impede que experiências bem-sucedidas se consolidem em escala nacional.</w:t>
      </w:r>
    </w:p>
    <w:p w14:paraId="326F3A73"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lastRenderedPageBreak/>
        <w:t xml:space="preserve">Portanto, o desafio brasileiro é superar o paradigma reativo do </w:t>
      </w:r>
      <w:proofErr w:type="spellStart"/>
      <w:r w:rsidRPr="00BC6E90">
        <w:rPr>
          <w:rFonts w:ascii="Times New Roman" w:hAnsi="Times New Roman" w:cs="Times New Roman"/>
          <w:sz w:val="24"/>
          <w:szCs w:val="24"/>
        </w:rPr>
        <w:t>hospitalocentrismo</w:t>
      </w:r>
      <w:proofErr w:type="spellEnd"/>
      <w:r w:rsidRPr="00BC6E90">
        <w:rPr>
          <w:rFonts w:ascii="Times New Roman" w:hAnsi="Times New Roman" w:cs="Times New Roman"/>
          <w:sz w:val="24"/>
          <w:szCs w:val="24"/>
        </w:rPr>
        <w:t xml:space="preserve"> e avançar para um modelo preventivo e intersetorial, inspirado em experiências internacionais, mas adaptado às especificidades de nosso território e às desigualdades socioeconômicas que caracterizam as cidades brasileiras.</w:t>
      </w:r>
    </w:p>
    <w:p w14:paraId="16812DDE" w14:textId="1D750B57" w:rsidR="000B384F" w:rsidRPr="000B384F" w:rsidRDefault="000B384F" w:rsidP="000B384F">
      <w:pPr>
        <w:spacing w:line="360" w:lineRule="auto"/>
        <w:jc w:val="both"/>
        <w:rPr>
          <w:rFonts w:ascii="Times New Roman" w:hAnsi="Times New Roman" w:cs="Times New Roman"/>
          <w:b/>
          <w:bCs/>
          <w:sz w:val="24"/>
          <w:szCs w:val="24"/>
        </w:rPr>
      </w:pPr>
      <w:r w:rsidRPr="000B384F">
        <w:rPr>
          <w:rFonts w:ascii="Times New Roman" w:hAnsi="Times New Roman" w:cs="Times New Roman"/>
          <w:b/>
          <w:bCs/>
          <w:sz w:val="24"/>
          <w:szCs w:val="24"/>
        </w:rPr>
        <w:t>5 – Propostas para Cidades Planeja</w:t>
      </w:r>
      <w:r w:rsidR="00162245">
        <w:rPr>
          <w:rFonts w:ascii="Times New Roman" w:hAnsi="Times New Roman" w:cs="Times New Roman"/>
          <w:b/>
          <w:bCs/>
          <w:sz w:val="24"/>
          <w:szCs w:val="24"/>
        </w:rPr>
        <w:t>rem</w:t>
      </w:r>
      <w:r w:rsidRPr="000B384F">
        <w:rPr>
          <w:rFonts w:ascii="Times New Roman" w:hAnsi="Times New Roman" w:cs="Times New Roman"/>
          <w:b/>
          <w:bCs/>
          <w:sz w:val="24"/>
          <w:szCs w:val="24"/>
        </w:rPr>
        <w:t xml:space="preserve"> a Saúde Coletiva</w:t>
      </w:r>
    </w:p>
    <w:p w14:paraId="74C96CEB" w14:textId="77777777" w:rsidR="000B384F" w:rsidRPr="00BC6E90" w:rsidRDefault="000B384F"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Os capítulos anteriores evidenciaram que a saúde coletiva, no contexto urbano, é atravessada por desigualdades estruturais, pela fragilidade do paradigma hospitalocêntrico e pela ausência de integração entre políticas setoriais. Ao mesmo tempo, experiências internacionais e nacionais demonstram que cidades podem se tornar espaços promotores de saúde quando conseguem alinhar planejamento urbano, políticas públicas intersetoriais e participação social. A partir desse diagnóstico, este capítulo não pretende apresentar um checklist administrativo, mas indicar dimensões estratégicas que podem orientar gestores e pesquisadores na construção de cidades que planejam a saúde coletiva.</w:t>
      </w:r>
    </w:p>
    <w:p w14:paraId="6E647A50" w14:textId="77777777" w:rsidR="000B384F" w:rsidRPr="000B384F" w:rsidRDefault="000B384F" w:rsidP="000B384F">
      <w:pPr>
        <w:spacing w:line="360" w:lineRule="auto"/>
        <w:jc w:val="both"/>
        <w:rPr>
          <w:rFonts w:ascii="Times New Roman" w:hAnsi="Times New Roman" w:cs="Times New Roman"/>
          <w:b/>
          <w:bCs/>
          <w:sz w:val="24"/>
          <w:szCs w:val="24"/>
        </w:rPr>
      </w:pPr>
      <w:r w:rsidRPr="000B384F">
        <w:rPr>
          <w:rFonts w:ascii="Times New Roman" w:hAnsi="Times New Roman" w:cs="Times New Roman"/>
          <w:b/>
          <w:bCs/>
          <w:sz w:val="24"/>
          <w:szCs w:val="24"/>
        </w:rPr>
        <w:t>5.1 Atenção Básica e Integralidade do Cuidado</w:t>
      </w:r>
    </w:p>
    <w:p w14:paraId="1FB55483" w14:textId="77777777" w:rsidR="000B384F" w:rsidRPr="00BC6E90" w:rsidRDefault="000B384F"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 fortalecimento da atenção primária é o eixo estruturante de um sistema de saúde eficiente. Como demonstrado no Capítulo 2, a municipalização trouxe capilaridade, mas também revelou desigualdades entre cidades de maior e menor porte. Assim, a proposta central é que a atenção básica seja concebida como política territorial, articulada a consórcios regionais para garantir acesso a serviços de média e alta complexidade. Não se trata apenas de aumentar o número de equipes, mas de consolidar redes de cuidado capazes de reduzir internações evitáveis e fortalecer o vínculo entre saúde e território.</w:t>
      </w:r>
    </w:p>
    <w:p w14:paraId="0A77EC67" w14:textId="77777777" w:rsidR="000B384F" w:rsidRPr="000B384F" w:rsidRDefault="000B384F" w:rsidP="000B384F">
      <w:pPr>
        <w:spacing w:line="360" w:lineRule="auto"/>
        <w:jc w:val="both"/>
        <w:rPr>
          <w:rFonts w:ascii="Times New Roman" w:hAnsi="Times New Roman" w:cs="Times New Roman"/>
          <w:b/>
          <w:bCs/>
          <w:sz w:val="24"/>
          <w:szCs w:val="24"/>
        </w:rPr>
      </w:pPr>
      <w:r w:rsidRPr="000B384F">
        <w:rPr>
          <w:rFonts w:ascii="Times New Roman" w:hAnsi="Times New Roman" w:cs="Times New Roman"/>
          <w:b/>
          <w:bCs/>
          <w:sz w:val="24"/>
          <w:szCs w:val="24"/>
        </w:rPr>
        <w:t>5.2 Sustentabilidade Urbana e Saneamento</w:t>
      </w:r>
    </w:p>
    <w:p w14:paraId="35B4D17C" w14:textId="6CB3E9A0" w:rsidR="0054642F" w:rsidRDefault="000B384F"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No Capítulo 3, ao discutir o conceito de bem-estar urbano e os indicadores de sustentabilidade, ficou evidente que a ausência de saneamento básico e de gestão ambiental qualificada compromete a saúde coletiva. Logo, a proposta para as cidades saudáveis é que planos diretores e de saneamento sejam integrados às políticas de saúde, reconhecendo que doenças ligadas à água, ao lixo e à poluição não são apenas problemas ambientais, mas determinantes sociais da saúde. Essa integração deve ser orientada pelos ODS 3 e 11, colocando a sustentabilidade como pré-condição para a equidade em saúde.</w:t>
      </w:r>
    </w:p>
    <w:p w14:paraId="3A83D043" w14:textId="77777777" w:rsidR="009C2B72" w:rsidRDefault="009C2B72">
      <w:pPr>
        <w:rPr>
          <w:rFonts w:ascii="Times New Roman" w:hAnsi="Times New Roman" w:cs="Times New Roman"/>
          <w:b/>
          <w:bCs/>
          <w:sz w:val="24"/>
          <w:szCs w:val="24"/>
        </w:rPr>
      </w:pPr>
      <w:r>
        <w:rPr>
          <w:rFonts w:ascii="Times New Roman" w:hAnsi="Times New Roman" w:cs="Times New Roman"/>
          <w:b/>
          <w:bCs/>
          <w:sz w:val="24"/>
          <w:szCs w:val="24"/>
        </w:rPr>
        <w:br w:type="page"/>
      </w:r>
    </w:p>
    <w:p w14:paraId="74D54002" w14:textId="349E5DDE" w:rsidR="000B384F" w:rsidRPr="000B384F" w:rsidRDefault="000B384F" w:rsidP="000B384F">
      <w:pPr>
        <w:spacing w:line="360" w:lineRule="auto"/>
        <w:jc w:val="both"/>
        <w:rPr>
          <w:rFonts w:ascii="Times New Roman" w:hAnsi="Times New Roman" w:cs="Times New Roman"/>
          <w:b/>
          <w:bCs/>
          <w:sz w:val="24"/>
          <w:szCs w:val="24"/>
        </w:rPr>
      </w:pPr>
      <w:r w:rsidRPr="000B384F">
        <w:rPr>
          <w:rFonts w:ascii="Times New Roman" w:hAnsi="Times New Roman" w:cs="Times New Roman"/>
          <w:b/>
          <w:bCs/>
          <w:sz w:val="24"/>
          <w:szCs w:val="24"/>
        </w:rPr>
        <w:lastRenderedPageBreak/>
        <w:t>5.3 Mobilidade e Espaços Saudáveis</w:t>
      </w:r>
    </w:p>
    <w:p w14:paraId="3405953F" w14:textId="77777777" w:rsidR="000B384F" w:rsidRPr="00BC6E90" w:rsidRDefault="000B384F"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As experiências de Bogotá, Barcelona e Curitiba, analisadas no Capítulo 4, mostram que cidades que incentivam a mobilidade ativa e reduzem a poluição obtêm ganhos diretos em saúde. Portanto, as propostas para o Brasil devem priorizar mobilidade ativa, áreas verdes e espaços públicos de qualidade como parte da política de saúde. A cidade que investe em ciclovias, parques e calçadas acessíveis não apenas organiza melhor o espaço urbano, mas reduz doenças crônicas, fortalece a convivência social e cria condições para uma vida mais saudável.</w:t>
      </w:r>
    </w:p>
    <w:p w14:paraId="553B69ED" w14:textId="77777777" w:rsidR="000B384F" w:rsidRPr="000B384F" w:rsidRDefault="000B384F" w:rsidP="000B384F">
      <w:pPr>
        <w:spacing w:line="360" w:lineRule="auto"/>
        <w:jc w:val="both"/>
        <w:rPr>
          <w:rFonts w:ascii="Times New Roman" w:hAnsi="Times New Roman" w:cs="Times New Roman"/>
          <w:b/>
          <w:bCs/>
          <w:sz w:val="24"/>
          <w:szCs w:val="24"/>
        </w:rPr>
      </w:pPr>
      <w:r w:rsidRPr="000B384F">
        <w:rPr>
          <w:rFonts w:ascii="Times New Roman" w:hAnsi="Times New Roman" w:cs="Times New Roman"/>
          <w:b/>
          <w:bCs/>
          <w:sz w:val="24"/>
          <w:szCs w:val="24"/>
        </w:rPr>
        <w:t>5.4 Habitação e Justiça Territorial</w:t>
      </w:r>
    </w:p>
    <w:p w14:paraId="635B9358" w14:textId="77777777" w:rsidR="000B384F" w:rsidRPr="00BC6E90" w:rsidRDefault="000B384F"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Como discutido no Capítulo 1, o modelo urbano brasileiro produziu desigualdades profundas, expressas em periferias desassistidas e em padrões de moradia precários. A proposta, nesse caso, não é apenas construir novas habitações, mas garantir que políticas habitacionais sejam articuladas à saúde coletiva, assegurando ventilação, iluminação, saneamento e proximidade com serviços públicos. O direito à saúde passa também pelo direito à cidade e pela superação da segregação territorial que adoece populações inteiras.</w:t>
      </w:r>
    </w:p>
    <w:p w14:paraId="4B308689" w14:textId="77777777" w:rsidR="000B384F" w:rsidRPr="000B384F" w:rsidRDefault="000B384F" w:rsidP="000B384F">
      <w:pPr>
        <w:spacing w:line="360" w:lineRule="auto"/>
        <w:jc w:val="both"/>
        <w:rPr>
          <w:rFonts w:ascii="Times New Roman" w:hAnsi="Times New Roman" w:cs="Times New Roman"/>
          <w:b/>
          <w:bCs/>
          <w:sz w:val="24"/>
          <w:szCs w:val="24"/>
        </w:rPr>
      </w:pPr>
      <w:r w:rsidRPr="000B384F">
        <w:rPr>
          <w:rFonts w:ascii="Times New Roman" w:hAnsi="Times New Roman" w:cs="Times New Roman"/>
          <w:b/>
          <w:bCs/>
          <w:sz w:val="24"/>
          <w:szCs w:val="24"/>
        </w:rPr>
        <w:t>5.5 Participação Social e Governança Democrática</w:t>
      </w:r>
    </w:p>
    <w:p w14:paraId="1FA6215E" w14:textId="77777777" w:rsidR="000B384F" w:rsidRPr="00BC6E90" w:rsidRDefault="000B384F"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 Capítulo 2 mostrou que os Conselhos de Saúde, embora essenciais, muitas vezes enfrentam limites práticos de atuação. A proposta, aqui, é ressignificar a participação social como eixo de governança das cidades saudáveis. Audiências públicas, conselhos deliberativos e mecanismos digitais de controle social devem ser fortalecidos não como formalidade, mas como instrumentos de legitimação e de correção de rumos. Cidades que planejam a saúde coletiva precisam assumir a transparência e a escuta da população como práticas cotidianas de gestão.</w:t>
      </w:r>
    </w:p>
    <w:p w14:paraId="435AE6B2" w14:textId="77777777" w:rsidR="000B384F" w:rsidRPr="000B384F" w:rsidRDefault="000B384F" w:rsidP="000B384F">
      <w:pPr>
        <w:spacing w:line="360" w:lineRule="auto"/>
        <w:jc w:val="both"/>
        <w:rPr>
          <w:rFonts w:ascii="Times New Roman" w:hAnsi="Times New Roman" w:cs="Times New Roman"/>
          <w:b/>
          <w:bCs/>
          <w:sz w:val="24"/>
          <w:szCs w:val="24"/>
        </w:rPr>
      </w:pPr>
      <w:r w:rsidRPr="000B384F">
        <w:rPr>
          <w:rFonts w:ascii="Times New Roman" w:hAnsi="Times New Roman" w:cs="Times New Roman"/>
          <w:b/>
          <w:bCs/>
          <w:sz w:val="24"/>
          <w:szCs w:val="24"/>
        </w:rPr>
        <w:t>5.6 Síntese Propositiva</w:t>
      </w:r>
    </w:p>
    <w:p w14:paraId="11510273" w14:textId="1C9379A2" w:rsidR="0054642F" w:rsidRDefault="000B384F"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As dimensões aqui apresentadas não constituem um plano de governo ou um manual técnico, mas um roteiro crítico para reflexão e ação. Atenção básica, sustentabilidade, mobilidade, habitação e participação social formam um conjunto indissociável que deve orientar gestores públicos e pesquisadores. Mais do que propor metas numéricas ou prazos rígidos, trata-se de afirmar que a saúde coletiva depende de uma visão integrada de cidade, capaz de articular território, políticas públicas e cidadania.</w:t>
      </w:r>
    </w:p>
    <w:p w14:paraId="474B5CEA" w14:textId="77777777" w:rsidR="009C2B72" w:rsidRDefault="009C2B72">
      <w:pPr>
        <w:rPr>
          <w:rFonts w:ascii="Times New Roman" w:hAnsi="Times New Roman" w:cs="Times New Roman"/>
          <w:b/>
          <w:bCs/>
          <w:sz w:val="24"/>
          <w:szCs w:val="24"/>
        </w:rPr>
      </w:pPr>
      <w:r>
        <w:rPr>
          <w:rFonts w:ascii="Times New Roman" w:hAnsi="Times New Roman" w:cs="Times New Roman"/>
          <w:b/>
          <w:bCs/>
          <w:sz w:val="24"/>
          <w:szCs w:val="24"/>
        </w:rPr>
        <w:br w:type="page"/>
      </w:r>
    </w:p>
    <w:p w14:paraId="6C62F43A" w14:textId="6DD9602C" w:rsidR="00063E12" w:rsidRP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lastRenderedPageBreak/>
        <w:t>6 – Considerações Finais</w:t>
      </w:r>
    </w:p>
    <w:p w14:paraId="2B403A3A"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A análise apresentada ao longo deste trabalho evidencia que o debate sobre saúde coletiva e planejamento urbano não pode mais ser tratado de forma fragmentada. As cidades são hoje os principais espaços de produção de saúde ou de doença, e o modelo hospitalocêntrico, ainda dominante no Brasil, revela-se insuficiente para responder aos desafios contemporâneos. É urgente avançar para uma concepção de saúde integrada ao território, às políticas públicas intersetoriais e à sustentabilidade.</w:t>
      </w:r>
    </w:p>
    <w:p w14:paraId="5A067EF0" w14:textId="030F1056"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A criação do SUS foi, sem dúvida, um dos maiores avanços sociais do país, mas sua efetividade plena ainda depende de arranjos institucionais que superem a fragmentação federativa. A descentralização conferiu protagonismo aos municípios, mas também expôs suas limitações técnicas e financeiras. Nesse cenário, os consórcios intermunicipais de saúde aparecem como instrumentos estratégicos para ampliar a cobertura, garantir escala e assegurar eficiência.</w:t>
      </w:r>
    </w:p>
    <w:p w14:paraId="46409C0C"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 diálogo com as experiências internacionais reforça que o caminho está na prevenção, na mobilidade saudável, na redução da poluição, na oferta de áreas verdes e no fortalecimento da participação social. Cidades como Barcelona, Bogotá, Toronto e Curitiba mostram que é possível planejar políticas urbanas que promovam saúde de forma efetiva, articulando mobilidade, meio ambiente, lazer e inclusão social.</w:t>
      </w:r>
    </w:p>
    <w:p w14:paraId="43E8C247" w14:textId="4AE78E8B" w:rsidR="00063E12" w:rsidRPr="00BC6E90" w:rsidRDefault="00E90643"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O Brasil possui condições de avançar de maneira significativa na agenda das cidades saudáveis, mas para isso precisa enfrentar alguns desafios centrais. É fundamental superar o subfinanciamento da saúde pública, assegurando recursos estáveis e investimentos consistentes na atenção primária, que constitui a base do sistema. Do mesmo modo, torna-se urgente institucionalizar a intersetorialidade, por meio da criação de gabinetes integrados de saúde urbana e de mecanismos de governança compartilhada capazes de articular diferentes áreas do poder público. Outro aspecto essencial é valorizar a participação social, qualificando conselhos, ampliando audiências públicas e fortalecendo o controle democrático como condição de legitimidade e proximidade entre gestão e população. Além disso, é necessário investir em indicadores e dados abertos, permitindo acompanhar, com transparência, o impacto real das políticas públicas sobre a qualidade de vida. Por fim, o país precisa promover a equidade territorial, garantindo que municípios de pequeno porte e regiões periféricas não fiquem excluídos do acesso a serviços de saúde e de infraestrutura urbana, condição indispensável para reduzir desigualdades históricas.</w:t>
      </w:r>
    </w:p>
    <w:p w14:paraId="5371FBD4"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lastRenderedPageBreak/>
        <w:t>O conceito de “Cidades que Planejam a Saúde Coletiva” não deve ser visto como uma utopia acadêmica, mas como um imperativo político e social. Planejar cidades com foco na saúde é, ao mesmo tempo, garantir direitos fundamentais, reduzir desigualdades e construir territórios resilientes frente às crises sanitárias, ambientais e econômicas.</w:t>
      </w:r>
    </w:p>
    <w:p w14:paraId="56D6CC48" w14:textId="77777777" w:rsidR="00063E12" w:rsidRPr="00BC6E90" w:rsidRDefault="00063E12" w:rsidP="00FA4995">
      <w:pPr>
        <w:spacing w:line="360" w:lineRule="auto"/>
        <w:ind w:firstLine="851"/>
        <w:jc w:val="both"/>
        <w:rPr>
          <w:rFonts w:ascii="Times New Roman" w:hAnsi="Times New Roman" w:cs="Times New Roman"/>
          <w:sz w:val="24"/>
          <w:szCs w:val="24"/>
        </w:rPr>
      </w:pPr>
      <w:r w:rsidRPr="00BC6E90">
        <w:rPr>
          <w:rFonts w:ascii="Times New Roman" w:hAnsi="Times New Roman" w:cs="Times New Roman"/>
          <w:sz w:val="24"/>
          <w:szCs w:val="24"/>
        </w:rPr>
        <w:t>Ao integrar saúde, urbanismo e sustentabilidade, os municípios podem não apenas responder às demandas imediatas de sua população, mas também preparar-se para um futuro mais justo, equilibrado e inclusivo. Nesse sentido, a implementação das propostas discutidas neste trabalho representa não apenas uma agenda técnica, mas sobretudo um projeto de sociedade, em que a saúde deixa de ser apenas ausência de doença e se torna expressão plena da qualidade de vida urbana.</w:t>
      </w:r>
    </w:p>
    <w:p w14:paraId="760B6E6D" w14:textId="77777777" w:rsidR="00063E12" w:rsidRDefault="00063E12" w:rsidP="00063E12">
      <w:pPr>
        <w:spacing w:line="360" w:lineRule="auto"/>
        <w:jc w:val="both"/>
        <w:rPr>
          <w:rFonts w:ascii="Times New Roman" w:hAnsi="Times New Roman" w:cs="Times New Roman"/>
          <w:b/>
          <w:bCs/>
          <w:sz w:val="24"/>
          <w:szCs w:val="24"/>
        </w:rPr>
      </w:pPr>
      <w:r w:rsidRPr="00063E12">
        <w:rPr>
          <w:rFonts w:ascii="Times New Roman" w:hAnsi="Times New Roman" w:cs="Times New Roman"/>
          <w:b/>
          <w:bCs/>
          <w:sz w:val="24"/>
          <w:szCs w:val="24"/>
        </w:rPr>
        <w:t>Referências</w:t>
      </w:r>
    </w:p>
    <w:p w14:paraId="20EE72FF" w14:textId="795CEAF3" w:rsidR="003468FC" w:rsidRPr="0099515E" w:rsidRDefault="003468FC" w:rsidP="00C7781F">
      <w:pPr>
        <w:spacing w:line="240" w:lineRule="auto"/>
        <w:rPr>
          <w:rFonts w:ascii="Times New Roman" w:hAnsi="Times New Roman" w:cs="Times New Roman"/>
          <w:sz w:val="24"/>
          <w:szCs w:val="24"/>
        </w:rPr>
      </w:pPr>
      <w:r w:rsidRPr="0099515E">
        <w:rPr>
          <w:rFonts w:ascii="Times New Roman" w:hAnsi="Times New Roman" w:cs="Times New Roman"/>
          <w:sz w:val="24"/>
          <w:szCs w:val="24"/>
        </w:rPr>
        <w:t xml:space="preserve">AHMED, Flávio. </w:t>
      </w:r>
      <w:r w:rsidRPr="0099515E">
        <w:rPr>
          <w:rFonts w:ascii="Times New Roman" w:hAnsi="Times New Roman" w:cs="Times New Roman"/>
          <w:i/>
          <w:iCs/>
          <w:sz w:val="24"/>
          <w:szCs w:val="24"/>
        </w:rPr>
        <w:t>Direito Urbanístico e sua Interface com o Direito Ambiental</w:t>
      </w:r>
      <w:r w:rsidRPr="0099515E">
        <w:rPr>
          <w:rFonts w:ascii="Times New Roman" w:hAnsi="Times New Roman" w:cs="Times New Roman"/>
          <w:sz w:val="24"/>
          <w:szCs w:val="24"/>
        </w:rPr>
        <w:t xml:space="preserve">. Rio de Janeiro: </w:t>
      </w:r>
      <w:proofErr w:type="spellStart"/>
      <w:r w:rsidRPr="0099515E">
        <w:rPr>
          <w:rFonts w:ascii="Times New Roman" w:hAnsi="Times New Roman" w:cs="Times New Roman"/>
          <w:sz w:val="24"/>
          <w:szCs w:val="24"/>
        </w:rPr>
        <w:t>Lumen</w:t>
      </w:r>
      <w:proofErr w:type="spellEnd"/>
      <w:r w:rsidRPr="0099515E">
        <w:rPr>
          <w:rFonts w:ascii="Times New Roman" w:hAnsi="Times New Roman" w:cs="Times New Roman"/>
          <w:sz w:val="24"/>
          <w:szCs w:val="24"/>
        </w:rPr>
        <w:t xml:space="preserve"> Juris, 2010.</w:t>
      </w:r>
    </w:p>
    <w:p w14:paraId="2F9830D4" w14:textId="77777777" w:rsidR="00063E12" w:rsidRDefault="00063E12" w:rsidP="00C7781F">
      <w:pPr>
        <w:spacing w:line="240" w:lineRule="auto"/>
        <w:rPr>
          <w:rFonts w:ascii="Times New Roman" w:hAnsi="Times New Roman" w:cs="Times New Roman"/>
          <w:sz w:val="24"/>
          <w:szCs w:val="24"/>
        </w:rPr>
      </w:pPr>
      <w:r w:rsidRPr="00063E12">
        <w:rPr>
          <w:rFonts w:ascii="Times New Roman" w:hAnsi="Times New Roman" w:cs="Times New Roman"/>
          <w:sz w:val="24"/>
          <w:szCs w:val="24"/>
        </w:rPr>
        <w:t xml:space="preserve">ALMEIDA, S. C. C.; GONÇALVES, L. M. Indicadores de sustentabilidade urbana: panorama das principais ferramentas utilizadas para gestão do desenvolvimento sustentável. In: PACHECO, J. T. R.; KAWANISHI, J. Y.; NASCIMENTO, R. (org.). </w:t>
      </w:r>
      <w:r w:rsidRPr="00063E12">
        <w:rPr>
          <w:rFonts w:ascii="Times New Roman" w:hAnsi="Times New Roman" w:cs="Times New Roman"/>
          <w:i/>
          <w:iCs/>
          <w:sz w:val="24"/>
          <w:szCs w:val="24"/>
        </w:rPr>
        <w:t>Meio ambiente e desenvolvimento sustentável</w:t>
      </w:r>
      <w:r w:rsidRPr="00063E12">
        <w:rPr>
          <w:rFonts w:ascii="Times New Roman" w:hAnsi="Times New Roman" w:cs="Times New Roman"/>
          <w:sz w:val="24"/>
          <w:szCs w:val="24"/>
        </w:rPr>
        <w:t>. Ponta Grossa: Atena, 2019. cap. 10, p. 113-126.</w:t>
      </w:r>
    </w:p>
    <w:p w14:paraId="24AC56FA" w14:textId="6A907B12" w:rsidR="00736B08" w:rsidRPr="00DC0930" w:rsidRDefault="00736B08" w:rsidP="00C7781F">
      <w:pPr>
        <w:spacing w:line="240" w:lineRule="auto"/>
        <w:rPr>
          <w:rFonts w:ascii="Times New Roman" w:hAnsi="Times New Roman" w:cs="Times New Roman"/>
          <w:sz w:val="24"/>
          <w:szCs w:val="24"/>
        </w:rPr>
      </w:pPr>
      <w:r w:rsidRPr="00736B08">
        <w:rPr>
          <w:rFonts w:ascii="Times New Roman" w:hAnsi="Times New Roman" w:cs="Times New Roman"/>
          <w:sz w:val="24"/>
          <w:szCs w:val="24"/>
        </w:rPr>
        <w:t xml:space="preserve">BRASIL. Comissão Nacional sobre os Determinantes Sociais da Saúde. </w:t>
      </w:r>
      <w:r w:rsidRPr="00736B08">
        <w:rPr>
          <w:rFonts w:ascii="Times New Roman" w:hAnsi="Times New Roman" w:cs="Times New Roman"/>
          <w:i/>
          <w:iCs/>
          <w:sz w:val="24"/>
          <w:szCs w:val="24"/>
        </w:rPr>
        <w:t xml:space="preserve">As causas sociais das </w:t>
      </w:r>
      <w:r w:rsidRPr="00DC0930">
        <w:rPr>
          <w:rFonts w:ascii="Times New Roman" w:hAnsi="Times New Roman" w:cs="Times New Roman"/>
          <w:i/>
          <w:iCs/>
          <w:sz w:val="24"/>
          <w:szCs w:val="24"/>
        </w:rPr>
        <w:t>iniquidades em saúde no Brasil</w:t>
      </w:r>
      <w:r w:rsidRPr="00DC0930">
        <w:rPr>
          <w:rFonts w:ascii="Times New Roman" w:hAnsi="Times New Roman" w:cs="Times New Roman"/>
          <w:sz w:val="24"/>
          <w:szCs w:val="24"/>
        </w:rPr>
        <w:t>. Rio de Janeiro: Fiocruz, 2008.</w:t>
      </w:r>
    </w:p>
    <w:p w14:paraId="3EAB55FD" w14:textId="77777777" w:rsidR="007D1B8D" w:rsidRPr="00DC0930" w:rsidRDefault="007D1B8D" w:rsidP="00C7781F">
      <w:pPr>
        <w:spacing w:line="240" w:lineRule="auto"/>
        <w:rPr>
          <w:rFonts w:ascii="Times New Roman" w:hAnsi="Times New Roman" w:cs="Times New Roman"/>
          <w:sz w:val="24"/>
          <w:szCs w:val="24"/>
        </w:rPr>
      </w:pPr>
      <w:r w:rsidRPr="00DC0930">
        <w:rPr>
          <w:rFonts w:ascii="Times New Roman" w:hAnsi="Times New Roman" w:cs="Times New Roman"/>
          <w:sz w:val="24"/>
          <w:szCs w:val="24"/>
        </w:rPr>
        <w:t xml:space="preserve">BRASIL. Constituição (1988). </w:t>
      </w:r>
      <w:r w:rsidRPr="00DC0930">
        <w:rPr>
          <w:rFonts w:ascii="Times New Roman" w:hAnsi="Times New Roman" w:cs="Times New Roman"/>
          <w:i/>
          <w:iCs/>
          <w:sz w:val="24"/>
          <w:szCs w:val="24"/>
        </w:rPr>
        <w:t>Constituição da República Federativa do Brasil</w:t>
      </w:r>
      <w:r w:rsidRPr="00DC0930">
        <w:rPr>
          <w:rFonts w:ascii="Times New Roman" w:hAnsi="Times New Roman" w:cs="Times New Roman"/>
          <w:sz w:val="24"/>
          <w:szCs w:val="24"/>
        </w:rPr>
        <w:t>. Brasília, DF: Senado Federal, 1988.</w:t>
      </w:r>
    </w:p>
    <w:p w14:paraId="4E0E8EF2" w14:textId="77777777" w:rsidR="007D1B8D" w:rsidRPr="00DC0930" w:rsidRDefault="007D1B8D" w:rsidP="00C7781F">
      <w:pPr>
        <w:spacing w:line="240" w:lineRule="auto"/>
        <w:rPr>
          <w:rFonts w:ascii="Times New Roman" w:hAnsi="Times New Roman" w:cs="Times New Roman"/>
          <w:sz w:val="24"/>
          <w:szCs w:val="24"/>
        </w:rPr>
      </w:pPr>
      <w:r w:rsidRPr="00DC0930">
        <w:rPr>
          <w:rFonts w:ascii="Times New Roman" w:hAnsi="Times New Roman" w:cs="Times New Roman"/>
          <w:sz w:val="24"/>
          <w:szCs w:val="24"/>
        </w:rPr>
        <w:t xml:space="preserve">BRASIL. Lei nº 8.142, de 28 de dezembro de 1990. Dispõe sobre a participação da comunidade na gestão do Sistema Único de Saúde (SUS) e sobre as transferências intergovernamentais de recursos financeiros na área da saúde e dá outras providências. </w:t>
      </w:r>
      <w:r w:rsidRPr="00DC0930">
        <w:rPr>
          <w:rFonts w:ascii="Times New Roman" w:hAnsi="Times New Roman" w:cs="Times New Roman"/>
          <w:i/>
          <w:iCs/>
          <w:sz w:val="24"/>
          <w:szCs w:val="24"/>
        </w:rPr>
        <w:t>Diário Oficial da União</w:t>
      </w:r>
      <w:r w:rsidRPr="00DC0930">
        <w:rPr>
          <w:rFonts w:ascii="Times New Roman" w:hAnsi="Times New Roman" w:cs="Times New Roman"/>
          <w:sz w:val="24"/>
          <w:szCs w:val="24"/>
        </w:rPr>
        <w:t>: seção 1, Brasília, DF, 31 dez. 1990.</w:t>
      </w:r>
    </w:p>
    <w:p w14:paraId="1F8EB10F" w14:textId="77777777" w:rsidR="007D1B8D" w:rsidRPr="007D1B8D" w:rsidRDefault="007D1B8D" w:rsidP="00C7781F">
      <w:pPr>
        <w:spacing w:line="240" w:lineRule="auto"/>
        <w:rPr>
          <w:rFonts w:ascii="Times New Roman" w:hAnsi="Times New Roman" w:cs="Times New Roman"/>
          <w:sz w:val="24"/>
          <w:szCs w:val="24"/>
        </w:rPr>
      </w:pPr>
      <w:r w:rsidRPr="00DC0930">
        <w:rPr>
          <w:rFonts w:ascii="Times New Roman" w:hAnsi="Times New Roman" w:cs="Times New Roman"/>
          <w:sz w:val="24"/>
          <w:szCs w:val="24"/>
        </w:rPr>
        <w:t>BRASIL. Lei nº 11.107, de 6 de abril de 2005. Dispõe</w:t>
      </w:r>
      <w:r w:rsidRPr="007D1B8D">
        <w:rPr>
          <w:rFonts w:ascii="Times New Roman" w:hAnsi="Times New Roman" w:cs="Times New Roman"/>
          <w:sz w:val="24"/>
          <w:szCs w:val="24"/>
        </w:rPr>
        <w:t xml:space="preserve"> sobre normas gerais de contratação de consórcios públicos e dá outras providências. </w:t>
      </w:r>
      <w:r w:rsidRPr="007D1B8D">
        <w:rPr>
          <w:rFonts w:ascii="Times New Roman" w:hAnsi="Times New Roman" w:cs="Times New Roman"/>
          <w:i/>
          <w:iCs/>
          <w:sz w:val="24"/>
          <w:szCs w:val="24"/>
        </w:rPr>
        <w:t>Diário Oficial da União</w:t>
      </w:r>
      <w:r w:rsidRPr="007D1B8D">
        <w:rPr>
          <w:rFonts w:ascii="Times New Roman" w:hAnsi="Times New Roman" w:cs="Times New Roman"/>
          <w:sz w:val="24"/>
          <w:szCs w:val="24"/>
        </w:rPr>
        <w:t>: seção 1, Brasília, DF, 7 abr. 2005.</w:t>
      </w:r>
    </w:p>
    <w:p w14:paraId="7C95F7C6" w14:textId="7BC868E8" w:rsidR="00063E12" w:rsidRPr="00063E12" w:rsidRDefault="00063E12" w:rsidP="00C7781F">
      <w:pPr>
        <w:spacing w:line="240" w:lineRule="auto"/>
        <w:rPr>
          <w:rFonts w:ascii="Times New Roman" w:hAnsi="Times New Roman" w:cs="Times New Roman"/>
          <w:sz w:val="24"/>
          <w:szCs w:val="24"/>
        </w:rPr>
      </w:pPr>
      <w:r w:rsidRPr="00063E12">
        <w:rPr>
          <w:rFonts w:ascii="Times New Roman" w:hAnsi="Times New Roman" w:cs="Times New Roman"/>
          <w:sz w:val="24"/>
          <w:szCs w:val="24"/>
        </w:rPr>
        <w:t xml:space="preserve">CRUZ, José Luís Vianna da; PASSOS, William Souza. Os desafios do processo de internacionalização para o desenvolvimento local da grande região produtora de petróleo do Brasil. In: HASENCLEVER, Lia; FAURÉ, Yves-André (org.). </w:t>
      </w:r>
      <w:r w:rsidRPr="00063E12">
        <w:rPr>
          <w:rFonts w:ascii="Times New Roman" w:hAnsi="Times New Roman" w:cs="Times New Roman"/>
          <w:i/>
          <w:iCs/>
          <w:sz w:val="24"/>
          <w:szCs w:val="24"/>
        </w:rPr>
        <w:t>Região Norte Fluminense: o desenvolvimento em questão</w:t>
      </w:r>
      <w:r w:rsidRPr="00063E12">
        <w:rPr>
          <w:rFonts w:ascii="Times New Roman" w:hAnsi="Times New Roman" w:cs="Times New Roman"/>
          <w:sz w:val="24"/>
          <w:szCs w:val="24"/>
        </w:rPr>
        <w:t>. Rio de Janeiro: E-</w:t>
      </w:r>
      <w:proofErr w:type="spellStart"/>
      <w:r w:rsidRPr="00063E12">
        <w:rPr>
          <w:rFonts w:ascii="Times New Roman" w:hAnsi="Times New Roman" w:cs="Times New Roman"/>
          <w:sz w:val="24"/>
          <w:szCs w:val="24"/>
        </w:rPr>
        <w:t>papers</w:t>
      </w:r>
      <w:proofErr w:type="spellEnd"/>
      <w:r w:rsidRPr="00063E12">
        <w:rPr>
          <w:rFonts w:ascii="Times New Roman" w:hAnsi="Times New Roman" w:cs="Times New Roman"/>
          <w:sz w:val="24"/>
          <w:szCs w:val="24"/>
        </w:rPr>
        <w:t>, 2022.</w:t>
      </w:r>
    </w:p>
    <w:p w14:paraId="204F6111" w14:textId="77777777" w:rsidR="00063E12" w:rsidRDefault="00063E12" w:rsidP="00C7781F">
      <w:pPr>
        <w:spacing w:line="240" w:lineRule="auto"/>
        <w:rPr>
          <w:rFonts w:ascii="Times New Roman" w:hAnsi="Times New Roman" w:cs="Times New Roman"/>
          <w:sz w:val="24"/>
          <w:szCs w:val="24"/>
        </w:rPr>
      </w:pPr>
      <w:r w:rsidRPr="00063E12">
        <w:rPr>
          <w:rFonts w:ascii="Times New Roman" w:hAnsi="Times New Roman" w:cs="Times New Roman"/>
          <w:sz w:val="24"/>
          <w:szCs w:val="24"/>
        </w:rPr>
        <w:t xml:space="preserve">GOMES, Alexandra Moreira Carvalho. </w:t>
      </w:r>
      <w:r w:rsidRPr="00063E12">
        <w:rPr>
          <w:rFonts w:ascii="Times New Roman" w:hAnsi="Times New Roman" w:cs="Times New Roman"/>
          <w:i/>
          <w:iCs/>
          <w:sz w:val="24"/>
          <w:szCs w:val="24"/>
        </w:rPr>
        <w:t>Atenção básica na saúde dos municípios de Campos dos Goytacazes e Quissamã: análise da efetividade das diretrizes preconizadas pelo Ministério da Saúde</w:t>
      </w:r>
      <w:r w:rsidRPr="00063E12">
        <w:rPr>
          <w:rFonts w:ascii="Times New Roman" w:hAnsi="Times New Roman" w:cs="Times New Roman"/>
          <w:sz w:val="24"/>
          <w:szCs w:val="24"/>
        </w:rPr>
        <w:t>. 2020. 122 f. Dissertação (Mestrado em Desenvolvimento Regional, Ambiente e Políticas Públicas) – Universidade Federal Fluminense, Campos dos Goytacazes, 2020.</w:t>
      </w:r>
    </w:p>
    <w:p w14:paraId="356EE270" w14:textId="6536FE91" w:rsidR="00736B08" w:rsidRPr="00063E12" w:rsidRDefault="00736B08" w:rsidP="00C7781F">
      <w:pPr>
        <w:spacing w:line="240" w:lineRule="auto"/>
        <w:rPr>
          <w:rFonts w:ascii="Times New Roman" w:hAnsi="Times New Roman" w:cs="Times New Roman"/>
          <w:sz w:val="24"/>
          <w:szCs w:val="24"/>
        </w:rPr>
      </w:pPr>
      <w:r w:rsidRPr="00736B08">
        <w:rPr>
          <w:rFonts w:ascii="Times New Roman" w:hAnsi="Times New Roman" w:cs="Times New Roman"/>
          <w:sz w:val="24"/>
          <w:szCs w:val="24"/>
        </w:rPr>
        <w:lastRenderedPageBreak/>
        <w:t xml:space="preserve">IBGE – Instituto Brasileiro de Geografia e Estatística. </w:t>
      </w:r>
      <w:r w:rsidRPr="00736B08">
        <w:rPr>
          <w:rFonts w:ascii="Times New Roman" w:hAnsi="Times New Roman" w:cs="Times New Roman"/>
          <w:i/>
          <w:iCs/>
          <w:sz w:val="24"/>
          <w:szCs w:val="24"/>
        </w:rPr>
        <w:t>Censo Demográfico 2022</w:t>
      </w:r>
      <w:r w:rsidRPr="00736B08">
        <w:rPr>
          <w:rFonts w:ascii="Times New Roman" w:hAnsi="Times New Roman" w:cs="Times New Roman"/>
          <w:sz w:val="24"/>
          <w:szCs w:val="24"/>
        </w:rPr>
        <w:t>. Rio de Janeiro: IBGE, 2022.</w:t>
      </w:r>
    </w:p>
    <w:p w14:paraId="573536E2" w14:textId="2441FBBB" w:rsidR="007D1B8D" w:rsidRDefault="007D1B8D" w:rsidP="00C7781F">
      <w:pPr>
        <w:spacing w:line="240" w:lineRule="auto"/>
        <w:rPr>
          <w:rFonts w:ascii="Times New Roman" w:hAnsi="Times New Roman" w:cs="Times New Roman"/>
          <w:sz w:val="24"/>
          <w:szCs w:val="24"/>
        </w:rPr>
      </w:pPr>
      <w:r w:rsidRPr="007D1B8D">
        <w:rPr>
          <w:rFonts w:ascii="Times New Roman" w:hAnsi="Times New Roman" w:cs="Times New Roman"/>
          <w:sz w:val="24"/>
          <w:szCs w:val="24"/>
        </w:rPr>
        <w:t xml:space="preserve">ICLEI. </w:t>
      </w:r>
      <w:r w:rsidRPr="007D1B8D">
        <w:rPr>
          <w:rFonts w:ascii="Times New Roman" w:hAnsi="Times New Roman" w:cs="Times New Roman"/>
          <w:i/>
          <w:iCs/>
          <w:sz w:val="24"/>
          <w:szCs w:val="24"/>
        </w:rPr>
        <w:t xml:space="preserve">Curitiba, </w:t>
      </w:r>
      <w:proofErr w:type="spellStart"/>
      <w:r w:rsidRPr="007D1B8D">
        <w:rPr>
          <w:rFonts w:ascii="Times New Roman" w:hAnsi="Times New Roman" w:cs="Times New Roman"/>
          <w:i/>
          <w:iCs/>
          <w:sz w:val="24"/>
          <w:szCs w:val="24"/>
        </w:rPr>
        <w:t>Brazil</w:t>
      </w:r>
      <w:proofErr w:type="spellEnd"/>
      <w:r w:rsidRPr="007D1B8D">
        <w:rPr>
          <w:rFonts w:ascii="Times New Roman" w:hAnsi="Times New Roman" w:cs="Times New Roman"/>
          <w:i/>
          <w:iCs/>
          <w:sz w:val="24"/>
          <w:szCs w:val="24"/>
        </w:rPr>
        <w:t xml:space="preserve"> – </w:t>
      </w:r>
      <w:proofErr w:type="spellStart"/>
      <w:r w:rsidRPr="007D1B8D">
        <w:rPr>
          <w:rFonts w:ascii="Times New Roman" w:hAnsi="Times New Roman" w:cs="Times New Roman"/>
          <w:i/>
          <w:iCs/>
          <w:sz w:val="24"/>
          <w:szCs w:val="24"/>
        </w:rPr>
        <w:t>Urban</w:t>
      </w:r>
      <w:proofErr w:type="spellEnd"/>
      <w:r w:rsidRPr="007D1B8D">
        <w:rPr>
          <w:rFonts w:ascii="Times New Roman" w:hAnsi="Times New Roman" w:cs="Times New Roman"/>
          <w:i/>
          <w:iCs/>
          <w:sz w:val="24"/>
          <w:szCs w:val="24"/>
        </w:rPr>
        <w:t xml:space="preserve">-LEDS Case </w:t>
      </w:r>
      <w:proofErr w:type="spellStart"/>
      <w:r w:rsidRPr="007D1B8D">
        <w:rPr>
          <w:rFonts w:ascii="Times New Roman" w:hAnsi="Times New Roman" w:cs="Times New Roman"/>
          <w:i/>
          <w:iCs/>
          <w:sz w:val="24"/>
          <w:szCs w:val="24"/>
        </w:rPr>
        <w:t>Study</w:t>
      </w:r>
      <w:proofErr w:type="spellEnd"/>
      <w:r w:rsidRPr="007D1B8D">
        <w:rPr>
          <w:rFonts w:ascii="Times New Roman" w:hAnsi="Times New Roman" w:cs="Times New Roman"/>
          <w:i/>
          <w:iCs/>
          <w:sz w:val="24"/>
          <w:szCs w:val="24"/>
        </w:rPr>
        <w:t xml:space="preserve"> No. 190.</w:t>
      </w:r>
      <w:r w:rsidRPr="007D1B8D">
        <w:rPr>
          <w:rFonts w:ascii="Times New Roman" w:hAnsi="Times New Roman" w:cs="Times New Roman"/>
          <w:sz w:val="24"/>
          <w:szCs w:val="24"/>
        </w:rPr>
        <w:t xml:space="preserve"> Bonn: ICLEI, 2016. Disponível em: </w:t>
      </w:r>
      <w:r w:rsidR="003A1C29" w:rsidRPr="003A1C29">
        <w:rPr>
          <w:rFonts w:ascii="Times New Roman" w:hAnsi="Times New Roman" w:cs="Times New Roman"/>
          <w:sz w:val="24"/>
          <w:szCs w:val="24"/>
        </w:rPr>
        <w:t>https://urban-leds.org/wp-content/uploads/2019/resources/case_studies/ICLEI_cs_190_Curitiba_Urban-LEDS.pdf</w:t>
      </w:r>
      <w:r w:rsidRPr="007D1B8D">
        <w:rPr>
          <w:rFonts w:ascii="Times New Roman" w:hAnsi="Times New Roman" w:cs="Times New Roman"/>
          <w:sz w:val="24"/>
          <w:szCs w:val="24"/>
        </w:rPr>
        <w:t>. Acesso em: 28 ago. 2025.</w:t>
      </w:r>
    </w:p>
    <w:p w14:paraId="204B7FA7" w14:textId="682F2707" w:rsidR="00063E12" w:rsidRPr="00063E12" w:rsidRDefault="00063E12" w:rsidP="00C7781F">
      <w:pPr>
        <w:spacing w:line="240" w:lineRule="auto"/>
        <w:rPr>
          <w:rFonts w:ascii="Times New Roman" w:hAnsi="Times New Roman" w:cs="Times New Roman"/>
          <w:sz w:val="24"/>
          <w:szCs w:val="24"/>
        </w:rPr>
      </w:pPr>
      <w:r w:rsidRPr="00063E12">
        <w:rPr>
          <w:rFonts w:ascii="Times New Roman" w:hAnsi="Times New Roman" w:cs="Times New Roman"/>
          <w:sz w:val="24"/>
          <w:szCs w:val="24"/>
        </w:rPr>
        <w:t xml:space="preserve">JORNAL DA USP. Cidades saudáveis e sustentáveis: como o planejamento urbano aprimora a vida das pessoas. </w:t>
      </w:r>
      <w:r w:rsidRPr="00063E12">
        <w:rPr>
          <w:rFonts w:ascii="Times New Roman" w:hAnsi="Times New Roman" w:cs="Times New Roman"/>
          <w:i/>
          <w:iCs/>
          <w:sz w:val="24"/>
          <w:szCs w:val="24"/>
        </w:rPr>
        <w:t>Jornal da USP – Rádio USP</w:t>
      </w:r>
      <w:r w:rsidRPr="00063E12">
        <w:rPr>
          <w:rFonts w:ascii="Times New Roman" w:hAnsi="Times New Roman" w:cs="Times New Roman"/>
          <w:sz w:val="24"/>
          <w:szCs w:val="24"/>
        </w:rPr>
        <w:t xml:space="preserve">, 20 fev. 2025. Disponível em: </w:t>
      </w:r>
      <w:r w:rsidR="003A1C29" w:rsidRPr="003A1C29">
        <w:rPr>
          <w:rFonts w:ascii="Times New Roman" w:hAnsi="Times New Roman" w:cs="Times New Roman"/>
          <w:sz w:val="24"/>
          <w:szCs w:val="24"/>
        </w:rPr>
        <w:t>https://jornal.usp.br/radio-usp/cidades-saudaveis-e-sustentaveis-como-o-planejamento-urbano-aprimora-a-vida-das-pessoas/</w:t>
      </w:r>
      <w:r w:rsidRPr="00063E12">
        <w:rPr>
          <w:rFonts w:ascii="Times New Roman" w:hAnsi="Times New Roman" w:cs="Times New Roman"/>
          <w:sz w:val="24"/>
          <w:szCs w:val="24"/>
        </w:rPr>
        <w:t>. Acesso em: 28 ago. 2025.</w:t>
      </w:r>
    </w:p>
    <w:p w14:paraId="0B6CDF2C" w14:textId="4DAAF513" w:rsidR="00063E12" w:rsidRDefault="00063E12" w:rsidP="00C7781F">
      <w:pPr>
        <w:spacing w:line="240" w:lineRule="auto"/>
        <w:rPr>
          <w:rFonts w:ascii="Times New Roman" w:hAnsi="Times New Roman" w:cs="Times New Roman"/>
          <w:sz w:val="24"/>
          <w:szCs w:val="24"/>
        </w:rPr>
      </w:pPr>
      <w:r w:rsidRPr="00063E12">
        <w:rPr>
          <w:rFonts w:ascii="Times New Roman" w:hAnsi="Times New Roman" w:cs="Times New Roman"/>
          <w:sz w:val="24"/>
          <w:szCs w:val="24"/>
        </w:rPr>
        <w:t>LANDMANN, Ja</w:t>
      </w:r>
      <w:r w:rsidR="00E90643">
        <w:rPr>
          <w:rFonts w:ascii="Times New Roman" w:hAnsi="Times New Roman" w:cs="Times New Roman"/>
          <w:sz w:val="24"/>
          <w:szCs w:val="24"/>
        </w:rPr>
        <w:t>y</w:t>
      </w:r>
      <w:r w:rsidRPr="00063E12">
        <w:rPr>
          <w:rFonts w:ascii="Times New Roman" w:hAnsi="Times New Roman" w:cs="Times New Roman"/>
          <w:sz w:val="24"/>
          <w:szCs w:val="24"/>
        </w:rPr>
        <w:t xml:space="preserve">me. </w:t>
      </w:r>
      <w:r w:rsidRPr="00063E12">
        <w:rPr>
          <w:rFonts w:ascii="Times New Roman" w:hAnsi="Times New Roman" w:cs="Times New Roman"/>
          <w:i/>
          <w:iCs/>
          <w:sz w:val="24"/>
          <w:szCs w:val="24"/>
        </w:rPr>
        <w:t>Medicina não é saúde: as verdadeiras causas da doença e da morte</w:t>
      </w:r>
      <w:r w:rsidRPr="00063E12">
        <w:rPr>
          <w:rFonts w:ascii="Times New Roman" w:hAnsi="Times New Roman" w:cs="Times New Roman"/>
          <w:sz w:val="24"/>
          <w:szCs w:val="24"/>
        </w:rPr>
        <w:t>. Rio de Janeiro: Nova Fronteira, 1983.</w:t>
      </w:r>
    </w:p>
    <w:p w14:paraId="3F5E9025" w14:textId="0BDCB9B7" w:rsidR="00736B08" w:rsidRDefault="00736B08" w:rsidP="00C7781F">
      <w:pPr>
        <w:spacing w:line="240" w:lineRule="auto"/>
        <w:rPr>
          <w:rFonts w:ascii="Times New Roman" w:hAnsi="Times New Roman" w:cs="Times New Roman"/>
          <w:sz w:val="24"/>
          <w:szCs w:val="24"/>
        </w:rPr>
      </w:pPr>
      <w:r w:rsidRPr="00736B08">
        <w:rPr>
          <w:rFonts w:ascii="Times New Roman" w:hAnsi="Times New Roman" w:cs="Times New Roman"/>
          <w:sz w:val="24"/>
          <w:szCs w:val="24"/>
        </w:rPr>
        <w:t xml:space="preserve">OMS – Organização Mundial da Saúde. </w:t>
      </w:r>
      <w:r w:rsidRPr="00736B08">
        <w:rPr>
          <w:rFonts w:ascii="Times New Roman" w:hAnsi="Times New Roman" w:cs="Times New Roman"/>
          <w:i/>
          <w:iCs/>
          <w:sz w:val="24"/>
          <w:szCs w:val="24"/>
        </w:rPr>
        <w:t>Carta de Ottawa para a Promoção da Saúde</w:t>
      </w:r>
      <w:r w:rsidRPr="00736B08">
        <w:rPr>
          <w:rFonts w:ascii="Times New Roman" w:hAnsi="Times New Roman" w:cs="Times New Roman"/>
          <w:sz w:val="24"/>
          <w:szCs w:val="24"/>
        </w:rPr>
        <w:t>. Ottawa: OMS, 1986.</w:t>
      </w:r>
    </w:p>
    <w:p w14:paraId="1420C2D5" w14:textId="53C05451" w:rsidR="00736B08" w:rsidRPr="00063E12" w:rsidRDefault="00736B08" w:rsidP="00C7781F">
      <w:pPr>
        <w:spacing w:line="240" w:lineRule="auto"/>
        <w:rPr>
          <w:rFonts w:ascii="Times New Roman" w:hAnsi="Times New Roman" w:cs="Times New Roman"/>
          <w:sz w:val="24"/>
          <w:szCs w:val="24"/>
        </w:rPr>
      </w:pPr>
      <w:r w:rsidRPr="00736B08">
        <w:rPr>
          <w:rFonts w:ascii="Times New Roman" w:hAnsi="Times New Roman" w:cs="Times New Roman"/>
          <w:sz w:val="24"/>
          <w:szCs w:val="24"/>
        </w:rPr>
        <w:t xml:space="preserve">PAIM, </w:t>
      </w:r>
      <w:proofErr w:type="spellStart"/>
      <w:r w:rsidRPr="00736B08">
        <w:rPr>
          <w:rFonts w:ascii="Times New Roman" w:hAnsi="Times New Roman" w:cs="Times New Roman"/>
          <w:sz w:val="24"/>
          <w:szCs w:val="24"/>
        </w:rPr>
        <w:t>Jairnilson</w:t>
      </w:r>
      <w:proofErr w:type="spellEnd"/>
      <w:r w:rsidRPr="00736B08">
        <w:rPr>
          <w:rFonts w:ascii="Times New Roman" w:hAnsi="Times New Roman" w:cs="Times New Roman"/>
          <w:sz w:val="24"/>
          <w:szCs w:val="24"/>
        </w:rPr>
        <w:t xml:space="preserve">. </w:t>
      </w:r>
      <w:r w:rsidRPr="00736B08">
        <w:rPr>
          <w:rFonts w:ascii="Times New Roman" w:hAnsi="Times New Roman" w:cs="Times New Roman"/>
          <w:i/>
          <w:iCs/>
          <w:sz w:val="24"/>
          <w:szCs w:val="24"/>
        </w:rPr>
        <w:t>O que é o SUS</w:t>
      </w:r>
      <w:r w:rsidRPr="00736B08">
        <w:rPr>
          <w:rFonts w:ascii="Times New Roman" w:hAnsi="Times New Roman" w:cs="Times New Roman"/>
          <w:sz w:val="24"/>
          <w:szCs w:val="24"/>
        </w:rPr>
        <w:t>. Rio de Janeiro: Fiocruz, 2009.</w:t>
      </w:r>
    </w:p>
    <w:p w14:paraId="2AE8D225" w14:textId="6EC3B2CA" w:rsidR="007D1B8D" w:rsidRDefault="007D1B8D" w:rsidP="00C7781F">
      <w:pPr>
        <w:spacing w:line="240" w:lineRule="auto"/>
        <w:rPr>
          <w:rFonts w:ascii="Times New Roman" w:hAnsi="Times New Roman" w:cs="Times New Roman"/>
          <w:sz w:val="24"/>
          <w:szCs w:val="24"/>
        </w:rPr>
      </w:pPr>
      <w:r w:rsidRPr="007D1B8D">
        <w:rPr>
          <w:rFonts w:ascii="Times New Roman" w:hAnsi="Times New Roman" w:cs="Times New Roman"/>
          <w:sz w:val="24"/>
          <w:szCs w:val="24"/>
        </w:rPr>
        <w:t xml:space="preserve">PÉREZ, K. et al. </w:t>
      </w:r>
      <w:r w:rsidRPr="007D1B8D">
        <w:rPr>
          <w:rFonts w:ascii="Times New Roman" w:hAnsi="Times New Roman" w:cs="Times New Roman"/>
          <w:i/>
          <w:iCs/>
          <w:sz w:val="24"/>
          <w:szCs w:val="24"/>
        </w:rPr>
        <w:t xml:space="preserve">Environmental </w:t>
      </w:r>
      <w:proofErr w:type="spellStart"/>
      <w:r w:rsidRPr="007D1B8D">
        <w:rPr>
          <w:rFonts w:ascii="Times New Roman" w:hAnsi="Times New Roman" w:cs="Times New Roman"/>
          <w:i/>
          <w:iCs/>
          <w:sz w:val="24"/>
          <w:szCs w:val="24"/>
        </w:rPr>
        <w:t>and</w:t>
      </w:r>
      <w:proofErr w:type="spellEnd"/>
      <w:r w:rsidRPr="007D1B8D">
        <w:rPr>
          <w:rFonts w:ascii="Times New Roman" w:hAnsi="Times New Roman" w:cs="Times New Roman"/>
          <w:i/>
          <w:iCs/>
          <w:sz w:val="24"/>
          <w:szCs w:val="24"/>
        </w:rPr>
        <w:t xml:space="preserve"> </w:t>
      </w:r>
      <w:proofErr w:type="spellStart"/>
      <w:r w:rsidRPr="007D1B8D">
        <w:rPr>
          <w:rFonts w:ascii="Times New Roman" w:hAnsi="Times New Roman" w:cs="Times New Roman"/>
          <w:i/>
          <w:iCs/>
          <w:sz w:val="24"/>
          <w:szCs w:val="24"/>
        </w:rPr>
        <w:t>health</w:t>
      </w:r>
      <w:proofErr w:type="spellEnd"/>
      <w:r w:rsidRPr="007D1B8D">
        <w:rPr>
          <w:rFonts w:ascii="Times New Roman" w:hAnsi="Times New Roman" w:cs="Times New Roman"/>
          <w:i/>
          <w:iCs/>
          <w:sz w:val="24"/>
          <w:szCs w:val="24"/>
        </w:rPr>
        <w:t xml:space="preserve"> </w:t>
      </w:r>
      <w:proofErr w:type="spellStart"/>
      <w:r w:rsidRPr="007D1B8D">
        <w:rPr>
          <w:rFonts w:ascii="Times New Roman" w:hAnsi="Times New Roman" w:cs="Times New Roman"/>
          <w:i/>
          <w:iCs/>
          <w:sz w:val="24"/>
          <w:szCs w:val="24"/>
        </w:rPr>
        <w:t>effects</w:t>
      </w:r>
      <w:proofErr w:type="spellEnd"/>
      <w:r w:rsidRPr="007D1B8D">
        <w:rPr>
          <w:rFonts w:ascii="Times New Roman" w:hAnsi="Times New Roman" w:cs="Times New Roman"/>
          <w:i/>
          <w:iCs/>
          <w:sz w:val="24"/>
          <w:szCs w:val="24"/>
        </w:rPr>
        <w:t xml:space="preserve"> </w:t>
      </w:r>
      <w:proofErr w:type="spellStart"/>
      <w:r w:rsidRPr="007D1B8D">
        <w:rPr>
          <w:rFonts w:ascii="Times New Roman" w:hAnsi="Times New Roman" w:cs="Times New Roman"/>
          <w:i/>
          <w:iCs/>
          <w:sz w:val="24"/>
          <w:szCs w:val="24"/>
        </w:rPr>
        <w:t>of</w:t>
      </w:r>
      <w:proofErr w:type="spellEnd"/>
      <w:r w:rsidRPr="007D1B8D">
        <w:rPr>
          <w:rFonts w:ascii="Times New Roman" w:hAnsi="Times New Roman" w:cs="Times New Roman"/>
          <w:i/>
          <w:iCs/>
          <w:sz w:val="24"/>
          <w:szCs w:val="24"/>
        </w:rPr>
        <w:t xml:space="preserve"> </w:t>
      </w:r>
      <w:proofErr w:type="spellStart"/>
      <w:r w:rsidRPr="007D1B8D">
        <w:rPr>
          <w:rFonts w:ascii="Times New Roman" w:hAnsi="Times New Roman" w:cs="Times New Roman"/>
          <w:i/>
          <w:iCs/>
          <w:sz w:val="24"/>
          <w:szCs w:val="24"/>
        </w:rPr>
        <w:t>the</w:t>
      </w:r>
      <w:proofErr w:type="spellEnd"/>
      <w:r w:rsidRPr="007D1B8D">
        <w:rPr>
          <w:rFonts w:ascii="Times New Roman" w:hAnsi="Times New Roman" w:cs="Times New Roman"/>
          <w:i/>
          <w:iCs/>
          <w:sz w:val="24"/>
          <w:szCs w:val="24"/>
        </w:rPr>
        <w:t xml:space="preserve"> Barcelona </w:t>
      </w:r>
      <w:proofErr w:type="spellStart"/>
      <w:r w:rsidRPr="007D1B8D">
        <w:rPr>
          <w:rFonts w:ascii="Times New Roman" w:hAnsi="Times New Roman" w:cs="Times New Roman"/>
          <w:i/>
          <w:iCs/>
          <w:sz w:val="24"/>
          <w:szCs w:val="24"/>
        </w:rPr>
        <w:t>superblocks</w:t>
      </w:r>
      <w:proofErr w:type="spellEnd"/>
      <w:r w:rsidRPr="007D1B8D">
        <w:rPr>
          <w:rFonts w:ascii="Times New Roman" w:hAnsi="Times New Roman" w:cs="Times New Roman"/>
          <w:i/>
          <w:iCs/>
          <w:sz w:val="24"/>
          <w:szCs w:val="24"/>
        </w:rPr>
        <w:t>.</w:t>
      </w:r>
      <w:r w:rsidRPr="007D1B8D">
        <w:rPr>
          <w:rFonts w:ascii="Times New Roman" w:hAnsi="Times New Roman" w:cs="Times New Roman"/>
          <w:sz w:val="24"/>
          <w:szCs w:val="24"/>
        </w:rPr>
        <w:t xml:space="preserve"> </w:t>
      </w:r>
      <w:r w:rsidRPr="007D1B8D">
        <w:rPr>
          <w:rFonts w:ascii="Times New Roman" w:hAnsi="Times New Roman" w:cs="Times New Roman"/>
          <w:i/>
          <w:iCs/>
          <w:sz w:val="24"/>
          <w:szCs w:val="24"/>
        </w:rPr>
        <w:t xml:space="preserve">BMC </w:t>
      </w:r>
      <w:proofErr w:type="spellStart"/>
      <w:r w:rsidRPr="007D1B8D">
        <w:rPr>
          <w:rFonts w:ascii="Times New Roman" w:hAnsi="Times New Roman" w:cs="Times New Roman"/>
          <w:i/>
          <w:iCs/>
          <w:sz w:val="24"/>
          <w:szCs w:val="24"/>
        </w:rPr>
        <w:t>Public</w:t>
      </w:r>
      <w:proofErr w:type="spellEnd"/>
      <w:r w:rsidRPr="007D1B8D">
        <w:rPr>
          <w:rFonts w:ascii="Times New Roman" w:hAnsi="Times New Roman" w:cs="Times New Roman"/>
          <w:i/>
          <w:iCs/>
          <w:sz w:val="24"/>
          <w:szCs w:val="24"/>
        </w:rPr>
        <w:t xml:space="preserve"> Health</w:t>
      </w:r>
      <w:r w:rsidRPr="007D1B8D">
        <w:rPr>
          <w:rFonts w:ascii="Times New Roman" w:hAnsi="Times New Roman" w:cs="Times New Roman"/>
          <w:sz w:val="24"/>
          <w:szCs w:val="24"/>
        </w:rPr>
        <w:t xml:space="preserve">, v. 25, 2025. Disponível em: </w:t>
      </w:r>
      <w:r w:rsidR="003A1C29" w:rsidRPr="003A1C29">
        <w:rPr>
          <w:rFonts w:ascii="Times New Roman" w:hAnsi="Times New Roman" w:cs="Times New Roman"/>
          <w:sz w:val="24"/>
          <w:szCs w:val="24"/>
        </w:rPr>
        <w:t>https://bmcpublichealth.biomedcentral.com/articles/10.1186/s12889-025-21835-z</w:t>
      </w:r>
      <w:r w:rsidRPr="007D1B8D">
        <w:rPr>
          <w:rFonts w:ascii="Times New Roman" w:hAnsi="Times New Roman" w:cs="Times New Roman"/>
          <w:sz w:val="24"/>
          <w:szCs w:val="24"/>
        </w:rPr>
        <w:t>. Acesso em: 28 ago. 2025.</w:t>
      </w:r>
    </w:p>
    <w:p w14:paraId="6B3B5737" w14:textId="4D680731" w:rsidR="00CD5062" w:rsidRDefault="00063E12" w:rsidP="00C7781F">
      <w:pPr>
        <w:spacing w:line="240" w:lineRule="auto"/>
        <w:rPr>
          <w:rFonts w:ascii="Times New Roman" w:hAnsi="Times New Roman" w:cs="Times New Roman"/>
          <w:sz w:val="24"/>
          <w:szCs w:val="24"/>
          <w:lang w:val="en-US"/>
        </w:rPr>
      </w:pPr>
      <w:r w:rsidRPr="00063E12">
        <w:rPr>
          <w:rFonts w:ascii="Times New Roman" w:hAnsi="Times New Roman" w:cs="Times New Roman"/>
          <w:sz w:val="24"/>
          <w:szCs w:val="24"/>
        </w:rPr>
        <w:t xml:space="preserve">SOUZA, Marcelo Lopes de. Os conceitos de planejamento e gestão urbana. In: SOUZA, Marcelo Lopes de. </w:t>
      </w:r>
      <w:r w:rsidRPr="00063E12">
        <w:rPr>
          <w:rFonts w:ascii="Times New Roman" w:hAnsi="Times New Roman" w:cs="Times New Roman"/>
          <w:i/>
          <w:iCs/>
          <w:sz w:val="24"/>
          <w:szCs w:val="24"/>
        </w:rPr>
        <w:t>Mudar a cidade: uma introdução crítica ao Planejamento e Gestão urbanos</w:t>
      </w:r>
      <w:r w:rsidRPr="00063E12">
        <w:rPr>
          <w:rFonts w:ascii="Times New Roman" w:hAnsi="Times New Roman" w:cs="Times New Roman"/>
          <w:sz w:val="24"/>
          <w:szCs w:val="24"/>
        </w:rPr>
        <w:t xml:space="preserve">. </w:t>
      </w:r>
      <w:r w:rsidRPr="00BC6E90">
        <w:rPr>
          <w:rFonts w:ascii="Times New Roman" w:hAnsi="Times New Roman" w:cs="Times New Roman"/>
          <w:sz w:val="24"/>
          <w:szCs w:val="24"/>
          <w:lang w:val="en-US"/>
        </w:rPr>
        <w:t>Rio de Janeiro: Bertrand, 2016. p. 43-60.</w:t>
      </w:r>
    </w:p>
    <w:p w14:paraId="43B352DE" w14:textId="1E3C2466" w:rsidR="007D1B8D" w:rsidRPr="007D1B8D" w:rsidRDefault="007D1B8D" w:rsidP="00C7781F">
      <w:pPr>
        <w:spacing w:line="240" w:lineRule="auto"/>
        <w:rPr>
          <w:rFonts w:ascii="Times New Roman" w:hAnsi="Times New Roman" w:cs="Times New Roman"/>
          <w:sz w:val="24"/>
          <w:szCs w:val="24"/>
        </w:rPr>
      </w:pPr>
      <w:r w:rsidRPr="007D1B8D">
        <w:rPr>
          <w:rFonts w:ascii="Times New Roman" w:hAnsi="Times New Roman" w:cs="Times New Roman"/>
          <w:sz w:val="24"/>
          <w:szCs w:val="24"/>
        </w:rPr>
        <w:t xml:space="preserve">TORONTO PUBLIC HEALTH. </w:t>
      </w:r>
      <w:proofErr w:type="spellStart"/>
      <w:r w:rsidRPr="007D1B8D">
        <w:rPr>
          <w:rFonts w:ascii="Times New Roman" w:hAnsi="Times New Roman" w:cs="Times New Roman"/>
          <w:i/>
          <w:iCs/>
          <w:sz w:val="24"/>
          <w:szCs w:val="24"/>
        </w:rPr>
        <w:t>Healthy</w:t>
      </w:r>
      <w:proofErr w:type="spellEnd"/>
      <w:r w:rsidRPr="007D1B8D">
        <w:rPr>
          <w:rFonts w:ascii="Times New Roman" w:hAnsi="Times New Roman" w:cs="Times New Roman"/>
          <w:i/>
          <w:iCs/>
          <w:sz w:val="24"/>
          <w:szCs w:val="24"/>
        </w:rPr>
        <w:t xml:space="preserve"> Toronto </w:t>
      </w:r>
      <w:proofErr w:type="spellStart"/>
      <w:r w:rsidRPr="007D1B8D">
        <w:rPr>
          <w:rFonts w:ascii="Times New Roman" w:hAnsi="Times New Roman" w:cs="Times New Roman"/>
          <w:i/>
          <w:iCs/>
          <w:sz w:val="24"/>
          <w:szCs w:val="24"/>
        </w:rPr>
        <w:t>by</w:t>
      </w:r>
      <w:proofErr w:type="spellEnd"/>
      <w:r w:rsidRPr="007D1B8D">
        <w:rPr>
          <w:rFonts w:ascii="Times New Roman" w:hAnsi="Times New Roman" w:cs="Times New Roman"/>
          <w:i/>
          <w:iCs/>
          <w:sz w:val="24"/>
          <w:szCs w:val="24"/>
        </w:rPr>
        <w:t xml:space="preserve"> Design.</w:t>
      </w:r>
      <w:r w:rsidRPr="007D1B8D">
        <w:rPr>
          <w:rFonts w:ascii="Times New Roman" w:hAnsi="Times New Roman" w:cs="Times New Roman"/>
          <w:sz w:val="24"/>
          <w:szCs w:val="24"/>
        </w:rPr>
        <w:t xml:space="preserve"> Toronto: Toronto </w:t>
      </w:r>
      <w:proofErr w:type="spellStart"/>
      <w:r w:rsidRPr="007D1B8D">
        <w:rPr>
          <w:rFonts w:ascii="Times New Roman" w:hAnsi="Times New Roman" w:cs="Times New Roman"/>
          <w:sz w:val="24"/>
          <w:szCs w:val="24"/>
        </w:rPr>
        <w:t>Public</w:t>
      </w:r>
      <w:proofErr w:type="spellEnd"/>
      <w:r w:rsidRPr="007D1B8D">
        <w:rPr>
          <w:rFonts w:ascii="Times New Roman" w:hAnsi="Times New Roman" w:cs="Times New Roman"/>
          <w:sz w:val="24"/>
          <w:szCs w:val="24"/>
        </w:rPr>
        <w:t xml:space="preserve"> Health, 2011. Disponível em: </w:t>
      </w:r>
      <w:r w:rsidR="003A1C29" w:rsidRPr="003A1C29">
        <w:rPr>
          <w:rFonts w:ascii="Times New Roman" w:hAnsi="Times New Roman" w:cs="Times New Roman"/>
          <w:sz w:val="24"/>
          <w:szCs w:val="24"/>
        </w:rPr>
        <w:t>https://www.toronto.ca/wp-content/uploads/2017/10/9621-TPH-healthy-toronto-by-design-report-Oct04-2011.pdf</w:t>
      </w:r>
      <w:r w:rsidRPr="007D1B8D">
        <w:rPr>
          <w:rFonts w:ascii="Times New Roman" w:hAnsi="Times New Roman" w:cs="Times New Roman"/>
          <w:sz w:val="24"/>
          <w:szCs w:val="24"/>
        </w:rPr>
        <w:t>. Acesso em: 28 ago. 2025.</w:t>
      </w:r>
    </w:p>
    <w:p w14:paraId="3D73BFF5" w14:textId="4A0EAFD0" w:rsidR="008F53E2" w:rsidRPr="008F53E2" w:rsidRDefault="007D1B8D" w:rsidP="00C7781F">
      <w:pPr>
        <w:spacing w:line="240" w:lineRule="auto"/>
        <w:rPr>
          <w:rFonts w:ascii="Times New Roman" w:hAnsi="Times New Roman" w:cs="Times New Roman"/>
          <w:sz w:val="24"/>
          <w:szCs w:val="24"/>
          <w:lang w:val="en-US"/>
        </w:rPr>
      </w:pPr>
      <w:r w:rsidRPr="007D1B8D">
        <w:rPr>
          <w:rFonts w:ascii="Times New Roman" w:hAnsi="Times New Roman" w:cs="Times New Roman"/>
          <w:sz w:val="24"/>
          <w:szCs w:val="24"/>
        </w:rPr>
        <w:t xml:space="preserve">TORRES, A. et al. </w:t>
      </w:r>
      <w:r w:rsidRPr="007D1B8D">
        <w:rPr>
          <w:rFonts w:ascii="Times New Roman" w:hAnsi="Times New Roman" w:cs="Times New Roman"/>
          <w:i/>
          <w:iCs/>
          <w:sz w:val="24"/>
          <w:szCs w:val="24"/>
        </w:rPr>
        <w:t xml:space="preserve">The </w:t>
      </w:r>
      <w:proofErr w:type="spellStart"/>
      <w:r w:rsidRPr="007D1B8D">
        <w:rPr>
          <w:rFonts w:ascii="Times New Roman" w:hAnsi="Times New Roman" w:cs="Times New Roman"/>
          <w:i/>
          <w:iCs/>
          <w:sz w:val="24"/>
          <w:szCs w:val="24"/>
        </w:rPr>
        <w:t>Ciclovía</w:t>
      </w:r>
      <w:proofErr w:type="spellEnd"/>
      <w:r w:rsidRPr="007D1B8D">
        <w:rPr>
          <w:rFonts w:ascii="Times New Roman" w:hAnsi="Times New Roman" w:cs="Times New Roman"/>
          <w:i/>
          <w:iCs/>
          <w:sz w:val="24"/>
          <w:szCs w:val="24"/>
        </w:rPr>
        <w:t xml:space="preserve"> </w:t>
      </w:r>
      <w:proofErr w:type="spellStart"/>
      <w:r w:rsidRPr="007D1B8D">
        <w:rPr>
          <w:rFonts w:ascii="Times New Roman" w:hAnsi="Times New Roman" w:cs="Times New Roman"/>
          <w:i/>
          <w:iCs/>
          <w:sz w:val="24"/>
          <w:szCs w:val="24"/>
        </w:rPr>
        <w:t>and</w:t>
      </w:r>
      <w:proofErr w:type="spellEnd"/>
      <w:r w:rsidRPr="007D1B8D">
        <w:rPr>
          <w:rFonts w:ascii="Times New Roman" w:hAnsi="Times New Roman" w:cs="Times New Roman"/>
          <w:i/>
          <w:iCs/>
          <w:sz w:val="24"/>
          <w:szCs w:val="24"/>
        </w:rPr>
        <w:t xml:space="preserve"> </w:t>
      </w:r>
      <w:proofErr w:type="spellStart"/>
      <w:r w:rsidRPr="007D1B8D">
        <w:rPr>
          <w:rFonts w:ascii="Times New Roman" w:hAnsi="Times New Roman" w:cs="Times New Roman"/>
          <w:i/>
          <w:iCs/>
          <w:sz w:val="24"/>
          <w:szCs w:val="24"/>
        </w:rPr>
        <w:t>Cicloruta</w:t>
      </w:r>
      <w:proofErr w:type="spellEnd"/>
      <w:r w:rsidRPr="007D1B8D">
        <w:rPr>
          <w:rFonts w:ascii="Times New Roman" w:hAnsi="Times New Roman" w:cs="Times New Roman"/>
          <w:i/>
          <w:iCs/>
          <w:sz w:val="24"/>
          <w:szCs w:val="24"/>
        </w:rPr>
        <w:t xml:space="preserve"> </w:t>
      </w:r>
      <w:proofErr w:type="spellStart"/>
      <w:r w:rsidRPr="007D1B8D">
        <w:rPr>
          <w:rFonts w:ascii="Times New Roman" w:hAnsi="Times New Roman" w:cs="Times New Roman"/>
          <w:i/>
          <w:iCs/>
          <w:sz w:val="24"/>
          <w:szCs w:val="24"/>
        </w:rPr>
        <w:t>Programs</w:t>
      </w:r>
      <w:proofErr w:type="spellEnd"/>
      <w:r w:rsidRPr="007D1B8D">
        <w:rPr>
          <w:rFonts w:ascii="Times New Roman" w:hAnsi="Times New Roman" w:cs="Times New Roman"/>
          <w:i/>
          <w:iCs/>
          <w:sz w:val="24"/>
          <w:szCs w:val="24"/>
        </w:rPr>
        <w:t xml:space="preserve">: </w:t>
      </w:r>
      <w:proofErr w:type="spellStart"/>
      <w:r w:rsidRPr="007D1B8D">
        <w:rPr>
          <w:rFonts w:ascii="Times New Roman" w:hAnsi="Times New Roman" w:cs="Times New Roman"/>
          <w:i/>
          <w:iCs/>
          <w:sz w:val="24"/>
          <w:szCs w:val="24"/>
        </w:rPr>
        <w:t>promising</w:t>
      </w:r>
      <w:proofErr w:type="spellEnd"/>
      <w:r w:rsidRPr="007D1B8D">
        <w:rPr>
          <w:rFonts w:ascii="Times New Roman" w:hAnsi="Times New Roman" w:cs="Times New Roman"/>
          <w:i/>
          <w:iCs/>
          <w:sz w:val="24"/>
          <w:szCs w:val="24"/>
        </w:rPr>
        <w:t xml:space="preserve"> </w:t>
      </w:r>
      <w:proofErr w:type="spellStart"/>
      <w:r w:rsidRPr="007D1B8D">
        <w:rPr>
          <w:rFonts w:ascii="Times New Roman" w:hAnsi="Times New Roman" w:cs="Times New Roman"/>
          <w:i/>
          <w:iCs/>
          <w:sz w:val="24"/>
          <w:szCs w:val="24"/>
        </w:rPr>
        <w:t>strategies</w:t>
      </w:r>
      <w:proofErr w:type="spellEnd"/>
      <w:r w:rsidRPr="007D1B8D">
        <w:rPr>
          <w:rFonts w:ascii="Times New Roman" w:hAnsi="Times New Roman" w:cs="Times New Roman"/>
          <w:i/>
          <w:iCs/>
          <w:sz w:val="24"/>
          <w:szCs w:val="24"/>
        </w:rPr>
        <w:t xml:space="preserve"> for </w:t>
      </w:r>
      <w:proofErr w:type="spellStart"/>
      <w:r w:rsidRPr="007D1B8D">
        <w:rPr>
          <w:rFonts w:ascii="Times New Roman" w:hAnsi="Times New Roman" w:cs="Times New Roman"/>
          <w:i/>
          <w:iCs/>
          <w:sz w:val="24"/>
          <w:szCs w:val="24"/>
        </w:rPr>
        <w:t>physical</w:t>
      </w:r>
      <w:proofErr w:type="spellEnd"/>
      <w:r w:rsidRPr="007D1B8D">
        <w:rPr>
          <w:rFonts w:ascii="Times New Roman" w:hAnsi="Times New Roman" w:cs="Times New Roman"/>
          <w:i/>
          <w:iCs/>
          <w:sz w:val="24"/>
          <w:szCs w:val="24"/>
        </w:rPr>
        <w:t xml:space="preserve"> </w:t>
      </w:r>
      <w:proofErr w:type="spellStart"/>
      <w:r w:rsidRPr="007D1B8D">
        <w:rPr>
          <w:rFonts w:ascii="Times New Roman" w:hAnsi="Times New Roman" w:cs="Times New Roman"/>
          <w:i/>
          <w:iCs/>
          <w:sz w:val="24"/>
          <w:szCs w:val="24"/>
        </w:rPr>
        <w:t>activity</w:t>
      </w:r>
      <w:proofErr w:type="spellEnd"/>
      <w:r w:rsidRPr="007D1B8D">
        <w:rPr>
          <w:rFonts w:ascii="Times New Roman" w:hAnsi="Times New Roman" w:cs="Times New Roman"/>
          <w:i/>
          <w:iCs/>
          <w:sz w:val="24"/>
          <w:szCs w:val="24"/>
        </w:rPr>
        <w:t xml:space="preserve"> in Bogotá.</w:t>
      </w:r>
      <w:r w:rsidRPr="007D1B8D">
        <w:rPr>
          <w:rFonts w:ascii="Times New Roman" w:hAnsi="Times New Roman" w:cs="Times New Roman"/>
          <w:sz w:val="24"/>
          <w:szCs w:val="24"/>
        </w:rPr>
        <w:t xml:space="preserve"> </w:t>
      </w:r>
      <w:r w:rsidRPr="007D1B8D">
        <w:rPr>
          <w:rFonts w:ascii="Times New Roman" w:hAnsi="Times New Roman" w:cs="Times New Roman"/>
          <w:i/>
          <w:iCs/>
          <w:sz w:val="24"/>
          <w:szCs w:val="24"/>
        </w:rPr>
        <w:t xml:space="preserve">American </w:t>
      </w:r>
      <w:proofErr w:type="spellStart"/>
      <w:r w:rsidRPr="007D1B8D">
        <w:rPr>
          <w:rFonts w:ascii="Times New Roman" w:hAnsi="Times New Roman" w:cs="Times New Roman"/>
          <w:i/>
          <w:iCs/>
          <w:sz w:val="24"/>
          <w:szCs w:val="24"/>
        </w:rPr>
        <w:t>Journal</w:t>
      </w:r>
      <w:proofErr w:type="spellEnd"/>
      <w:r w:rsidRPr="007D1B8D">
        <w:rPr>
          <w:rFonts w:ascii="Times New Roman" w:hAnsi="Times New Roman" w:cs="Times New Roman"/>
          <w:i/>
          <w:iCs/>
          <w:sz w:val="24"/>
          <w:szCs w:val="24"/>
        </w:rPr>
        <w:t xml:space="preserve"> </w:t>
      </w:r>
      <w:proofErr w:type="spellStart"/>
      <w:r w:rsidRPr="007D1B8D">
        <w:rPr>
          <w:rFonts w:ascii="Times New Roman" w:hAnsi="Times New Roman" w:cs="Times New Roman"/>
          <w:i/>
          <w:iCs/>
          <w:sz w:val="24"/>
          <w:szCs w:val="24"/>
        </w:rPr>
        <w:t>of</w:t>
      </w:r>
      <w:proofErr w:type="spellEnd"/>
      <w:r w:rsidRPr="007D1B8D">
        <w:rPr>
          <w:rFonts w:ascii="Times New Roman" w:hAnsi="Times New Roman" w:cs="Times New Roman"/>
          <w:i/>
          <w:iCs/>
          <w:sz w:val="24"/>
          <w:szCs w:val="24"/>
        </w:rPr>
        <w:t xml:space="preserve"> </w:t>
      </w:r>
      <w:proofErr w:type="spellStart"/>
      <w:r w:rsidRPr="007D1B8D">
        <w:rPr>
          <w:rFonts w:ascii="Times New Roman" w:hAnsi="Times New Roman" w:cs="Times New Roman"/>
          <w:i/>
          <w:iCs/>
          <w:sz w:val="24"/>
          <w:szCs w:val="24"/>
        </w:rPr>
        <w:t>Public</w:t>
      </w:r>
      <w:proofErr w:type="spellEnd"/>
      <w:r w:rsidRPr="007D1B8D">
        <w:rPr>
          <w:rFonts w:ascii="Times New Roman" w:hAnsi="Times New Roman" w:cs="Times New Roman"/>
          <w:i/>
          <w:iCs/>
          <w:sz w:val="24"/>
          <w:szCs w:val="24"/>
        </w:rPr>
        <w:t xml:space="preserve"> Health</w:t>
      </w:r>
      <w:r w:rsidRPr="007D1B8D">
        <w:rPr>
          <w:rFonts w:ascii="Times New Roman" w:hAnsi="Times New Roman" w:cs="Times New Roman"/>
          <w:sz w:val="24"/>
          <w:szCs w:val="24"/>
        </w:rPr>
        <w:t>, v. 103, n. 9, p. 1570-1577, 2013. Disponível em: https://ajph.aphapublications.org/doi/full/10.2105/AJPH.2012.301142. Acesso em: 28 ago. 2025.</w:t>
      </w:r>
    </w:p>
    <w:sectPr w:rsidR="008F53E2" w:rsidRPr="008F53E2" w:rsidSect="00C97A81">
      <w:footerReference w:type="default" r:id="rId8"/>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AC7D" w14:textId="77777777" w:rsidR="004D3C30" w:rsidRDefault="004D3C30" w:rsidP="00C104CF">
      <w:pPr>
        <w:spacing w:after="0" w:line="240" w:lineRule="auto"/>
      </w:pPr>
      <w:r>
        <w:separator/>
      </w:r>
    </w:p>
  </w:endnote>
  <w:endnote w:type="continuationSeparator" w:id="0">
    <w:p w14:paraId="5A99C592" w14:textId="77777777" w:rsidR="004D3C30" w:rsidRDefault="004D3C30" w:rsidP="00C10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730502"/>
      <w:docPartObj>
        <w:docPartGallery w:val="Page Numbers (Bottom of Page)"/>
        <w:docPartUnique/>
      </w:docPartObj>
    </w:sdtPr>
    <w:sdtEndPr>
      <w:rPr>
        <w:sz w:val="20"/>
        <w:szCs w:val="20"/>
      </w:rPr>
    </w:sdtEndPr>
    <w:sdtContent>
      <w:p w14:paraId="00804CA6" w14:textId="12737BF4" w:rsidR="00397741" w:rsidRPr="00397741" w:rsidRDefault="00397741">
        <w:pPr>
          <w:pStyle w:val="Rodap"/>
          <w:jc w:val="center"/>
          <w:rPr>
            <w:sz w:val="20"/>
            <w:szCs w:val="20"/>
          </w:rPr>
        </w:pPr>
        <w:r w:rsidRPr="00397741">
          <w:rPr>
            <w:sz w:val="20"/>
            <w:szCs w:val="20"/>
          </w:rPr>
          <w:fldChar w:fldCharType="begin"/>
        </w:r>
        <w:r w:rsidRPr="00397741">
          <w:rPr>
            <w:sz w:val="20"/>
            <w:szCs w:val="20"/>
          </w:rPr>
          <w:instrText>PAGE   \* MERGEFORMAT</w:instrText>
        </w:r>
        <w:r w:rsidRPr="00397741">
          <w:rPr>
            <w:sz w:val="20"/>
            <w:szCs w:val="20"/>
          </w:rPr>
          <w:fldChar w:fldCharType="separate"/>
        </w:r>
        <w:r w:rsidRPr="00397741">
          <w:rPr>
            <w:sz w:val="20"/>
            <w:szCs w:val="20"/>
          </w:rPr>
          <w:t>2</w:t>
        </w:r>
        <w:r w:rsidRPr="00397741">
          <w:rPr>
            <w:sz w:val="20"/>
            <w:szCs w:val="20"/>
          </w:rPr>
          <w:fldChar w:fldCharType="end"/>
        </w:r>
      </w:p>
    </w:sdtContent>
  </w:sdt>
  <w:p w14:paraId="315039F3" w14:textId="77777777" w:rsidR="00397741" w:rsidRDefault="003977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19F3" w14:textId="77777777" w:rsidR="004D3C30" w:rsidRDefault="004D3C30" w:rsidP="00C104CF">
      <w:pPr>
        <w:spacing w:after="0" w:line="240" w:lineRule="auto"/>
      </w:pPr>
      <w:r>
        <w:separator/>
      </w:r>
    </w:p>
  </w:footnote>
  <w:footnote w:type="continuationSeparator" w:id="0">
    <w:p w14:paraId="0018E4DB" w14:textId="77777777" w:rsidR="004D3C30" w:rsidRDefault="004D3C30" w:rsidP="00C104CF">
      <w:pPr>
        <w:spacing w:after="0" w:line="240" w:lineRule="auto"/>
      </w:pPr>
      <w:r>
        <w:continuationSeparator/>
      </w:r>
    </w:p>
  </w:footnote>
  <w:footnote w:id="1">
    <w:p w14:paraId="2323AC35" w14:textId="4A050BA4" w:rsidR="000F037D" w:rsidRDefault="000F037D">
      <w:pPr>
        <w:pStyle w:val="Textodenotaderodap"/>
      </w:pPr>
      <w:r>
        <w:rPr>
          <w:rStyle w:val="Refdenotaderodap"/>
        </w:rPr>
        <w:footnoteRef/>
      </w:r>
      <w:r>
        <w:t xml:space="preserve"> </w:t>
      </w:r>
      <w:r w:rsidR="00D75136">
        <w:t xml:space="preserve">Doutoranda em </w:t>
      </w:r>
      <w:r w:rsidR="000C6C17" w:rsidRPr="000C6C17">
        <w:t>Planejamento Regional e Gestão da Cidade</w:t>
      </w:r>
      <w:r w:rsidR="00CE458E">
        <w:t xml:space="preserve">. </w:t>
      </w:r>
      <w:proofErr w:type="spellStart"/>
      <w:r w:rsidR="00CE458E">
        <w:t>E-</w:t>
      </w:r>
      <w:proofErr w:type="gramStart"/>
      <w:r w:rsidR="00CE458E">
        <w:t>mal</w:t>
      </w:r>
      <w:proofErr w:type="spellEnd"/>
      <w:proofErr w:type="gramEnd"/>
      <w:r w:rsidR="00CE458E">
        <w:t xml:space="preserve">: </w:t>
      </w:r>
      <w:r w:rsidR="00CE458E" w:rsidRPr="00CE458E">
        <w:t>alexandramoreira.gomes@gmail.com</w:t>
      </w:r>
    </w:p>
  </w:footnote>
  <w:footnote w:id="2">
    <w:p w14:paraId="45E6F267" w14:textId="220D1430" w:rsidR="000C6C17" w:rsidRDefault="000C6C17">
      <w:pPr>
        <w:pStyle w:val="Textodenotaderodap"/>
      </w:pPr>
      <w:r>
        <w:rPr>
          <w:rStyle w:val="Refdenotaderodap"/>
        </w:rPr>
        <w:footnoteRef/>
      </w:r>
      <w:r>
        <w:t xml:space="preserve"> </w:t>
      </w:r>
      <w:proofErr w:type="spellStart"/>
      <w:r w:rsidR="00CE458E" w:rsidRPr="00CE458E">
        <w:t>Pós-doutora</w:t>
      </w:r>
      <w:proofErr w:type="spellEnd"/>
      <w:r w:rsidR="00CE458E" w:rsidRPr="00CE458E">
        <w:t xml:space="preserve"> em Planejamento Regional e Gestão da Cidade. Professora colaboradora na Universidade Candido Mendes. E-mail: geisa.marcilio@ucam-campos.br.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B16"/>
    <w:multiLevelType w:val="multilevel"/>
    <w:tmpl w:val="FD4C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93CAD"/>
    <w:multiLevelType w:val="multilevel"/>
    <w:tmpl w:val="10AE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4616D"/>
    <w:multiLevelType w:val="multilevel"/>
    <w:tmpl w:val="DE9E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81E53"/>
    <w:multiLevelType w:val="multilevel"/>
    <w:tmpl w:val="2416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E79E6"/>
    <w:multiLevelType w:val="multilevel"/>
    <w:tmpl w:val="8C6E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B13E4"/>
    <w:multiLevelType w:val="multilevel"/>
    <w:tmpl w:val="7E02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771299"/>
    <w:multiLevelType w:val="multilevel"/>
    <w:tmpl w:val="42E8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75404"/>
    <w:multiLevelType w:val="multilevel"/>
    <w:tmpl w:val="AE94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231FAF"/>
    <w:multiLevelType w:val="multilevel"/>
    <w:tmpl w:val="475A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974AC9"/>
    <w:multiLevelType w:val="multilevel"/>
    <w:tmpl w:val="812A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C4AEF"/>
    <w:multiLevelType w:val="multilevel"/>
    <w:tmpl w:val="CAD2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644E59"/>
    <w:multiLevelType w:val="multilevel"/>
    <w:tmpl w:val="DC3E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E1E8E"/>
    <w:multiLevelType w:val="multilevel"/>
    <w:tmpl w:val="D8BC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D5A22"/>
    <w:multiLevelType w:val="multilevel"/>
    <w:tmpl w:val="3166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83AE0"/>
    <w:multiLevelType w:val="multilevel"/>
    <w:tmpl w:val="A9D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AE1B58"/>
    <w:multiLevelType w:val="multilevel"/>
    <w:tmpl w:val="5414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853FFC"/>
    <w:multiLevelType w:val="multilevel"/>
    <w:tmpl w:val="C61C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C32613"/>
    <w:multiLevelType w:val="multilevel"/>
    <w:tmpl w:val="E4CC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C85831"/>
    <w:multiLevelType w:val="multilevel"/>
    <w:tmpl w:val="3062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F6534"/>
    <w:multiLevelType w:val="multilevel"/>
    <w:tmpl w:val="8260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E341EC"/>
    <w:multiLevelType w:val="multilevel"/>
    <w:tmpl w:val="6E448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7B5628"/>
    <w:multiLevelType w:val="multilevel"/>
    <w:tmpl w:val="10D2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4B30E4"/>
    <w:multiLevelType w:val="multilevel"/>
    <w:tmpl w:val="AE6C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BE13A6"/>
    <w:multiLevelType w:val="multilevel"/>
    <w:tmpl w:val="ECF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694C47"/>
    <w:multiLevelType w:val="multilevel"/>
    <w:tmpl w:val="E91E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216612">
    <w:abstractNumId w:val="4"/>
  </w:num>
  <w:num w:numId="2" w16cid:durableId="1871333653">
    <w:abstractNumId w:val="7"/>
  </w:num>
  <w:num w:numId="3" w16cid:durableId="2141267596">
    <w:abstractNumId w:val="20"/>
  </w:num>
  <w:num w:numId="4" w16cid:durableId="858349994">
    <w:abstractNumId w:val="1"/>
  </w:num>
  <w:num w:numId="5" w16cid:durableId="676735966">
    <w:abstractNumId w:val="22"/>
  </w:num>
  <w:num w:numId="6" w16cid:durableId="13769786">
    <w:abstractNumId w:val="8"/>
  </w:num>
  <w:num w:numId="7" w16cid:durableId="717243299">
    <w:abstractNumId w:val="2"/>
  </w:num>
  <w:num w:numId="8" w16cid:durableId="86073758">
    <w:abstractNumId w:val="23"/>
  </w:num>
  <w:num w:numId="9" w16cid:durableId="1771705990">
    <w:abstractNumId w:val="6"/>
  </w:num>
  <w:num w:numId="10" w16cid:durableId="1955288242">
    <w:abstractNumId w:val="11"/>
  </w:num>
  <w:num w:numId="11" w16cid:durableId="1788042563">
    <w:abstractNumId w:val="19"/>
  </w:num>
  <w:num w:numId="12" w16cid:durableId="458765937">
    <w:abstractNumId w:val="3"/>
  </w:num>
  <w:num w:numId="13" w16cid:durableId="1963227809">
    <w:abstractNumId w:val="13"/>
  </w:num>
  <w:num w:numId="14" w16cid:durableId="1408501198">
    <w:abstractNumId w:val="15"/>
  </w:num>
  <w:num w:numId="15" w16cid:durableId="1215627405">
    <w:abstractNumId w:val="14"/>
  </w:num>
  <w:num w:numId="16" w16cid:durableId="991635381">
    <w:abstractNumId w:val="10"/>
  </w:num>
  <w:num w:numId="17" w16cid:durableId="1085954850">
    <w:abstractNumId w:val="0"/>
  </w:num>
  <w:num w:numId="18" w16cid:durableId="1522695167">
    <w:abstractNumId w:val="21"/>
  </w:num>
  <w:num w:numId="19" w16cid:durableId="1640377140">
    <w:abstractNumId w:val="12"/>
  </w:num>
  <w:num w:numId="20" w16cid:durableId="1038974512">
    <w:abstractNumId w:val="9"/>
  </w:num>
  <w:num w:numId="21" w16cid:durableId="2111922881">
    <w:abstractNumId w:val="16"/>
  </w:num>
  <w:num w:numId="22" w16cid:durableId="1286087013">
    <w:abstractNumId w:val="18"/>
  </w:num>
  <w:num w:numId="23" w16cid:durableId="184707986">
    <w:abstractNumId w:val="17"/>
  </w:num>
  <w:num w:numId="24" w16cid:durableId="1084107930">
    <w:abstractNumId w:val="24"/>
  </w:num>
  <w:num w:numId="25" w16cid:durableId="18935367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B3"/>
    <w:rsid w:val="00023192"/>
    <w:rsid w:val="00034C03"/>
    <w:rsid w:val="00047E92"/>
    <w:rsid w:val="00061950"/>
    <w:rsid w:val="00063E12"/>
    <w:rsid w:val="00066601"/>
    <w:rsid w:val="00067DA0"/>
    <w:rsid w:val="00072674"/>
    <w:rsid w:val="000B384F"/>
    <w:rsid w:val="000C6C17"/>
    <w:rsid w:val="000E41A8"/>
    <w:rsid w:val="000F037D"/>
    <w:rsid w:val="00100492"/>
    <w:rsid w:val="001609FD"/>
    <w:rsid w:val="00162245"/>
    <w:rsid w:val="001A518F"/>
    <w:rsid w:val="001C1B66"/>
    <w:rsid w:val="00201557"/>
    <w:rsid w:val="00201DA3"/>
    <w:rsid w:val="002244FE"/>
    <w:rsid w:val="002634C0"/>
    <w:rsid w:val="00330653"/>
    <w:rsid w:val="003468FC"/>
    <w:rsid w:val="0034767A"/>
    <w:rsid w:val="00353458"/>
    <w:rsid w:val="00397741"/>
    <w:rsid w:val="003A1C29"/>
    <w:rsid w:val="003E1010"/>
    <w:rsid w:val="003F4ABC"/>
    <w:rsid w:val="0044404F"/>
    <w:rsid w:val="00447D47"/>
    <w:rsid w:val="00450669"/>
    <w:rsid w:val="004C00C9"/>
    <w:rsid w:val="004D3C30"/>
    <w:rsid w:val="0054642F"/>
    <w:rsid w:val="00561A85"/>
    <w:rsid w:val="005B1407"/>
    <w:rsid w:val="005D6AC7"/>
    <w:rsid w:val="00653C8D"/>
    <w:rsid w:val="00672E36"/>
    <w:rsid w:val="00686143"/>
    <w:rsid w:val="006C1C33"/>
    <w:rsid w:val="00705A0A"/>
    <w:rsid w:val="007156BC"/>
    <w:rsid w:val="0072458D"/>
    <w:rsid w:val="00736B08"/>
    <w:rsid w:val="00741690"/>
    <w:rsid w:val="00751049"/>
    <w:rsid w:val="007B1015"/>
    <w:rsid w:val="007C7CB3"/>
    <w:rsid w:val="007D1B8D"/>
    <w:rsid w:val="0084706B"/>
    <w:rsid w:val="00871745"/>
    <w:rsid w:val="008A58D2"/>
    <w:rsid w:val="008F53E2"/>
    <w:rsid w:val="00902892"/>
    <w:rsid w:val="009273A1"/>
    <w:rsid w:val="00964FD4"/>
    <w:rsid w:val="009671DD"/>
    <w:rsid w:val="0099515E"/>
    <w:rsid w:val="009A3F1C"/>
    <w:rsid w:val="009C2B72"/>
    <w:rsid w:val="009D1CB1"/>
    <w:rsid w:val="009F12BA"/>
    <w:rsid w:val="00A24526"/>
    <w:rsid w:val="00A37F35"/>
    <w:rsid w:val="00AB67D7"/>
    <w:rsid w:val="00B31838"/>
    <w:rsid w:val="00B615F8"/>
    <w:rsid w:val="00B634A6"/>
    <w:rsid w:val="00B7184C"/>
    <w:rsid w:val="00B75A45"/>
    <w:rsid w:val="00B97818"/>
    <w:rsid w:val="00BA76E4"/>
    <w:rsid w:val="00BB64AC"/>
    <w:rsid w:val="00BC6E90"/>
    <w:rsid w:val="00BE36C4"/>
    <w:rsid w:val="00C03D19"/>
    <w:rsid w:val="00C104CF"/>
    <w:rsid w:val="00C434A8"/>
    <w:rsid w:val="00C7781F"/>
    <w:rsid w:val="00C83F6F"/>
    <w:rsid w:val="00C97A81"/>
    <w:rsid w:val="00CD5062"/>
    <w:rsid w:val="00CE08EA"/>
    <w:rsid w:val="00CE458E"/>
    <w:rsid w:val="00CE5731"/>
    <w:rsid w:val="00D039CE"/>
    <w:rsid w:val="00D57CD2"/>
    <w:rsid w:val="00D75136"/>
    <w:rsid w:val="00DC0930"/>
    <w:rsid w:val="00DF1444"/>
    <w:rsid w:val="00E3660E"/>
    <w:rsid w:val="00E90643"/>
    <w:rsid w:val="00EA1E10"/>
    <w:rsid w:val="00EB4D7C"/>
    <w:rsid w:val="00EC0F5A"/>
    <w:rsid w:val="00EF4023"/>
    <w:rsid w:val="00F41ABB"/>
    <w:rsid w:val="00F53016"/>
    <w:rsid w:val="00F66AA1"/>
    <w:rsid w:val="00FA4995"/>
    <w:rsid w:val="00FD7BF8"/>
    <w:rsid w:val="00FE37B7"/>
    <w:rsid w:val="00FF48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23B6"/>
  <w15:chartTrackingRefBased/>
  <w15:docId w15:val="{0CB13FA6-9524-4CAE-8134-D3CBA648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C7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C7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C7C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7C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7C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7C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7C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7C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7CB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C7CB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C7CB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C7CB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C7CB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C7CB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C7CB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C7CB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C7CB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C7CB3"/>
    <w:rPr>
      <w:rFonts w:eastAsiaTheme="majorEastAsia" w:cstheme="majorBidi"/>
      <w:color w:val="272727" w:themeColor="text1" w:themeTint="D8"/>
    </w:rPr>
  </w:style>
  <w:style w:type="paragraph" w:styleId="Ttulo">
    <w:name w:val="Title"/>
    <w:basedOn w:val="Normal"/>
    <w:next w:val="Normal"/>
    <w:link w:val="TtuloChar"/>
    <w:uiPriority w:val="10"/>
    <w:qFormat/>
    <w:rsid w:val="007C7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C7C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C7CB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C7CB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7CB3"/>
    <w:pPr>
      <w:spacing w:before="160"/>
      <w:jc w:val="center"/>
    </w:pPr>
    <w:rPr>
      <w:i/>
      <w:iCs/>
      <w:color w:val="404040" w:themeColor="text1" w:themeTint="BF"/>
    </w:rPr>
  </w:style>
  <w:style w:type="character" w:customStyle="1" w:styleId="CitaoChar">
    <w:name w:val="Citação Char"/>
    <w:basedOn w:val="Fontepargpadro"/>
    <w:link w:val="Citao"/>
    <w:uiPriority w:val="29"/>
    <w:rsid w:val="007C7CB3"/>
    <w:rPr>
      <w:i/>
      <w:iCs/>
      <w:color w:val="404040" w:themeColor="text1" w:themeTint="BF"/>
    </w:rPr>
  </w:style>
  <w:style w:type="paragraph" w:styleId="PargrafodaLista">
    <w:name w:val="List Paragraph"/>
    <w:basedOn w:val="Normal"/>
    <w:uiPriority w:val="34"/>
    <w:qFormat/>
    <w:rsid w:val="007C7CB3"/>
    <w:pPr>
      <w:ind w:left="720"/>
      <w:contextualSpacing/>
    </w:pPr>
  </w:style>
  <w:style w:type="character" w:styleId="nfaseIntensa">
    <w:name w:val="Intense Emphasis"/>
    <w:basedOn w:val="Fontepargpadro"/>
    <w:uiPriority w:val="21"/>
    <w:qFormat/>
    <w:rsid w:val="007C7CB3"/>
    <w:rPr>
      <w:i/>
      <w:iCs/>
      <w:color w:val="0F4761" w:themeColor="accent1" w:themeShade="BF"/>
    </w:rPr>
  </w:style>
  <w:style w:type="paragraph" w:styleId="CitaoIntensa">
    <w:name w:val="Intense Quote"/>
    <w:basedOn w:val="Normal"/>
    <w:next w:val="Normal"/>
    <w:link w:val="CitaoIntensaChar"/>
    <w:uiPriority w:val="30"/>
    <w:qFormat/>
    <w:rsid w:val="007C7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C7CB3"/>
    <w:rPr>
      <w:i/>
      <w:iCs/>
      <w:color w:val="0F4761" w:themeColor="accent1" w:themeShade="BF"/>
    </w:rPr>
  </w:style>
  <w:style w:type="character" w:styleId="RefernciaIntensa">
    <w:name w:val="Intense Reference"/>
    <w:basedOn w:val="Fontepargpadro"/>
    <w:uiPriority w:val="32"/>
    <w:qFormat/>
    <w:rsid w:val="007C7CB3"/>
    <w:rPr>
      <w:b/>
      <w:bCs/>
      <w:smallCaps/>
      <w:color w:val="0F4761" w:themeColor="accent1" w:themeShade="BF"/>
      <w:spacing w:val="5"/>
    </w:rPr>
  </w:style>
  <w:style w:type="character" w:styleId="Hyperlink">
    <w:name w:val="Hyperlink"/>
    <w:basedOn w:val="Fontepargpadro"/>
    <w:uiPriority w:val="99"/>
    <w:unhideWhenUsed/>
    <w:rsid w:val="00063E12"/>
    <w:rPr>
      <w:color w:val="467886" w:themeColor="hyperlink"/>
      <w:u w:val="single"/>
    </w:rPr>
  </w:style>
  <w:style w:type="character" w:styleId="MenoPendente">
    <w:name w:val="Unresolved Mention"/>
    <w:basedOn w:val="Fontepargpadro"/>
    <w:uiPriority w:val="99"/>
    <w:semiHidden/>
    <w:unhideWhenUsed/>
    <w:rsid w:val="00063E12"/>
    <w:rPr>
      <w:color w:val="605E5C"/>
      <w:shd w:val="clear" w:color="auto" w:fill="E1DFDD"/>
    </w:rPr>
  </w:style>
  <w:style w:type="table" w:styleId="Tabelacomgrade">
    <w:name w:val="Table Grid"/>
    <w:basedOn w:val="Tabelanormal"/>
    <w:uiPriority w:val="39"/>
    <w:rsid w:val="00447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5">
    <w:name w:val="Plain Table 5"/>
    <w:basedOn w:val="Tabelanormal"/>
    <w:uiPriority w:val="45"/>
    <w:rsid w:val="00447D4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mples4">
    <w:name w:val="Plain Table 4"/>
    <w:basedOn w:val="Tabelanormal"/>
    <w:uiPriority w:val="44"/>
    <w:rsid w:val="00447D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3">
    <w:name w:val="Grid Table 3"/>
    <w:basedOn w:val="Tabelanormal"/>
    <w:uiPriority w:val="48"/>
    <w:rsid w:val="00447D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Refdecomentrio">
    <w:name w:val="annotation reference"/>
    <w:basedOn w:val="Fontepargpadro"/>
    <w:uiPriority w:val="99"/>
    <w:semiHidden/>
    <w:unhideWhenUsed/>
    <w:rsid w:val="003E1010"/>
    <w:rPr>
      <w:sz w:val="16"/>
      <w:szCs w:val="16"/>
    </w:rPr>
  </w:style>
  <w:style w:type="paragraph" w:styleId="Textodecomentrio">
    <w:name w:val="annotation text"/>
    <w:basedOn w:val="Normal"/>
    <w:link w:val="TextodecomentrioChar"/>
    <w:uiPriority w:val="99"/>
    <w:unhideWhenUsed/>
    <w:rsid w:val="003E1010"/>
    <w:pPr>
      <w:spacing w:line="240" w:lineRule="auto"/>
    </w:pPr>
    <w:rPr>
      <w:sz w:val="20"/>
      <w:szCs w:val="20"/>
    </w:rPr>
  </w:style>
  <w:style w:type="character" w:customStyle="1" w:styleId="TextodecomentrioChar">
    <w:name w:val="Texto de comentário Char"/>
    <w:basedOn w:val="Fontepargpadro"/>
    <w:link w:val="Textodecomentrio"/>
    <w:uiPriority w:val="99"/>
    <w:rsid w:val="003E1010"/>
    <w:rPr>
      <w:sz w:val="20"/>
      <w:szCs w:val="20"/>
    </w:rPr>
  </w:style>
  <w:style w:type="paragraph" w:styleId="Assuntodocomentrio">
    <w:name w:val="annotation subject"/>
    <w:basedOn w:val="Textodecomentrio"/>
    <w:next w:val="Textodecomentrio"/>
    <w:link w:val="AssuntodocomentrioChar"/>
    <w:uiPriority w:val="99"/>
    <w:semiHidden/>
    <w:unhideWhenUsed/>
    <w:rsid w:val="003E1010"/>
    <w:rPr>
      <w:b/>
      <w:bCs/>
    </w:rPr>
  </w:style>
  <w:style w:type="character" w:customStyle="1" w:styleId="AssuntodocomentrioChar">
    <w:name w:val="Assunto do comentário Char"/>
    <w:basedOn w:val="TextodecomentrioChar"/>
    <w:link w:val="Assuntodocomentrio"/>
    <w:uiPriority w:val="99"/>
    <w:semiHidden/>
    <w:rsid w:val="003E1010"/>
    <w:rPr>
      <w:b/>
      <w:bCs/>
      <w:sz w:val="20"/>
      <w:szCs w:val="20"/>
    </w:rPr>
  </w:style>
  <w:style w:type="paragraph" w:styleId="Reviso">
    <w:name w:val="Revision"/>
    <w:hidden/>
    <w:uiPriority w:val="99"/>
    <w:semiHidden/>
    <w:rsid w:val="003E1010"/>
    <w:pPr>
      <w:spacing w:after="0" w:line="240" w:lineRule="auto"/>
    </w:pPr>
  </w:style>
  <w:style w:type="paragraph" w:styleId="Legenda">
    <w:name w:val="caption"/>
    <w:basedOn w:val="Normal"/>
    <w:next w:val="Normal"/>
    <w:uiPriority w:val="35"/>
    <w:unhideWhenUsed/>
    <w:qFormat/>
    <w:rsid w:val="00B75A45"/>
    <w:pPr>
      <w:spacing w:after="200" w:line="240" w:lineRule="auto"/>
    </w:pPr>
    <w:rPr>
      <w:i/>
      <w:iCs/>
      <w:color w:val="0E2841" w:themeColor="text2"/>
      <w:sz w:val="18"/>
      <w:szCs w:val="18"/>
    </w:rPr>
  </w:style>
  <w:style w:type="paragraph" w:styleId="Cabealho">
    <w:name w:val="header"/>
    <w:basedOn w:val="Normal"/>
    <w:link w:val="CabealhoChar"/>
    <w:uiPriority w:val="99"/>
    <w:unhideWhenUsed/>
    <w:rsid w:val="00C104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04CF"/>
  </w:style>
  <w:style w:type="paragraph" w:styleId="Rodap">
    <w:name w:val="footer"/>
    <w:basedOn w:val="Normal"/>
    <w:link w:val="RodapChar"/>
    <w:uiPriority w:val="99"/>
    <w:unhideWhenUsed/>
    <w:rsid w:val="00C104CF"/>
    <w:pPr>
      <w:tabs>
        <w:tab w:val="center" w:pos="4252"/>
        <w:tab w:val="right" w:pos="8504"/>
      </w:tabs>
      <w:spacing w:after="0" w:line="240" w:lineRule="auto"/>
    </w:pPr>
  </w:style>
  <w:style w:type="character" w:customStyle="1" w:styleId="RodapChar">
    <w:name w:val="Rodapé Char"/>
    <w:basedOn w:val="Fontepargpadro"/>
    <w:link w:val="Rodap"/>
    <w:uiPriority w:val="99"/>
    <w:rsid w:val="00C104CF"/>
  </w:style>
  <w:style w:type="paragraph" w:styleId="Textodenotaderodap">
    <w:name w:val="footnote text"/>
    <w:basedOn w:val="Normal"/>
    <w:link w:val="TextodenotaderodapChar"/>
    <w:uiPriority w:val="99"/>
    <w:semiHidden/>
    <w:unhideWhenUsed/>
    <w:rsid w:val="000F03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F037D"/>
    <w:rPr>
      <w:sz w:val="20"/>
      <w:szCs w:val="20"/>
    </w:rPr>
  </w:style>
  <w:style w:type="character" w:styleId="Refdenotaderodap">
    <w:name w:val="footnote reference"/>
    <w:basedOn w:val="Fontepargpadro"/>
    <w:uiPriority w:val="99"/>
    <w:semiHidden/>
    <w:unhideWhenUsed/>
    <w:rsid w:val="000F03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6101</Words>
  <Characters>36752</Characters>
  <Application>Microsoft Office Word</Application>
  <DocSecurity>0</DocSecurity>
  <Lines>627</Lines>
  <Paragraphs>185</Paragraphs>
  <ScaleCrop>false</ScaleCrop>
  <Company/>
  <LinksUpToDate>false</LinksUpToDate>
  <CharactersWithSpaces>42698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Gustavo Albuquerque</cp:lastModifiedBy>
  <cp:revision>11</cp:revision>
  <cp:lastPrinted>2025-10-14T18:58:00Z</cp:lastPrinted>
  <dcterms:created xsi:type="dcterms:W3CDTF">2025-10-14T18:52:00Z</dcterms:created>
  <dcterms:modified xsi:type="dcterms:W3CDTF">2025-10-14T19:07:00Z</dcterms:modified>
</cp:coreProperties>
</file>