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CA73BB" w14:textId="2D8D829C" w:rsidR="00235886" w:rsidRPr="00D07BC9" w:rsidRDefault="00EC33AE" w:rsidP="00470B8D">
      <w:pPr>
        <w:pStyle w:val="IDpaper-Title"/>
        <w:widowControl/>
        <w:ind w:left="0" w:firstLine="0"/>
        <w:jc w:val="center"/>
        <w:rPr>
          <w:rFonts w:cs="Arial"/>
          <w:sz w:val="16"/>
          <w:szCs w:val="16"/>
          <w:lang w:val="pt-BR"/>
        </w:rPr>
      </w:pPr>
      <w:bookmarkStart w:id="0" w:name="_Hlk120915664"/>
      <w:r w:rsidRPr="00D07BC9">
        <w:rPr>
          <w:rFonts w:cs="Arial"/>
          <w:szCs w:val="24"/>
          <w:lang w:val="pt-BR"/>
        </w:rPr>
        <w:t xml:space="preserve">Eixo Temático: </w:t>
      </w:r>
      <w:bookmarkEnd w:id="0"/>
      <w:r w:rsidR="00B85ED2" w:rsidRPr="00A851EB">
        <w:rPr>
          <w:rFonts w:cs="Arial"/>
          <w:color w:val="0070C0"/>
          <w:szCs w:val="24"/>
          <w:lang w:val="pt-BR"/>
        </w:rPr>
        <w:t>GT3 – Planejamento urbano, direito à cidade e inclusão social</w:t>
      </w:r>
    </w:p>
    <w:p w14:paraId="7DA5E7FF" w14:textId="77777777" w:rsidR="005C0B55" w:rsidRDefault="005C0B55" w:rsidP="000F0604"/>
    <w:p w14:paraId="44F6E2B3" w14:textId="5636B2DD" w:rsidR="00B12650" w:rsidRPr="00754EC6" w:rsidRDefault="00E366A0" w:rsidP="00754EC6">
      <w:pPr>
        <w:pStyle w:val="IDpaper-Title"/>
        <w:widowControl/>
        <w:ind w:left="0" w:firstLine="0"/>
        <w:jc w:val="center"/>
        <w:rPr>
          <w:rFonts w:cs="Arial"/>
          <w:sz w:val="28"/>
          <w:szCs w:val="32"/>
          <w:lang w:val="pt-BR"/>
        </w:rPr>
      </w:pPr>
      <w:r w:rsidRPr="00E366A0">
        <w:rPr>
          <w:rFonts w:cs="Arial"/>
          <w:sz w:val="28"/>
          <w:szCs w:val="32"/>
          <w:lang w:val="pt-BR"/>
        </w:rPr>
        <w:t>Da Casa à Cidadania: Desafios da Inclusão Urbana</w:t>
      </w:r>
      <w:r w:rsidR="00754EC6">
        <w:rPr>
          <w:rFonts w:cs="Arial"/>
          <w:sz w:val="28"/>
          <w:szCs w:val="32"/>
          <w:lang w:val="pt-BR"/>
        </w:rPr>
        <w:br/>
      </w:r>
      <w:r w:rsidRPr="00754EC6">
        <w:rPr>
          <w:rFonts w:cs="Arial"/>
          <w:sz w:val="28"/>
          <w:szCs w:val="32"/>
          <w:lang w:val="pt-BR"/>
        </w:rPr>
        <w:t>em Campos dos Goytacazes/RJ</w:t>
      </w:r>
    </w:p>
    <w:p w14:paraId="38BA8FD3" w14:textId="77777777" w:rsidR="000F0604" w:rsidRPr="00754EC6" w:rsidRDefault="000F0604" w:rsidP="000F0604"/>
    <w:p w14:paraId="672F8908" w14:textId="62A0953A" w:rsidR="00B12650" w:rsidRDefault="00754EC6" w:rsidP="00754EC6">
      <w:pPr>
        <w:pStyle w:val="IDpaper-Title"/>
        <w:widowControl/>
        <w:ind w:left="0" w:firstLine="0"/>
        <w:jc w:val="center"/>
        <w:rPr>
          <w:rFonts w:cs="Arial"/>
          <w:b w:val="0"/>
          <w:bCs/>
          <w:i/>
          <w:iCs/>
          <w:szCs w:val="28"/>
          <w:lang w:val="en-US"/>
        </w:rPr>
      </w:pPr>
      <w:bookmarkStart w:id="1" w:name="_Hlk131925215"/>
      <w:r w:rsidRPr="00754EC6">
        <w:rPr>
          <w:rFonts w:cs="Arial"/>
          <w:b w:val="0"/>
          <w:bCs/>
          <w:i/>
          <w:iCs/>
          <w:szCs w:val="28"/>
          <w:lang w:val="en-US"/>
        </w:rPr>
        <w:t>From Home to Citizenship: Challenges of Urban Inclusion</w:t>
      </w:r>
      <w:r>
        <w:rPr>
          <w:rFonts w:cs="Arial"/>
          <w:b w:val="0"/>
          <w:bCs/>
          <w:i/>
          <w:iCs/>
          <w:szCs w:val="28"/>
          <w:lang w:val="en-US"/>
        </w:rPr>
        <w:br/>
      </w:r>
      <w:r w:rsidRPr="00754EC6">
        <w:rPr>
          <w:rFonts w:cs="Arial"/>
          <w:b w:val="0"/>
          <w:bCs/>
          <w:i/>
          <w:iCs/>
          <w:szCs w:val="28"/>
          <w:lang w:val="en-US"/>
        </w:rPr>
        <w:t xml:space="preserve">in </w:t>
      </w:r>
      <w:r w:rsidR="00DC4673" w:rsidRPr="00DC4673">
        <w:rPr>
          <w:rFonts w:cs="Arial"/>
          <w:b w:val="0"/>
          <w:bCs/>
          <w:i/>
          <w:iCs/>
          <w:szCs w:val="28"/>
          <w:lang w:val="en-US"/>
        </w:rPr>
        <w:t xml:space="preserve">Campos dos </w:t>
      </w:r>
      <w:proofErr w:type="spellStart"/>
      <w:r w:rsidR="00DC4673" w:rsidRPr="00DC4673">
        <w:rPr>
          <w:rFonts w:cs="Arial"/>
          <w:b w:val="0"/>
          <w:bCs/>
          <w:i/>
          <w:iCs/>
          <w:szCs w:val="28"/>
          <w:lang w:val="en-US"/>
        </w:rPr>
        <w:t>Goytacazes</w:t>
      </w:r>
      <w:proofErr w:type="spellEnd"/>
      <w:r w:rsidR="00DC4673">
        <w:rPr>
          <w:rFonts w:cs="Arial"/>
          <w:b w:val="0"/>
          <w:bCs/>
          <w:i/>
          <w:iCs/>
          <w:szCs w:val="28"/>
          <w:lang w:val="en-US"/>
        </w:rPr>
        <w:t>/RJ</w:t>
      </w:r>
      <w:r w:rsidR="00DC4673" w:rsidRPr="00DC4673">
        <w:rPr>
          <w:rFonts w:cs="Arial"/>
          <w:b w:val="0"/>
          <w:bCs/>
          <w:i/>
          <w:iCs/>
          <w:szCs w:val="28"/>
          <w:lang w:val="en-US"/>
        </w:rPr>
        <w:t>, Brazil</w:t>
      </w:r>
    </w:p>
    <w:p w14:paraId="5461985C" w14:textId="77777777" w:rsidR="00754EC6" w:rsidRPr="00D07BC9" w:rsidRDefault="00754EC6" w:rsidP="00754EC6">
      <w:pPr>
        <w:rPr>
          <w:lang w:val="en-US"/>
        </w:rPr>
      </w:pPr>
    </w:p>
    <w:bookmarkEnd w:id="1"/>
    <w:p w14:paraId="6A467ECA" w14:textId="3E224E60" w:rsidR="00D12011" w:rsidRPr="00D45394" w:rsidRDefault="00D07BC9" w:rsidP="00D45394">
      <w:pPr>
        <w:spacing w:line="240" w:lineRule="auto"/>
        <w:jc w:val="right"/>
        <w:rPr>
          <w:sz w:val="18"/>
          <w:szCs w:val="18"/>
        </w:rPr>
      </w:pPr>
      <w:r w:rsidRPr="00D45394">
        <w:rPr>
          <w:sz w:val="18"/>
          <w:szCs w:val="18"/>
        </w:rPr>
        <w:t>Karina Monteiro Melo</w:t>
      </w:r>
      <w:r w:rsidR="00D12011" w:rsidRPr="00D45394">
        <w:rPr>
          <w:rStyle w:val="Refdenotaderodap"/>
          <w:rFonts w:cs="Arial"/>
          <w:sz w:val="18"/>
          <w:szCs w:val="18"/>
        </w:rPr>
        <w:footnoteReference w:id="1"/>
      </w:r>
    </w:p>
    <w:p w14:paraId="3C850F95" w14:textId="5D6BA7D0" w:rsidR="00D12011" w:rsidRPr="00D45394" w:rsidRDefault="00DC4673" w:rsidP="00D45394">
      <w:pPr>
        <w:spacing w:line="240" w:lineRule="auto"/>
        <w:jc w:val="right"/>
        <w:rPr>
          <w:sz w:val="18"/>
          <w:szCs w:val="18"/>
        </w:rPr>
      </w:pPr>
      <w:r w:rsidRPr="00D45394">
        <w:rPr>
          <w:sz w:val="18"/>
          <w:szCs w:val="18"/>
        </w:rPr>
        <w:t xml:space="preserve">José </w:t>
      </w:r>
      <w:proofErr w:type="spellStart"/>
      <w:r w:rsidRPr="00D45394">
        <w:rPr>
          <w:sz w:val="18"/>
          <w:szCs w:val="18"/>
        </w:rPr>
        <w:t>Luis</w:t>
      </w:r>
      <w:proofErr w:type="spellEnd"/>
      <w:r w:rsidRPr="00D45394">
        <w:rPr>
          <w:sz w:val="18"/>
          <w:szCs w:val="18"/>
        </w:rPr>
        <w:t xml:space="preserve"> Vianna da Cruz</w:t>
      </w:r>
      <w:r w:rsidR="00D12011" w:rsidRPr="00D45394">
        <w:rPr>
          <w:rStyle w:val="Refdenotaderodap"/>
          <w:rFonts w:cs="Arial"/>
          <w:sz w:val="18"/>
          <w:szCs w:val="18"/>
        </w:rPr>
        <w:footnoteReference w:id="2"/>
      </w:r>
    </w:p>
    <w:p w14:paraId="2F20127C" w14:textId="77777777" w:rsidR="00DC4673" w:rsidRPr="00D07BC9" w:rsidRDefault="00DC4673" w:rsidP="00572B42"/>
    <w:p w14:paraId="48E0BCE3" w14:textId="73671047" w:rsidR="00506622" w:rsidRPr="00A851EB" w:rsidRDefault="00506622" w:rsidP="00C82161">
      <w:pPr>
        <w:pStyle w:val="IDpaper-Title"/>
        <w:spacing w:line="240" w:lineRule="auto"/>
        <w:ind w:left="0" w:firstLine="0"/>
        <w:rPr>
          <w:rFonts w:cs="Arial"/>
          <w:bCs/>
          <w:kern w:val="0"/>
          <w:sz w:val="20"/>
          <w:lang w:val="pt-BR" w:eastAsia="pt-BR"/>
        </w:rPr>
      </w:pPr>
      <w:r w:rsidRPr="00A851EB">
        <w:rPr>
          <w:rFonts w:cs="Arial"/>
          <w:bCs/>
          <w:kern w:val="0"/>
          <w:sz w:val="20"/>
          <w:lang w:val="pt-BR" w:eastAsia="pt-BR"/>
        </w:rPr>
        <w:t>RESUMO</w:t>
      </w:r>
    </w:p>
    <w:p w14:paraId="3053CDF7" w14:textId="039D0945" w:rsidR="005E680B" w:rsidRDefault="00101030" w:rsidP="00BD3E2B">
      <w:pPr>
        <w:autoSpaceDE w:val="0"/>
        <w:autoSpaceDN w:val="0"/>
        <w:adjustRightInd w:val="0"/>
        <w:spacing w:line="240" w:lineRule="auto"/>
        <w:ind w:firstLine="0"/>
        <w:rPr>
          <w:lang w:val="pt-PT"/>
        </w:rPr>
      </w:pPr>
      <w:r w:rsidRPr="00101030">
        <w:rPr>
          <w:rFonts w:cs="Arial"/>
          <w:sz w:val="20"/>
          <w:szCs w:val="20"/>
        </w:rPr>
        <w:t xml:space="preserve">O objetivo </w:t>
      </w:r>
      <w:r w:rsidR="005C0B55">
        <w:rPr>
          <w:rFonts w:cs="Arial"/>
          <w:sz w:val="20"/>
          <w:szCs w:val="20"/>
        </w:rPr>
        <w:t>n</w:t>
      </w:r>
      <w:r w:rsidRPr="00101030">
        <w:rPr>
          <w:rFonts w:cs="Arial"/>
          <w:sz w:val="20"/>
          <w:szCs w:val="20"/>
        </w:rPr>
        <w:t xml:space="preserve">este trabalho é </w:t>
      </w:r>
      <w:r w:rsidR="00FD5FDE" w:rsidRPr="00FD5FDE">
        <w:rPr>
          <w:rFonts w:cs="Arial"/>
          <w:sz w:val="20"/>
          <w:szCs w:val="20"/>
        </w:rPr>
        <w:t>analisa</w:t>
      </w:r>
      <w:r w:rsidR="00FD5FDE">
        <w:rPr>
          <w:rFonts w:cs="Arial"/>
          <w:sz w:val="20"/>
          <w:szCs w:val="20"/>
        </w:rPr>
        <w:t>r</w:t>
      </w:r>
      <w:r w:rsidR="00FD5FDE" w:rsidRPr="00FD5FDE">
        <w:rPr>
          <w:rFonts w:cs="Arial"/>
          <w:sz w:val="20"/>
          <w:szCs w:val="20"/>
        </w:rPr>
        <w:t xml:space="preserve"> as relações críticas entre Habitação de Interesse Social (HIS), direito à cidade e mobilidade urbana no município de Campos dos Goytacazes/RJ. </w:t>
      </w:r>
      <w:r w:rsidR="0094372E" w:rsidRPr="0094372E">
        <w:rPr>
          <w:rFonts w:cs="Arial"/>
          <w:sz w:val="20"/>
          <w:szCs w:val="20"/>
        </w:rPr>
        <w:t>A pesquisa parte do pressuposto que a localização da moradia impacta diretamente o exercício do direito à cidade, entendido como as condições de reprodução da vida e de compartilhamento do espaço urbano. A base teórica considera a cidade como produto e condição das relações capitalistas, materializando um planejamento urbano subordinado à lógica neoliberal, aos interesses do mercado e das elites, o que aprofunda desigualdades e legitima a segregação socioespacial.</w:t>
      </w:r>
      <w:r w:rsidR="0094372E">
        <w:rPr>
          <w:rFonts w:cs="Arial"/>
          <w:sz w:val="20"/>
          <w:szCs w:val="20"/>
        </w:rPr>
        <w:t xml:space="preserve"> </w:t>
      </w:r>
      <w:r w:rsidR="0094372E" w:rsidRPr="0094372E">
        <w:rPr>
          <w:rFonts w:cs="Arial"/>
          <w:sz w:val="20"/>
          <w:szCs w:val="20"/>
        </w:rPr>
        <w:t xml:space="preserve">O objetivo central é compreender </w:t>
      </w:r>
      <w:r w:rsidR="0094372E" w:rsidRPr="0094372E">
        <w:rPr>
          <w:rFonts w:cs="Arial"/>
          <w:i/>
          <w:iCs/>
          <w:sz w:val="20"/>
          <w:szCs w:val="20"/>
        </w:rPr>
        <w:t>se</w:t>
      </w:r>
      <w:r w:rsidR="0094372E" w:rsidRPr="0094372E">
        <w:rPr>
          <w:rFonts w:cs="Arial"/>
          <w:sz w:val="20"/>
          <w:szCs w:val="20"/>
        </w:rPr>
        <w:t xml:space="preserve"> </w:t>
      </w:r>
      <w:proofErr w:type="gramStart"/>
      <w:r w:rsidR="0094372E" w:rsidRPr="0094372E">
        <w:rPr>
          <w:rFonts w:cs="Arial"/>
          <w:sz w:val="20"/>
          <w:szCs w:val="20"/>
        </w:rPr>
        <w:t>e</w:t>
      </w:r>
      <w:proofErr w:type="gramEnd"/>
      <w:r w:rsidR="0094372E" w:rsidRPr="0094372E">
        <w:rPr>
          <w:rFonts w:cs="Arial"/>
          <w:sz w:val="20"/>
          <w:szCs w:val="20"/>
        </w:rPr>
        <w:t xml:space="preserve"> </w:t>
      </w:r>
      <w:r w:rsidR="0094372E" w:rsidRPr="0094372E">
        <w:rPr>
          <w:rFonts w:cs="Arial"/>
          <w:i/>
          <w:iCs/>
          <w:sz w:val="20"/>
          <w:szCs w:val="20"/>
        </w:rPr>
        <w:t>como</w:t>
      </w:r>
      <w:r w:rsidR="0094372E" w:rsidRPr="0094372E">
        <w:rPr>
          <w:rFonts w:cs="Arial"/>
          <w:sz w:val="20"/>
          <w:szCs w:val="20"/>
        </w:rPr>
        <w:t xml:space="preserve"> os moradores dos conjuntos habitacionais de baixa renda — particularmente dos programas Morar Feliz e PMCMV-Faixa 1 — acessam as múltiplas centralidades urbanas campistas por meio do transporte coletivo. O município de Campos dos Goytacazes, de grande extensão territorial, apresenta forte segregação socioespacial e implantação periférica dos conjuntos habitacionais, apesar de possuir diversas centralidades (como Centro Histórico, Av. Pelinca e Av. 28 de Março).</w:t>
      </w:r>
      <w:r w:rsidR="0094372E">
        <w:rPr>
          <w:rFonts w:cs="Arial"/>
          <w:sz w:val="20"/>
          <w:szCs w:val="20"/>
        </w:rPr>
        <w:t xml:space="preserve"> </w:t>
      </w:r>
      <w:r w:rsidR="0094372E" w:rsidRPr="0094372E">
        <w:rPr>
          <w:rFonts w:cs="Arial"/>
          <w:sz w:val="20"/>
          <w:szCs w:val="20"/>
        </w:rPr>
        <w:t xml:space="preserve">A metodologia envolve revisão bibliográfica, pesquisa documental, estudo de caso em Campos dos Goytacazes/RJ, e cartografia temática para sobrepor a localização dos conjuntos, centralidades e trajetos das principais linhas de ônibus. O referencial teórico mobiliza autores como Lefebvre, Harvey, Maricato, Bonduki, Vainer, </w:t>
      </w:r>
      <w:proofErr w:type="spellStart"/>
      <w:r w:rsidR="0094372E" w:rsidRPr="0094372E">
        <w:rPr>
          <w:rFonts w:cs="Arial"/>
          <w:sz w:val="20"/>
          <w:szCs w:val="20"/>
        </w:rPr>
        <w:t>Gottdiener</w:t>
      </w:r>
      <w:proofErr w:type="spellEnd"/>
      <w:r w:rsidR="0094372E" w:rsidRPr="0094372E">
        <w:rPr>
          <w:rFonts w:cs="Arial"/>
          <w:sz w:val="20"/>
          <w:szCs w:val="20"/>
        </w:rPr>
        <w:t xml:space="preserve"> e Castells. </w:t>
      </w:r>
      <w:r w:rsidR="005E680B" w:rsidRPr="00BD3E2B">
        <w:rPr>
          <w:rFonts w:cs="Arial"/>
          <w:sz w:val="20"/>
          <w:szCs w:val="20"/>
        </w:rPr>
        <w:t>Espera-se demonstrar que a distância dos conjuntos habitacionais e a deficiência do transporte público dificultam o acesso à cidade, restringindo a inclusão urbana</w:t>
      </w:r>
      <w:r w:rsidR="005E680B">
        <w:rPr>
          <w:sz w:val="20"/>
          <w:szCs w:val="20"/>
          <w:lang w:val="pt-PT"/>
        </w:rPr>
        <w:t>.</w:t>
      </w:r>
    </w:p>
    <w:p w14:paraId="5A562177" w14:textId="3A793D1C" w:rsidR="005E680B" w:rsidRPr="005E680B" w:rsidRDefault="005E680B" w:rsidP="005E680B"/>
    <w:p w14:paraId="55645A40" w14:textId="77777777" w:rsidR="00506622" w:rsidRPr="00D07BC9" w:rsidRDefault="00506622" w:rsidP="00B1250D">
      <w:pPr>
        <w:autoSpaceDE w:val="0"/>
        <w:autoSpaceDN w:val="0"/>
        <w:adjustRightInd w:val="0"/>
        <w:spacing w:line="240" w:lineRule="auto"/>
        <w:rPr>
          <w:rFonts w:cs="Arial"/>
          <w:b/>
          <w:sz w:val="18"/>
          <w:szCs w:val="18"/>
        </w:rPr>
      </w:pPr>
    </w:p>
    <w:p w14:paraId="05E73513" w14:textId="081592C6" w:rsidR="00506622" w:rsidRDefault="00506622" w:rsidP="00B1250D">
      <w:pPr>
        <w:spacing w:line="240" w:lineRule="auto"/>
        <w:ind w:firstLine="0"/>
        <w:rPr>
          <w:rFonts w:cs="Arial"/>
          <w:sz w:val="20"/>
          <w:szCs w:val="20"/>
        </w:rPr>
      </w:pPr>
      <w:r w:rsidRPr="00D07BC9">
        <w:rPr>
          <w:rFonts w:cs="Arial"/>
          <w:b/>
          <w:sz w:val="20"/>
          <w:szCs w:val="20"/>
        </w:rPr>
        <w:t xml:space="preserve">PALAVRAS-CHAVE: </w:t>
      </w:r>
      <w:r w:rsidR="005C0B55" w:rsidRPr="005C0B55">
        <w:rPr>
          <w:rFonts w:cs="Arial"/>
          <w:sz w:val="20"/>
          <w:szCs w:val="20"/>
        </w:rPr>
        <w:t xml:space="preserve">Segregação Socioespacial; </w:t>
      </w:r>
      <w:r w:rsidR="00FC7097">
        <w:rPr>
          <w:rFonts w:cs="Arial"/>
          <w:sz w:val="20"/>
          <w:szCs w:val="20"/>
        </w:rPr>
        <w:t>Cidade Neoliberal</w:t>
      </w:r>
      <w:r w:rsidR="005C0B55" w:rsidRPr="005C0B55">
        <w:rPr>
          <w:rFonts w:cs="Arial"/>
          <w:sz w:val="20"/>
          <w:szCs w:val="20"/>
        </w:rPr>
        <w:t>; Direito à Cidad</w:t>
      </w:r>
      <w:r w:rsidR="005C0B55">
        <w:rPr>
          <w:rFonts w:cs="Arial"/>
          <w:sz w:val="20"/>
          <w:szCs w:val="20"/>
        </w:rPr>
        <w:t>e.</w:t>
      </w:r>
    </w:p>
    <w:p w14:paraId="30EFF507" w14:textId="7E888BF3" w:rsidR="0094372E" w:rsidRDefault="0094372E">
      <w:pPr>
        <w:spacing w:line="240" w:lineRule="auto"/>
        <w:ind w:firstLine="0"/>
        <w:jc w:val="left"/>
        <w:rPr>
          <w:rFonts w:cs="Arial"/>
          <w:sz w:val="20"/>
          <w:szCs w:val="20"/>
        </w:rPr>
      </w:pPr>
      <w:r>
        <w:rPr>
          <w:rFonts w:cs="Arial"/>
          <w:sz w:val="20"/>
          <w:szCs w:val="20"/>
        </w:rPr>
        <w:br w:type="page"/>
      </w:r>
    </w:p>
    <w:p w14:paraId="57586BC3" w14:textId="0B55B9A9" w:rsidR="00235886" w:rsidRPr="00D07BC9" w:rsidRDefault="00B8206A" w:rsidP="00B1250D">
      <w:pPr>
        <w:pStyle w:val="IDpaper-Title"/>
        <w:spacing w:line="240" w:lineRule="auto"/>
        <w:ind w:left="0" w:firstLine="0"/>
        <w:rPr>
          <w:rFonts w:cs="Arial"/>
          <w:b w:val="0"/>
          <w:i/>
          <w:iCs/>
          <w:kern w:val="0"/>
          <w:sz w:val="20"/>
          <w:lang w:val="en-US" w:eastAsia="pt-BR"/>
        </w:rPr>
      </w:pPr>
      <w:r w:rsidRPr="00D07BC9">
        <w:rPr>
          <w:rFonts w:cs="Arial"/>
          <w:bCs/>
          <w:i/>
          <w:iCs/>
          <w:kern w:val="0"/>
          <w:sz w:val="20"/>
          <w:lang w:val="en-US" w:eastAsia="pt-BR"/>
        </w:rPr>
        <w:lastRenderedPageBreak/>
        <w:t>ABSTRACT</w:t>
      </w:r>
    </w:p>
    <w:p w14:paraId="762AF606" w14:textId="49D258B5" w:rsidR="00235886" w:rsidRDefault="00A24A6D" w:rsidP="00A24A6D">
      <w:pPr>
        <w:spacing w:line="240" w:lineRule="auto"/>
        <w:ind w:firstLine="0"/>
        <w:rPr>
          <w:sz w:val="20"/>
          <w:szCs w:val="20"/>
          <w:lang w:val="en-US"/>
        </w:rPr>
      </w:pPr>
      <w:r w:rsidRPr="00A24A6D">
        <w:rPr>
          <w:sz w:val="20"/>
          <w:szCs w:val="20"/>
          <w:lang w:val="en-US"/>
        </w:rPr>
        <w:t xml:space="preserve">This study explores the relationship between Social Housing (SH), urban mobility, and the Right to the City in the municipality of Campos dos </w:t>
      </w:r>
      <w:proofErr w:type="spellStart"/>
      <w:r w:rsidRPr="00A24A6D">
        <w:rPr>
          <w:sz w:val="20"/>
          <w:szCs w:val="20"/>
          <w:lang w:val="en-US"/>
        </w:rPr>
        <w:t>Goytacazes</w:t>
      </w:r>
      <w:proofErr w:type="spellEnd"/>
      <w:r w:rsidRPr="00A24A6D">
        <w:rPr>
          <w:sz w:val="20"/>
          <w:szCs w:val="20"/>
          <w:lang w:val="en-US"/>
        </w:rPr>
        <w:t>/RJ. The theoretical framework posits that the city is a product and condition of capitalist relations, reflecting urban planning that is subordinated to the neoliberal logic and the interests of the market and local elites, which intensifies inequalities and legitimizes Socio-Spatial Segregation.</w:t>
      </w:r>
      <w:r>
        <w:rPr>
          <w:sz w:val="20"/>
          <w:szCs w:val="20"/>
          <w:lang w:val="en-US"/>
        </w:rPr>
        <w:t xml:space="preserve"> </w:t>
      </w:r>
      <w:r w:rsidRPr="00A24A6D">
        <w:rPr>
          <w:sz w:val="20"/>
          <w:szCs w:val="20"/>
          <w:lang w:val="en-US"/>
        </w:rPr>
        <w:t>The central objective is to understand whether and how low-income residents — specifically those from the Morar Feliz and PMCMV-</w:t>
      </w:r>
      <w:proofErr w:type="spellStart"/>
      <w:r w:rsidRPr="00A24A6D">
        <w:rPr>
          <w:sz w:val="20"/>
          <w:szCs w:val="20"/>
          <w:lang w:val="en-US"/>
        </w:rPr>
        <w:t>Faixa</w:t>
      </w:r>
      <w:proofErr w:type="spellEnd"/>
      <w:r w:rsidRPr="00A24A6D">
        <w:rPr>
          <w:sz w:val="20"/>
          <w:szCs w:val="20"/>
          <w:lang w:val="en-US"/>
        </w:rPr>
        <w:t xml:space="preserve"> 1 programs — can fully access the multiple urban centralities of Campos dos </w:t>
      </w:r>
      <w:proofErr w:type="spellStart"/>
      <w:r w:rsidRPr="00A24A6D">
        <w:rPr>
          <w:sz w:val="20"/>
          <w:szCs w:val="20"/>
          <w:lang w:val="en-US"/>
        </w:rPr>
        <w:t>Goytacazes</w:t>
      </w:r>
      <w:proofErr w:type="spellEnd"/>
      <w:r w:rsidRPr="00A24A6D">
        <w:rPr>
          <w:sz w:val="20"/>
          <w:szCs w:val="20"/>
          <w:lang w:val="en-US"/>
        </w:rPr>
        <w:t xml:space="preserve"> through public transportation. The municipality is characterized by its extensive urban area, multiple centralities, and marked socio-spatial segregation due to the peripheral location of housing projects.</w:t>
      </w:r>
      <w:r>
        <w:rPr>
          <w:sz w:val="20"/>
          <w:szCs w:val="20"/>
          <w:lang w:val="en-US"/>
        </w:rPr>
        <w:t xml:space="preserve"> </w:t>
      </w:r>
      <w:r w:rsidRPr="00A24A6D">
        <w:rPr>
          <w:sz w:val="20"/>
          <w:szCs w:val="20"/>
          <w:lang w:val="en-US"/>
        </w:rPr>
        <w:t xml:space="preserve">The methodology includes theoretical and empirical literature reviews, document analysis, a case study, and thematic cartography to map the location of the housing complexes in relation to key urban centralities and bus routes. The analysis is grounded in the critical contributions of scholars such as Lefebvre, Harvey, Maricato, and Gottdiener. Expected outcomes involve identifying the barriers residents face in accessing services and opportunities due to their peripheral location and inadequate public transport network. The study </w:t>
      </w:r>
      <w:r w:rsidR="006E7A4D">
        <w:rPr>
          <w:sz w:val="20"/>
          <w:szCs w:val="20"/>
          <w:lang w:val="en-US"/>
        </w:rPr>
        <w:t>aims to prove</w:t>
      </w:r>
      <w:r w:rsidRPr="00A24A6D">
        <w:rPr>
          <w:sz w:val="20"/>
          <w:szCs w:val="20"/>
          <w:lang w:val="en-US"/>
        </w:rPr>
        <w:t xml:space="preserve"> that housing policy, when disconnected from effective urban planning, reinforces social exclusion and limits the full exercise of the Right to the City. </w:t>
      </w:r>
      <w:proofErr w:type="gramStart"/>
      <w:r w:rsidRPr="00A24A6D">
        <w:rPr>
          <w:sz w:val="20"/>
          <w:szCs w:val="20"/>
          <w:lang w:val="en-US"/>
        </w:rPr>
        <w:t xml:space="preserve">It </w:t>
      </w:r>
      <w:r w:rsidR="00C85E38">
        <w:rPr>
          <w:sz w:val="20"/>
          <w:szCs w:val="20"/>
          <w:lang w:val="en-US"/>
        </w:rPr>
        <w:t xml:space="preserve"> also</w:t>
      </w:r>
      <w:proofErr w:type="gramEnd"/>
      <w:r w:rsidR="00C85E38">
        <w:rPr>
          <w:sz w:val="20"/>
          <w:szCs w:val="20"/>
          <w:lang w:val="en-US"/>
        </w:rPr>
        <w:t xml:space="preserve"> aims to </w:t>
      </w:r>
      <w:r w:rsidR="005E680B">
        <w:rPr>
          <w:sz w:val="20"/>
          <w:szCs w:val="20"/>
          <w:lang w:val="en-US"/>
        </w:rPr>
        <w:t>reinforce that</w:t>
      </w:r>
      <w:r w:rsidRPr="00A24A6D">
        <w:rPr>
          <w:sz w:val="20"/>
          <w:szCs w:val="20"/>
          <w:lang w:val="en-US"/>
        </w:rPr>
        <w:t xml:space="preserve"> integrated housing and transport strategies a</w:t>
      </w:r>
      <w:r w:rsidR="005E680B">
        <w:rPr>
          <w:sz w:val="20"/>
          <w:szCs w:val="20"/>
          <w:lang w:val="en-US"/>
        </w:rPr>
        <w:t>re</w:t>
      </w:r>
      <w:r w:rsidRPr="00A24A6D">
        <w:rPr>
          <w:sz w:val="20"/>
          <w:szCs w:val="20"/>
          <w:lang w:val="en-US"/>
        </w:rPr>
        <w:t xml:space="preserve"> essential for building fairer and more inclusive cities.</w:t>
      </w:r>
    </w:p>
    <w:p w14:paraId="72C2E15A" w14:textId="77777777" w:rsidR="00C82161" w:rsidRDefault="00C82161" w:rsidP="00C82161">
      <w:pPr>
        <w:spacing w:line="240" w:lineRule="auto"/>
        <w:ind w:firstLine="0"/>
        <w:rPr>
          <w:sz w:val="20"/>
          <w:szCs w:val="20"/>
          <w:lang w:val="en-US"/>
        </w:rPr>
      </w:pPr>
    </w:p>
    <w:p w14:paraId="3D2AB4BB" w14:textId="551F7B72" w:rsidR="00C82161" w:rsidRPr="00C82161" w:rsidRDefault="00C82161" w:rsidP="00A24A6D">
      <w:pPr>
        <w:spacing w:after="240" w:line="240" w:lineRule="auto"/>
        <w:ind w:firstLine="0"/>
        <w:rPr>
          <w:sz w:val="20"/>
          <w:szCs w:val="20"/>
          <w:lang w:val="en-US"/>
        </w:rPr>
      </w:pPr>
      <w:r w:rsidRPr="00C82161">
        <w:rPr>
          <w:b/>
          <w:bCs/>
          <w:i/>
          <w:iCs/>
          <w:sz w:val="20"/>
          <w:szCs w:val="20"/>
          <w:lang w:val="en-US"/>
        </w:rPr>
        <w:t>KEYWORDS:</w:t>
      </w:r>
      <w:r w:rsidRPr="00C82161">
        <w:rPr>
          <w:sz w:val="20"/>
          <w:szCs w:val="20"/>
          <w:lang w:val="en-US"/>
        </w:rPr>
        <w:t xml:space="preserve"> </w:t>
      </w:r>
      <w:r w:rsidRPr="00C82161">
        <w:rPr>
          <w:rFonts w:cs="Arial"/>
          <w:i/>
          <w:iCs/>
          <w:sz w:val="20"/>
          <w:szCs w:val="20"/>
          <w:lang w:val="en-US"/>
        </w:rPr>
        <w:t>Socio-Spatial Segregation; Neoliberal</w:t>
      </w:r>
      <w:r w:rsidR="00A24A6D">
        <w:rPr>
          <w:rFonts w:cs="Arial"/>
          <w:i/>
          <w:iCs/>
          <w:sz w:val="20"/>
          <w:szCs w:val="20"/>
          <w:lang w:val="en-US"/>
        </w:rPr>
        <w:t xml:space="preserve"> City</w:t>
      </w:r>
      <w:r w:rsidRPr="00C82161">
        <w:rPr>
          <w:rFonts w:cs="Arial"/>
          <w:i/>
          <w:iCs/>
          <w:sz w:val="20"/>
          <w:szCs w:val="20"/>
          <w:lang w:val="en-US"/>
        </w:rPr>
        <w:t>; Right to the City</w:t>
      </w:r>
      <w:r>
        <w:rPr>
          <w:rFonts w:cs="Arial"/>
          <w:i/>
          <w:iCs/>
          <w:sz w:val="20"/>
          <w:szCs w:val="20"/>
          <w:lang w:val="en-US"/>
        </w:rPr>
        <w:t>.</w:t>
      </w:r>
    </w:p>
    <w:p w14:paraId="5009C97B" w14:textId="22E42B9D" w:rsidR="00956ED2" w:rsidRPr="00A851EB" w:rsidRDefault="00956ED2" w:rsidP="00531D4B">
      <w:pPr>
        <w:pStyle w:val="Ttulo1"/>
      </w:pPr>
      <w:r w:rsidRPr="00A851EB">
        <w:t>1 INTRODUÇÃO</w:t>
      </w:r>
    </w:p>
    <w:p w14:paraId="36DF5AE4" w14:textId="1080245A" w:rsidR="004601D8" w:rsidRDefault="004601D8" w:rsidP="00531D4B">
      <w:r>
        <w:t>Henri Lefebvre</w:t>
      </w:r>
      <w:r w:rsidR="00B85ED2">
        <w:t xml:space="preserve"> </w:t>
      </w:r>
      <w:r>
        <w:t>(2001) define o espaço urbano tanto como um produto quanto como uma condição das relações socioespaciais de poder, econômicas, políticas e culturais geradas dentro do capitalismo. Por sua vez, Maricato (2015) destaca que, embora as cidades existam desde antes do surgimento do capitalismo, elas foram profundamente transformadas à medida que esse sistema se consolidava globalmente, de tal forma que é impossível pensá-lo sem as cidades e vice-versa.</w:t>
      </w:r>
    </w:p>
    <w:p w14:paraId="05A39446" w14:textId="77777777" w:rsidR="00AE6FA6" w:rsidRPr="00AE6FA6" w:rsidRDefault="00AE6FA6" w:rsidP="00531D4B">
      <w:r w:rsidRPr="00AE6FA6">
        <w:t>O presente trabalho visa investigar a relação crítica entre Habitação de Interesse Social (HIS), Direito à Cidade e Mobilidade Urbana no contexto neoliberal global contemporâneo, a ser aprofundado no caso de Campos dos Goytacazes/RJ. A cidade é compreendida como produto e condição das relações capitalistas, materializando um planejamento urbano subordinado à lógica neoliberal, aos interesses do mercado e das elites, o que aprofunda desigualdades e legitima a segregação socioespacial. O neoliberalismo incentiva o Estado mínimo, favorecendo práticas privatistas que permitem a exploração de populações vulneráveis e aumentam a concentração de riqueza. Esse contexto favorece a manutenção de práticas segregacionistas.</w:t>
      </w:r>
    </w:p>
    <w:p w14:paraId="12444802" w14:textId="5B65A0F0" w:rsidR="0062512A" w:rsidRPr="0062512A" w:rsidRDefault="00AE6FA6" w:rsidP="0062512A">
      <w:r w:rsidRPr="00AE6FA6">
        <w:t>Campos dos Goytacazes/RJ, um município de grande extensão territorial,</w:t>
      </w:r>
      <w:r w:rsidR="000B7452">
        <w:t xml:space="preserve"> sediado numa planície, e</w:t>
      </w:r>
      <w:r w:rsidRPr="00AE6FA6">
        <w:t xml:space="preserve"> apresenta malha urbana extensa e em franca expansão</w:t>
      </w:r>
      <w:r w:rsidR="0062512A">
        <w:t xml:space="preserve"> (</w:t>
      </w:r>
      <w:r w:rsidR="00D741CF">
        <w:fldChar w:fldCharType="begin"/>
      </w:r>
      <w:r w:rsidR="00D741CF">
        <w:instrText xml:space="preserve"> REF _Ref211730159 \h </w:instrText>
      </w:r>
      <w:r w:rsidR="00D741CF">
        <w:fldChar w:fldCharType="separate"/>
      </w:r>
      <w:r w:rsidR="00D741CF" w:rsidRPr="00877553">
        <w:t xml:space="preserve">Figura </w:t>
      </w:r>
      <w:r w:rsidR="00D741CF">
        <w:rPr>
          <w:noProof/>
        </w:rPr>
        <w:t>1</w:t>
      </w:r>
      <w:r w:rsidR="00D741CF">
        <w:fldChar w:fldCharType="end"/>
      </w:r>
      <w:r w:rsidR="0062512A">
        <w:t>)</w:t>
      </w:r>
      <w:r w:rsidRPr="00AE6FA6">
        <w:t>.</w:t>
      </w:r>
      <w:r w:rsidR="0062512A">
        <w:t xml:space="preserve"> </w:t>
      </w:r>
      <w:r w:rsidR="0062512A" w:rsidRPr="0062512A">
        <w:t xml:space="preserve">As distâncias e os tempos de deslocamento entre as áreas </w:t>
      </w:r>
      <w:r w:rsidR="0062512A" w:rsidRPr="0062512A">
        <w:lastRenderedPageBreak/>
        <w:t>residenciais e as centralidades urbanas constituem um elemento fundamental para a análise da mobilidade e da acessibilidade na cidade.</w:t>
      </w:r>
    </w:p>
    <w:p w14:paraId="274E19A9" w14:textId="0012E946" w:rsidR="0062512A" w:rsidRPr="00877553" w:rsidRDefault="0062512A" w:rsidP="0062512A">
      <w:pPr>
        <w:pStyle w:val="FIGURA"/>
      </w:pPr>
      <w:bookmarkStart w:id="2" w:name="_Ref211730159"/>
      <w:r w:rsidRPr="00877553">
        <w:t xml:space="preserve">Figura </w:t>
      </w:r>
      <w:fldSimple w:instr=" SEQ Figura \* ARABIC ">
        <w:r w:rsidR="00D741CF">
          <w:rPr>
            <w:noProof/>
          </w:rPr>
          <w:t>1</w:t>
        </w:r>
      </w:fldSimple>
      <w:bookmarkEnd w:id="2"/>
      <w:r w:rsidRPr="00877553">
        <w:t xml:space="preserve"> – Mapa do Estado do Rio de Janeiro</w:t>
      </w:r>
    </w:p>
    <w:p w14:paraId="7A3B2C5A" w14:textId="77777777" w:rsidR="0062512A" w:rsidRPr="00877553" w:rsidRDefault="0062512A" w:rsidP="0062512A">
      <w:pPr>
        <w:pStyle w:val="FIGURA"/>
      </w:pPr>
      <w:r w:rsidRPr="00877553">
        <w:rPr>
          <w:noProof/>
        </w:rPr>
        <w:drawing>
          <wp:inline distT="0" distB="0" distL="0" distR="0" wp14:anchorId="5CB5120F" wp14:editId="238AAEF8">
            <wp:extent cx="5400000" cy="3756670"/>
            <wp:effectExtent l="0" t="0" r="0" b="0"/>
            <wp:docPr id="603754811" name="Imagem 1"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754811" name="Imagem 1" descr="Mapa&#10;&#10;O conteúdo gerado por IA pode estar incorreto."/>
                    <pic:cNvPicPr>
                      <a:picLocks noChangeAspect="1" noChangeArrowheads="1"/>
                    </pic:cNvPicPr>
                  </pic:nvPicPr>
                  <pic:blipFill rotWithShape="1">
                    <a:blip r:embed="rId8">
                      <a:extLst>
                        <a:ext uri="{28A0092B-C50C-407E-A947-70E740481C1C}">
                          <a14:useLocalDpi xmlns:a14="http://schemas.microsoft.com/office/drawing/2010/main" val="0"/>
                        </a:ext>
                      </a:extLst>
                    </a:blip>
                    <a:srcRect l="2278" t="1688" r="1427" b="3586"/>
                    <a:stretch>
                      <a:fillRect/>
                    </a:stretch>
                  </pic:blipFill>
                  <pic:spPr bwMode="auto">
                    <a:xfrm>
                      <a:off x="0" y="0"/>
                      <a:ext cx="5400000" cy="3756670"/>
                    </a:xfrm>
                    <a:prstGeom prst="rect">
                      <a:avLst/>
                    </a:prstGeom>
                    <a:noFill/>
                    <a:ln>
                      <a:noFill/>
                    </a:ln>
                    <a:extLst>
                      <a:ext uri="{53640926-AAD7-44D8-BBD7-CCE9431645EC}">
                        <a14:shadowObscured xmlns:a14="http://schemas.microsoft.com/office/drawing/2010/main"/>
                      </a:ext>
                    </a:extLst>
                  </pic:spPr>
                </pic:pic>
              </a:graphicData>
            </a:graphic>
          </wp:inline>
        </w:drawing>
      </w:r>
    </w:p>
    <w:p w14:paraId="4B216F3B" w14:textId="77777777" w:rsidR="0062512A" w:rsidRPr="00877553" w:rsidRDefault="0062512A" w:rsidP="0062512A">
      <w:pPr>
        <w:pStyle w:val="FIGURA"/>
      </w:pPr>
      <w:r w:rsidRPr="00877553">
        <w:t>Fonte: Fundação CEPERJ, 2018.</w:t>
      </w:r>
    </w:p>
    <w:p w14:paraId="6F7C077C" w14:textId="2C38C31E" w:rsidR="00AE6FA6" w:rsidRPr="00AE6FA6" w:rsidRDefault="00AE6FA6" w:rsidP="00531D4B">
      <w:r w:rsidRPr="00AE6FA6">
        <w:t>O município possui múltiplas centralidades, como o Centro Histórico, a Av. Pelinca, a Av. 28 de Março, a Av. Arthur Bernardes, a Rua Cap. Nazário Pereira Gomes e a Av. Sen. José Carlos Pereira Pinto, entre outras. Apesar dessa multiplicidade de centralidades, há forte segregação socioespacial e implantação periférica dos conjuntos habitacionais populares, incluindo os programas Morar Feliz e Minha Casa Minha Vida (PMCMV).</w:t>
      </w:r>
    </w:p>
    <w:p w14:paraId="043819E2" w14:textId="0AC26DF8" w:rsidR="00AE6FA6" w:rsidRPr="00AE6FA6" w:rsidRDefault="00AE6FA6" w:rsidP="00531D4B">
      <w:r w:rsidRPr="00AE6FA6">
        <w:t xml:space="preserve">A questão norteadora da pesquisa é: </w:t>
      </w:r>
      <w:r w:rsidRPr="00D870F1">
        <w:rPr>
          <w:i/>
          <w:iCs/>
        </w:rPr>
        <w:t>Se</w:t>
      </w:r>
      <w:r w:rsidRPr="00AE6FA6">
        <w:t xml:space="preserve"> e </w:t>
      </w:r>
      <w:r w:rsidRPr="00D870F1">
        <w:rPr>
          <w:i/>
          <w:iCs/>
        </w:rPr>
        <w:t>como</w:t>
      </w:r>
      <w:r w:rsidRPr="00AE6FA6">
        <w:t xml:space="preserve"> os moradores dos conjuntos habitacionais de baixa renda têm acesso às múltiplas centralidades do município por meio do transporte público coletivo? Essa investigação busca discutir como a localização dos conjuntos habitacionais de interesse social, associada às condições do transporte público, influencia no acesso das pessoas às centralidades de Campos dos Goytacazes/RJ.</w:t>
      </w:r>
    </w:p>
    <w:p w14:paraId="2CE59E6D" w14:textId="7FFB7D75" w:rsidR="00AE6FA6" w:rsidRDefault="00AE6FA6" w:rsidP="00531D4B">
      <w:pPr>
        <w:rPr>
          <w:b/>
        </w:rPr>
      </w:pPr>
      <w:r w:rsidRPr="00AE6FA6">
        <w:t>A pesquisa se baseia na premissa de que a localização da moradia impacta diretamente o exercício do direito à cidade. A política habitacional, ao desconsiderar o contexto socioespacial e de mobilidade, contribui para limitar o exercício pleno do direito à cidade</w:t>
      </w:r>
      <w:r>
        <w:rPr>
          <w:b/>
        </w:rPr>
        <w:t>.</w:t>
      </w:r>
    </w:p>
    <w:p w14:paraId="6EF00C54" w14:textId="2FE83C13" w:rsidR="003C2ADE" w:rsidRDefault="0083315B" w:rsidP="00AE6FA6">
      <w:pPr>
        <w:pStyle w:val="Ttulo1"/>
      </w:pPr>
      <w:r>
        <w:lastRenderedPageBreak/>
        <w:t xml:space="preserve">2 </w:t>
      </w:r>
      <w:r w:rsidR="00CB77A5" w:rsidRPr="00CB77A5">
        <w:t>FUNDAMENTAÇÃO TEÓRICA</w:t>
      </w:r>
    </w:p>
    <w:p w14:paraId="3E0E348D" w14:textId="77777777" w:rsidR="00CB77A5" w:rsidRPr="00CB77A5" w:rsidRDefault="00CB77A5" w:rsidP="00CB77A5">
      <w:r w:rsidRPr="00CB77A5">
        <w:t>O espaço urbano é entendido por Henri Lefebvre (2001) como um produto e uma condição das relações socioespaciais de poder, econômicas, políticas e culturais geradas dentro do capitalismo. Maricato (2015) afirma que, embora as cidades existissem antes do capitalismo, foram totalmente modificadas conforme esse sistema se fortalecia.</w:t>
      </w:r>
    </w:p>
    <w:p w14:paraId="4202EB6D" w14:textId="77777777" w:rsidR="00CB77A5" w:rsidRPr="00CB77A5" w:rsidRDefault="00CB77A5" w:rsidP="00CB77A5">
      <w:r w:rsidRPr="00CB77A5">
        <w:t xml:space="preserve">O planejamento urbano modernista/funcionalista, que se desenvolveu durante o </w:t>
      </w:r>
      <w:r w:rsidRPr="00CB77A5">
        <w:rPr>
          <w:i/>
          <w:iCs/>
        </w:rPr>
        <w:t xml:space="preserve">Welfare </w:t>
      </w:r>
      <w:proofErr w:type="spellStart"/>
      <w:r w:rsidRPr="00CB77A5">
        <w:rPr>
          <w:i/>
          <w:iCs/>
        </w:rPr>
        <w:t>State</w:t>
      </w:r>
      <w:proofErr w:type="spellEnd"/>
      <w:r w:rsidRPr="00CB77A5">
        <w:t xml:space="preserve"> (1945-1975), garantia melhores condições de vida aos trabalhadores e equilíbrio social nos países capitalistas centrais. No entanto, no Brasil, a adoção dessa matriz resultou em uma modernização excludente, com investimentos nas áreas que constituem a "cidade hegemônica ou oficial", levando à segregação na ocupação do solo e na distribuição dos equipamentos urbanos.</w:t>
      </w:r>
    </w:p>
    <w:p w14:paraId="050E8526" w14:textId="6CAF4986" w:rsidR="00CB77A5" w:rsidRPr="00CB77A5" w:rsidRDefault="00CB77A5" w:rsidP="00CB77A5">
      <w:r w:rsidRPr="00CB77A5">
        <w:t>A ascensão da ideologia neoliberal nos anos 1980 e 1990 impôs a desregulamentação do mercado como caminho para o equilíbrio econômico. Esse processo promoveu a flexibilização de direitos e privatizações. Harvey (2004) destaca que esse contexto favorece a acumulação via espoliação e a manutenção de práticas segregacionistas. A cidade, nesse sistema, se configura como um espaço</w:t>
      </w:r>
      <w:r w:rsidR="005719BB">
        <w:t xml:space="preserve"> por excelência</w:t>
      </w:r>
      <w:r w:rsidRPr="00CB77A5">
        <w:t xml:space="preserve"> de reprodução do capital, onde a terra urbana se torna altamente lucrativa por meio da especulação imobiliária.</w:t>
      </w:r>
    </w:p>
    <w:p w14:paraId="1916C066" w14:textId="77777777" w:rsidR="00CB77A5" w:rsidRPr="00CB77A5" w:rsidRDefault="00CB77A5" w:rsidP="00CB77A5">
      <w:r w:rsidRPr="00CB77A5">
        <w:t>O Estado, ao intervir na dinâmica urbana, muitas vezes reforça a segregação (aspecto programado de Lefebvre) ao colocar os conjuntos habitacionais populares em áreas não-valorizadas no mercado imobiliário. A política habitacional é frequentemente voltada apenas para a construção de casas, desconsiderando o contexto socioespacial e as condições de vida. Maricato (2015) aponta que, mesmo com mais renda, o morador não compra uma melhor localização, pois "ninguém vive só dentro de casa: vive na cidade".</w:t>
      </w:r>
    </w:p>
    <w:p w14:paraId="18DFC85F" w14:textId="77777777" w:rsidR="00CB77A5" w:rsidRPr="00CB77A5" w:rsidRDefault="00CB77A5" w:rsidP="00CB77A5">
      <w:r w:rsidRPr="00CB77A5">
        <w:t xml:space="preserve">O direito à cidade é definido por Lefebvre (2001) como o direito à vida urbana em condição de humanismo e democracia renovados. Harvey (2014) o conceitua como um direito coletivo de mudar e reinventar a cidade, o que exige o exercício de um poder coletivo sobre o processo de urbanização. A localização da moradia, que é parte dos direitos fundamentais sociais, é determinante para </w:t>
      </w:r>
      <w:r w:rsidRPr="00CB77A5">
        <w:lastRenderedPageBreak/>
        <w:t>o acesso a oportunidades de trabalho, educação e mobilidade, e, portanto, influencia diretamente no exercício desse direito.</w:t>
      </w:r>
    </w:p>
    <w:p w14:paraId="5C16AAA5" w14:textId="77777777" w:rsidR="00CB77A5" w:rsidRPr="00CB77A5" w:rsidRDefault="00CB77A5" w:rsidP="00CB77A5">
      <w:r w:rsidRPr="00CB77A5">
        <w:t>Com os conjuntos habitacionais já construídos nas periferias, a mobilidade urbana surge como uma solução possível para atenuar a segregação, sendo o transporte público coletivo o principal meio de efetivação do direito à cidade para os beneficiários de menor renda.</w:t>
      </w:r>
    </w:p>
    <w:p w14:paraId="5E14421F" w14:textId="0CBE3B47" w:rsidR="0083315B" w:rsidRDefault="006A21E5" w:rsidP="006A21E5">
      <w:pPr>
        <w:pStyle w:val="Ttulo1"/>
      </w:pPr>
      <w:r>
        <w:t>3 METODOLOGIA</w:t>
      </w:r>
    </w:p>
    <w:p w14:paraId="7FD02201" w14:textId="77777777" w:rsidR="00281668" w:rsidRPr="00281668" w:rsidRDefault="00281668" w:rsidP="00281668">
      <w:r w:rsidRPr="00281668">
        <w:t>A pesquisa adota uma abordagem qualitativa, teórico-analítica, estruturada como um Estudo de Caso em Campos dos Goytacazes/RJ.</w:t>
      </w:r>
    </w:p>
    <w:p w14:paraId="6EB57433" w14:textId="77777777" w:rsidR="00281668" w:rsidRPr="00281668" w:rsidRDefault="00281668" w:rsidP="00281668">
      <w:r w:rsidRPr="00281668">
        <w:t>Os procedimentos metodológicos incluem:</w:t>
      </w:r>
    </w:p>
    <w:p w14:paraId="4237C1D6" w14:textId="5ECA4545" w:rsidR="00281668" w:rsidRPr="00281668" w:rsidRDefault="00281668" w:rsidP="00D3646D">
      <w:pPr>
        <w:pStyle w:val="PargrafodaLista"/>
        <w:numPr>
          <w:ilvl w:val="0"/>
          <w:numId w:val="1"/>
        </w:numPr>
      </w:pPr>
      <w:r w:rsidRPr="00281668">
        <w:t>Revisão Bibliográfica: Para fundamentar a análise teórica proposta.</w:t>
      </w:r>
    </w:p>
    <w:p w14:paraId="70140B93" w14:textId="7720AA24" w:rsidR="00281668" w:rsidRPr="00281668" w:rsidRDefault="00281668" w:rsidP="00D3646D">
      <w:pPr>
        <w:pStyle w:val="PargrafodaLista"/>
        <w:numPr>
          <w:ilvl w:val="0"/>
          <w:numId w:val="1"/>
        </w:numPr>
      </w:pPr>
      <w:r w:rsidRPr="00281668">
        <w:t>Pesquisa Documental: Para coletar dados e notícias da mídia local que serão trabalhados na pesquisa.</w:t>
      </w:r>
    </w:p>
    <w:p w14:paraId="4C0D08A1" w14:textId="6D53F3BE" w:rsidR="00281668" w:rsidRPr="00281668" w:rsidRDefault="00281668" w:rsidP="00D3646D">
      <w:pPr>
        <w:pStyle w:val="PargrafodaLista"/>
        <w:numPr>
          <w:ilvl w:val="0"/>
          <w:numId w:val="1"/>
        </w:numPr>
      </w:pPr>
      <w:r w:rsidRPr="00281668">
        <w:t xml:space="preserve">Revisão de Literatura Empírica (Bibliométrica): Mapeamento da produção científica (Teses e Dissertações da CAPES, Periódicos da CAPES, </w:t>
      </w:r>
      <w:proofErr w:type="spellStart"/>
      <w:r w:rsidR="0092421C" w:rsidRPr="0092421C">
        <w:rPr>
          <w:i/>
        </w:rPr>
        <w:t>ScienceDirect</w:t>
      </w:r>
      <w:proofErr w:type="spellEnd"/>
      <w:r w:rsidRPr="00281668">
        <w:t>) com recorte temporal de 2020 a 2025, utilizando descritores em português, inglês e espanhol. Esta etapa visa analisar o panorama das publicações que articulam Habitação de Interesse Social, Direito à Cidade e Mobilidade Urbana, e identificar a existência de estudos específicos voltados para Campos dos Goytacazes/RJ.</w:t>
      </w:r>
    </w:p>
    <w:p w14:paraId="2B10D6A4" w14:textId="4344822A" w:rsidR="00281668" w:rsidRPr="00281668" w:rsidRDefault="00281668" w:rsidP="00D3646D">
      <w:pPr>
        <w:pStyle w:val="PargrafodaLista"/>
        <w:numPr>
          <w:ilvl w:val="0"/>
          <w:numId w:val="1"/>
        </w:numPr>
      </w:pPr>
      <w:r w:rsidRPr="00281668">
        <w:t xml:space="preserve">Cartografia Temática: Sobreposição dos conjuntos habitacionais de Campos/RJ na malha urbana, bem como as centralidades urbanas (Centro Histórico, Av. Pelinca, Av. 28 de </w:t>
      </w:r>
      <w:r w:rsidR="00917D9D" w:rsidRPr="00281668">
        <w:t>Março etc.</w:t>
      </w:r>
      <w:r w:rsidRPr="00281668">
        <w:t>) e os trajetos das principais linhas de ônibus.</w:t>
      </w:r>
    </w:p>
    <w:p w14:paraId="4007165D" w14:textId="5EAB9297" w:rsidR="00281668" w:rsidRPr="00281668" w:rsidRDefault="00281668" w:rsidP="00D3646D">
      <w:pPr>
        <w:pStyle w:val="PargrafodaLista"/>
        <w:numPr>
          <w:ilvl w:val="0"/>
          <w:numId w:val="1"/>
        </w:numPr>
      </w:pPr>
      <w:r w:rsidRPr="00281668">
        <w:t>Estudo de Caso: Análise dos temas em Campos dos Goytacazes/RJ. Áreas consideradas críticas serão identificadas, e serão realizadas</w:t>
      </w:r>
      <w:r w:rsidR="00622E3D">
        <w:t xml:space="preserve"> visitas a campo para observar </w:t>
      </w:r>
      <w:r w:rsidRPr="00281668">
        <w:t>as experiências de mobilidade.</w:t>
      </w:r>
    </w:p>
    <w:p w14:paraId="7EBD450B" w14:textId="1E7FA8AC" w:rsidR="007B7B05" w:rsidRDefault="00281668" w:rsidP="00281668">
      <w:r w:rsidRPr="00281668">
        <w:t>O objetivo metodológico é compreender como as distâncias, associadas à rede de transporte coletivo, afetam o dia a dia dos moradores desses conjuntos habitacionais.</w:t>
      </w:r>
      <w:r w:rsidR="00EA1817">
        <w:t xml:space="preserve"> </w:t>
      </w:r>
      <w:r w:rsidR="00AA79A5">
        <w:t>Toma-se como b</w:t>
      </w:r>
      <w:r w:rsidR="007B7B05">
        <w:t>ase para a cartografia temática</w:t>
      </w:r>
      <w:r w:rsidR="00AA79A5">
        <w:t>,</w:t>
      </w:r>
      <w:r w:rsidR="007B7B05">
        <w:t xml:space="preserve"> o Mapa</w:t>
      </w:r>
      <w:r w:rsidR="00B771AA">
        <w:t xml:space="preserve"> 7, do Anexo I, da Lei </w:t>
      </w:r>
      <w:r w:rsidR="00917D9D">
        <w:t>015/2020, que institui o Plano Diretor, apresentado n</w:t>
      </w:r>
      <w:r w:rsidR="004073DB">
        <w:t xml:space="preserve">a </w:t>
      </w:r>
      <w:r w:rsidR="004073DB">
        <w:fldChar w:fldCharType="begin"/>
      </w:r>
      <w:r w:rsidR="004073DB">
        <w:instrText xml:space="preserve"> REF _Ref211780123 \h </w:instrText>
      </w:r>
      <w:r w:rsidR="004073DB">
        <w:fldChar w:fldCharType="separate"/>
      </w:r>
      <w:r w:rsidR="00D741CF">
        <w:t xml:space="preserve">Figura </w:t>
      </w:r>
      <w:r w:rsidR="00D741CF">
        <w:rPr>
          <w:noProof/>
        </w:rPr>
        <w:t>2</w:t>
      </w:r>
      <w:r w:rsidR="004073DB">
        <w:fldChar w:fldCharType="end"/>
      </w:r>
      <w:r w:rsidR="00FB35D9">
        <w:t>.</w:t>
      </w:r>
    </w:p>
    <w:p w14:paraId="6798ACBA" w14:textId="54253351" w:rsidR="00DB33B4" w:rsidRDefault="00DB33B4" w:rsidP="004073DB">
      <w:pPr>
        <w:pStyle w:val="FIGURA"/>
      </w:pPr>
      <w:bookmarkStart w:id="3" w:name="_Ref211780123"/>
      <w:r>
        <w:lastRenderedPageBreak/>
        <w:t xml:space="preserve">Figura </w:t>
      </w:r>
      <w:fldSimple w:instr=" SEQ Figura \* ARABIC ">
        <w:r w:rsidR="00D741CF">
          <w:rPr>
            <w:noProof/>
          </w:rPr>
          <w:t>2</w:t>
        </w:r>
      </w:fldSimple>
      <w:bookmarkEnd w:id="3"/>
      <w:r>
        <w:t xml:space="preserve"> – Mapa das Áreas de Especial Interesse</w:t>
      </w:r>
      <w:r w:rsidR="004073DB">
        <w:t xml:space="preserve"> do Plano Diretor de Campos dos Goytacazes/RJ</w:t>
      </w:r>
    </w:p>
    <w:p w14:paraId="44497BCB" w14:textId="4E3F634E" w:rsidR="001F4470" w:rsidRDefault="00DB33B4" w:rsidP="004073DB">
      <w:pPr>
        <w:pStyle w:val="FIGURA"/>
      </w:pPr>
      <w:r>
        <w:rPr>
          <w:noProof/>
        </w:rPr>
        <w:drawing>
          <wp:inline distT="0" distB="0" distL="0" distR="0" wp14:anchorId="17D44F33" wp14:editId="16128516">
            <wp:extent cx="4465320" cy="6313618"/>
            <wp:effectExtent l="0" t="0" r="0" b="0"/>
            <wp:docPr id="2042050762" name="Imagem 1" descr="Mapa&#10;&#10;O conteúdo gerado por IA pode estar incorre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50762" name="Imagem 1" descr="Mapa&#10;&#10;O conteúdo gerado por IA pode estar incorreto."/>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4524218" cy="6396896"/>
                    </a:xfrm>
                    <a:prstGeom prst="rect">
                      <a:avLst/>
                    </a:prstGeom>
                    <a:noFill/>
                    <a:ln>
                      <a:noFill/>
                    </a:ln>
                  </pic:spPr>
                </pic:pic>
              </a:graphicData>
            </a:graphic>
          </wp:inline>
        </w:drawing>
      </w:r>
    </w:p>
    <w:p w14:paraId="5D0203E4" w14:textId="44327650" w:rsidR="00DB33B4" w:rsidRDefault="00DB33B4" w:rsidP="004073DB">
      <w:pPr>
        <w:pStyle w:val="FIGURA"/>
      </w:pPr>
      <w:r>
        <w:t>Fonte: Campos dos Goytacazes, 2020.</w:t>
      </w:r>
    </w:p>
    <w:p w14:paraId="348D8924" w14:textId="77777777" w:rsidR="00917D9D" w:rsidRDefault="00917D9D" w:rsidP="00281668"/>
    <w:p w14:paraId="3C7A302E" w14:textId="77777777" w:rsidR="00917D9D" w:rsidRDefault="00917D9D" w:rsidP="00281668">
      <w:r w:rsidRPr="00917D9D">
        <w:t>As Áreas de Especial Interesse Social</w:t>
      </w:r>
      <w:r>
        <w:t xml:space="preserve"> são definidas no Plano Diretor de Campos:</w:t>
      </w:r>
    </w:p>
    <w:p w14:paraId="2A42E0DD" w14:textId="244D599E" w:rsidR="00917D9D" w:rsidRDefault="004A70FB" w:rsidP="004A70FB">
      <w:pPr>
        <w:pStyle w:val="Citao"/>
      </w:pPr>
      <w:r w:rsidRPr="00917D9D">
        <w:t>As Áreas de Especial Interesse Social</w:t>
      </w:r>
      <w:r w:rsidR="00917D9D" w:rsidRPr="00917D9D">
        <w:t>, cujos limites estão representados no Mapa 7 do Anexo I integrante desta Lei, compreendem áreas públicas ou privadas cujos processos e formas de ocupação exigem intervenções de requalificação e melhorias habitacionais, através da implantação de programas de regularização urbanística e/ou fundiária e de construção de unidades residenciais de interesse social.</w:t>
      </w:r>
      <w:r>
        <w:t xml:space="preserve"> (Campos dos Goytacazes, 2020, p. 190-191)</w:t>
      </w:r>
    </w:p>
    <w:p w14:paraId="0AD8D64D" w14:textId="4493F119" w:rsidR="001F4470" w:rsidRPr="00281668" w:rsidRDefault="001F4470" w:rsidP="00281668">
      <w:r>
        <w:lastRenderedPageBreak/>
        <w:t>Conforme apontado pelo município, essas áreas estão enquadradas como carentes de infraestrutura</w:t>
      </w:r>
      <w:r w:rsidR="004A70FB">
        <w:t>. Ao cruzar os dados desse mapa com os apresentados por Arruda (2009; 2014), conclui-se que os conjuntos habitacionais destinados à população de mais baixa renda</w:t>
      </w:r>
      <w:r>
        <w:t xml:space="preserve"> est</w:t>
      </w:r>
      <w:r w:rsidR="00BB25EE">
        <w:t>ão, em sua maioria,</w:t>
      </w:r>
      <w:r>
        <w:t xml:space="preserve"> próxim</w:t>
      </w:r>
      <w:r w:rsidR="00BB25EE">
        <w:t>os</w:t>
      </w:r>
      <w:r>
        <w:t xml:space="preserve"> aos limites do perímetro urbano.</w:t>
      </w:r>
      <w:r w:rsidR="00CB56F4">
        <w:t xml:space="preserve"> Essa configuração espacial </w:t>
      </w:r>
      <w:r w:rsidR="00CB56F4" w:rsidRPr="00CB56F4">
        <w:t>evidencia a ausência de uma política habitacional articulada ao planejamento territorial, reproduzindo desigualdades históricas no acesso à infraestrutura e à mobilidade.</w:t>
      </w:r>
    </w:p>
    <w:p w14:paraId="7411831C" w14:textId="3FB7A0A9" w:rsidR="009A0CBE" w:rsidRDefault="00FE2A0C" w:rsidP="00FE2A0C">
      <w:pPr>
        <w:pStyle w:val="Ttulo1"/>
      </w:pPr>
      <w:r w:rsidRPr="00FE2A0C">
        <w:t xml:space="preserve">4 </w:t>
      </w:r>
      <w:r w:rsidR="00063A33" w:rsidRPr="00063A33">
        <w:t>CAMPOS DOS GOYTACAZES: ANÁLISE DA EXCLUSÃO TERRITORIAL</w:t>
      </w:r>
    </w:p>
    <w:p w14:paraId="01BFBFD8" w14:textId="19212326" w:rsidR="00535670" w:rsidRDefault="00535670" w:rsidP="00535670">
      <w:r w:rsidRPr="00535670">
        <w:t xml:space="preserve">Campos dos Goytacazes é o maior município em extensão territorial do estado do Rio de Janeiro, </w:t>
      </w:r>
      <w:r w:rsidR="006B35D7" w:rsidRPr="006B35D7">
        <w:t>consistindo, quase totalmente, em uma ampla planície, com pouco mais de 483 mil habitantes (IBGE, 2022)</w:t>
      </w:r>
      <w:r w:rsidRPr="00535670">
        <w:t xml:space="preserve">, sendo a 5ª maior do estado. A cidade possui uma área urbana complexa e extensa, com múltiplas centralidades (Centro Histórico, Av. Pelinca, Av. 28 de </w:t>
      </w:r>
      <w:r w:rsidR="00E40E8F" w:rsidRPr="00535670">
        <w:t>Março etc.</w:t>
      </w:r>
      <w:r w:rsidRPr="00535670">
        <w:t>). As distâncias e os tempos de deslocamento entre as moradias e essas centralidades configuram um fator crucial para a análise da mobilidade e da acessibilidade urbana.</w:t>
      </w:r>
    </w:p>
    <w:p w14:paraId="4BBD4C58" w14:textId="13080F08" w:rsidR="001C777D" w:rsidRDefault="00535670" w:rsidP="00535670">
      <w:r w:rsidRPr="00535670">
        <w:t>A implantação de programas habitacionais como o</w:t>
      </w:r>
      <w:r w:rsidR="00EA1817">
        <w:t xml:space="preserve"> </w:t>
      </w:r>
      <w:r w:rsidRPr="00535670">
        <w:rPr>
          <w:i/>
          <w:iCs/>
        </w:rPr>
        <w:t>Morar Feliz</w:t>
      </w:r>
      <w:r w:rsidR="00EA1817">
        <w:rPr>
          <w:i/>
          <w:iCs/>
        </w:rPr>
        <w:t>,</w:t>
      </w:r>
      <w:r w:rsidRPr="00535670">
        <w:t xml:space="preserve"> </w:t>
      </w:r>
      <w:r w:rsidR="00EA1817">
        <w:t>de iniciativa municipa</w:t>
      </w:r>
      <w:r w:rsidR="00FE6168">
        <w:t xml:space="preserve">l, </w:t>
      </w:r>
      <w:r w:rsidRPr="00535670">
        <w:t>resultou na construção de conjuntos em áreas "absolutamente afastadas na malha urbana"</w:t>
      </w:r>
      <w:r w:rsidR="00FD5325">
        <w:t xml:space="preserve">, como pode ser visto na </w:t>
      </w:r>
      <w:r w:rsidR="00FD5325" w:rsidRPr="00FD5325">
        <w:fldChar w:fldCharType="begin"/>
      </w:r>
      <w:r w:rsidR="00FD5325" w:rsidRPr="00FD5325">
        <w:instrText xml:space="preserve"> REF _Ref201926431 \h  \* MERGEFORMAT </w:instrText>
      </w:r>
      <w:r w:rsidR="00FD5325" w:rsidRPr="00FD5325">
        <w:fldChar w:fldCharType="separate"/>
      </w:r>
      <w:r w:rsidR="004073DB" w:rsidRPr="004073DB">
        <w:t xml:space="preserve">Figura </w:t>
      </w:r>
      <w:r w:rsidR="004073DB" w:rsidRPr="004073DB">
        <w:rPr>
          <w:noProof/>
        </w:rPr>
        <w:t>3</w:t>
      </w:r>
      <w:r w:rsidR="00FD5325" w:rsidRPr="00FD5325">
        <w:fldChar w:fldCharType="end"/>
      </w:r>
      <w:r w:rsidRPr="00535670">
        <w:t>. Essa localização periférica força os moradores a dependerem de condições de transporte insuficientes, como horários reduzidos</w:t>
      </w:r>
      <w:r w:rsidR="00FE6168">
        <w:t>, em intervalos irregulares</w:t>
      </w:r>
      <w:r w:rsidR="00DB5C27">
        <w:t>,</w:t>
      </w:r>
      <w:r w:rsidRPr="00535670">
        <w:t xml:space="preserve"> e rotas insatisfatórias.</w:t>
      </w:r>
    </w:p>
    <w:p w14:paraId="3073B61D" w14:textId="4B47D0F5" w:rsidR="00FD5325" w:rsidRDefault="00FD5325" w:rsidP="00FD5325">
      <w:pPr>
        <w:pStyle w:val="FIGURA"/>
      </w:pPr>
      <w:bookmarkStart w:id="4" w:name="_Ref201926431"/>
      <w:r w:rsidRPr="00FD5325">
        <w:rPr>
          <w:bCs/>
        </w:rPr>
        <w:t xml:space="preserve">Figura </w:t>
      </w:r>
      <w:r w:rsidR="00DB33B4">
        <w:rPr>
          <w:bCs/>
        </w:rPr>
        <w:fldChar w:fldCharType="begin"/>
      </w:r>
      <w:r w:rsidR="00DB33B4">
        <w:rPr>
          <w:bCs/>
        </w:rPr>
        <w:instrText xml:space="preserve"> SEQ Figura \* ARABIC </w:instrText>
      </w:r>
      <w:r w:rsidR="00DB33B4">
        <w:rPr>
          <w:bCs/>
        </w:rPr>
        <w:fldChar w:fldCharType="separate"/>
      </w:r>
      <w:r w:rsidR="00DB33B4">
        <w:rPr>
          <w:bCs/>
          <w:noProof/>
        </w:rPr>
        <w:t>3</w:t>
      </w:r>
      <w:r w:rsidR="00DB33B4">
        <w:rPr>
          <w:bCs/>
        </w:rPr>
        <w:fldChar w:fldCharType="end"/>
      </w:r>
      <w:bookmarkEnd w:id="4"/>
      <w:r>
        <w:t xml:space="preserve"> - </w:t>
      </w:r>
      <w:r w:rsidRPr="001B3EB9">
        <w:t>Mapa de implantação dos conjuntos da</w:t>
      </w:r>
      <w:r>
        <w:t>s</w:t>
      </w:r>
      <w:r w:rsidRPr="001B3EB9">
        <w:t xml:space="preserve"> Fase</w:t>
      </w:r>
      <w:r>
        <w:t>s</w:t>
      </w:r>
      <w:r w:rsidRPr="001B3EB9">
        <w:t xml:space="preserve"> I</w:t>
      </w:r>
      <w:r>
        <w:t xml:space="preserve"> e II</w:t>
      </w:r>
      <w:r w:rsidRPr="001B3EB9">
        <w:t xml:space="preserve"> do Morar Feliz</w:t>
      </w:r>
    </w:p>
    <w:p w14:paraId="621E4BCD" w14:textId="77777777" w:rsidR="00FD5325" w:rsidRPr="00E54D12" w:rsidRDefault="00FD5325" w:rsidP="00FD5325">
      <w:pPr>
        <w:pStyle w:val="FIGURA"/>
        <w:rPr>
          <w:color w:val="1C1C1B"/>
        </w:rPr>
      </w:pPr>
      <w:r w:rsidRPr="001B3EB9">
        <w:rPr>
          <w:noProof/>
          <w:color w:val="1C1C1B"/>
        </w:rPr>
        <w:drawing>
          <wp:inline distT="0" distB="0" distL="0" distR="0" wp14:anchorId="51D14CEB" wp14:editId="6F5EB823">
            <wp:extent cx="2267312" cy="2026800"/>
            <wp:effectExtent l="0" t="0" r="0" b="0"/>
            <wp:docPr id="7" name="Imagem 7"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Mapa&#10;&#10;Descrição gerada automaticament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430" r="9607"/>
                    <a:stretch/>
                  </pic:blipFill>
                  <pic:spPr bwMode="auto">
                    <a:xfrm>
                      <a:off x="0" y="0"/>
                      <a:ext cx="2267312" cy="2026800"/>
                    </a:xfrm>
                    <a:prstGeom prst="rect">
                      <a:avLst/>
                    </a:prstGeom>
                    <a:noFill/>
                    <a:ln>
                      <a:noFill/>
                    </a:ln>
                    <a:extLst>
                      <a:ext uri="{53640926-AAD7-44D8-BBD7-CCE9431645EC}">
                        <a14:shadowObscured xmlns:a14="http://schemas.microsoft.com/office/drawing/2010/main"/>
                      </a:ext>
                    </a:extLst>
                  </pic:spPr>
                </pic:pic>
              </a:graphicData>
            </a:graphic>
          </wp:inline>
        </w:drawing>
      </w:r>
      <w:r>
        <w:rPr>
          <w:color w:val="1C1C1B"/>
        </w:rPr>
        <w:t xml:space="preserve"> </w:t>
      </w:r>
      <w:r w:rsidRPr="00E54D12">
        <w:rPr>
          <w:noProof/>
          <w:color w:val="1C1C1B"/>
        </w:rPr>
        <w:drawing>
          <wp:inline distT="0" distB="0" distL="0" distR="0" wp14:anchorId="15173B91" wp14:editId="4D23B433">
            <wp:extent cx="1812873" cy="2026800"/>
            <wp:effectExtent l="0" t="0" r="0" b="0"/>
            <wp:docPr id="11" name="Imagem 1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Mapa&#10;&#10;Descrição gerada automaticament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845" r="10642"/>
                    <a:stretch/>
                  </pic:blipFill>
                  <pic:spPr bwMode="auto">
                    <a:xfrm>
                      <a:off x="0" y="0"/>
                      <a:ext cx="1812873" cy="2026800"/>
                    </a:xfrm>
                    <a:prstGeom prst="rect">
                      <a:avLst/>
                    </a:prstGeom>
                    <a:noFill/>
                    <a:ln>
                      <a:noFill/>
                    </a:ln>
                    <a:extLst>
                      <a:ext uri="{53640926-AAD7-44D8-BBD7-CCE9431645EC}">
                        <a14:shadowObscured xmlns:a14="http://schemas.microsoft.com/office/drawing/2010/main"/>
                      </a:ext>
                    </a:extLst>
                  </pic:spPr>
                </pic:pic>
              </a:graphicData>
            </a:graphic>
          </wp:inline>
        </w:drawing>
      </w:r>
    </w:p>
    <w:p w14:paraId="3F4EEC70" w14:textId="77777777" w:rsidR="00FD5325" w:rsidRDefault="00FD5325" w:rsidP="00FD5325">
      <w:pPr>
        <w:pStyle w:val="FIGURA"/>
        <w:rPr>
          <w:color w:val="1C1C1B"/>
        </w:rPr>
      </w:pPr>
      <w:r w:rsidRPr="00E54D12">
        <w:rPr>
          <w:color w:val="1C1C1B"/>
        </w:rPr>
        <w:t>Fonte: EMHAB</w:t>
      </w:r>
      <w:r>
        <w:rPr>
          <w:color w:val="1C1C1B"/>
        </w:rPr>
        <w:t xml:space="preserve"> (s.d.)</w:t>
      </w:r>
    </w:p>
    <w:p w14:paraId="342F7240" w14:textId="38269938" w:rsidR="00535670" w:rsidRPr="00535670" w:rsidRDefault="00535670" w:rsidP="00535670">
      <w:r w:rsidRPr="00535670">
        <w:t xml:space="preserve">Essa situação ilustra o conceito de </w:t>
      </w:r>
      <w:r w:rsidRPr="001C777D">
        <w:t>desigualdade socioambiental</w:t>
      </w:r>
      <w:r w:rsidRPr="00535670">
        <w:t xml:space="preserve">, onde os benefícios do desenvolvimento são apropriados por grandes interesses </w:t>
      </w:r>
      <w:r w:rsidRPr="00535670">
        <w:lastRenderedPageBreak/>
        <w:t>econômicos, enquanto os danos recaem sobre grupos socialmente vulneráveis, público-alvo desses programas.</w:t>
      </w:r>
    </w:p>
    <w:p w14:paraId="1B3EBE3F" w14:textId="77777777" w:rsidR="00535670" w:rsidRPr="00535670" w:rsidRDefault="00535670" w:rsidP="00535670">
      <w:r w:rsidRPr="00535670">
        <w:t>A análise do transporte coletivo em Campos dos Goytacazes aponta vários problemas que reforçam a exclusão territorial. Motoristas evitam usuários de gratuidade, pois é visto como "prejuízo" pela empresa, o que coloca motoristas, trocadores e passageiros em posições conflitantes. Há ainda a competição entre empresas no mesmo bairro, com desvios de rota para buscar passageiros pagantes em trechos de maior procura. A precariedade do transporte se agrava com o aumento do custo da passagem (até R$3,50) e a redução dos ônibus em circulação devido à diminuição da arrecadação.</w:t>
      </w:r>
    </w:p>
    <w:p w14:paraId="22DF76CC" w14:textId="77777777" w:rsidR="00525CCE" w:rsidRPr="00525CCE" w:rsidRDefault="00535670" w:rsidP="00525CCE">
      <w:r w:rsidRPr="00535670">
        <w:t>A drástica redução dos horários à noite, após a pandemia (o último ônibus pode ser às 21:3</w:t>
      </w:r>
      <w:r w:rsidR="002F3B6F">
        <w:t>0</w:t>
      </w:r>
      <w:r w:rsidRPr="00535670">
        <w:t>), limita a vivência da cidade e aumenta a evasão em cursos noturnos</w:t>
      </w:r>
      <w:r w:rsidR="00525CCE">
        <w:t xml:space="preserve">, </w:t>
      </w:r>
      <w:r w:rsidR="00525CCE" w:rsidRPr="00525CCE">
        <w:t>bem como trabalhadores do comércio serviços que encerram as atividades após esse horário.</w:t>
      </w:r>
    </w:p>
    <w:p w14:paraId="36A4C553" w14:textId="0E637E62" w:rsidR="00535670" w:rsidRPr="00535670" w:rsidRDefault="00535670" w:rsidP="00535670">
      <w:r w:rsidRPr="00535670">
        <w:t xml:space="preserve">As questões que orientam a análise </w:t>
      </w:r>
      <w:r w:rsidR="00205209">
        <w:t>partem da questão central já apresentada</w:t>
      </w:r>
      <w:r w:rsidRPr="00535670">
        <w:t>:</w:t>
      </w:r>
    </w:p>
    <w:p w14:paraId="6A32D96A" w14:textId="5449D36F" w:rsidR="00535670" w:rsidRPr="00535670" w:rsidRDefault="00535670" w:rsidP="00D3646D">
      <w:pPr>
        <w:pStyle w:val="PargrafodaLista"/>
        <w:numPr>
          <w:ilvl w:val="0"/>
          <w:numId w:val="3"/>
        </w:numPr>
      </w:pPr>
      <w:r w:rsidRPr="00A459D1">
        <w:rPr>
          <w:i/>
          <w:iCs/>
        </w:rPr>
        <w:t>Se</w:t>
      </w:r>
      <w:r w:rsidRPr="00535670">
        <w:t xml:space="preserve"> e </w:t>
      </w:r>
      <w:r w:rsidRPr="00A459D1">
        <w:rPr>
          <w:i/>
          <w:iCs/>
        </w:rPr>
        <w:t>como</w:t>
      </w:r>
      <w:r w:rsidRPr="00535670">
        <w:t xml:space="preserve"> os moradores dos conjuntos habitacionais de baixa renda têm acesso às múltiplas centralidades do município por meio do transporte público coletivo?</w:t>
      </w:r>
    </w:p>
    <w:p w14:paraId="3BCBB6A9" w14:textId="4B42269D" w:rsidR="00535670" w:rsidRPr="00535670" w:rsidRDefault="00535670" w:rsidP="00D3646D">
      <w:pPr>
        <w:pStyle w:val="PargrafodaLista"/>
        <w:numPr>
          <w:ilvl w:val="0"/>
          <w:numId w:val="2"/>
        </w:numPr>
      </w:pPr>
      <w:r w:rsidRPr="00535670">
        <w:t>Esse acesso permite o pleno exercício do direito à cidade?</w:t>
      </w:r>
    </w:p>
    <w:p w14:paraId="112B549A" w14:textId="430D1ACE" w:rsidR="00535670" w:rsidRPr="00535670" w:rsidRDefault="00535670" w:rsidP="00D3646D">
      <w:pPr>
        <w:pStyle w:val="PargrafodaLista"/>
        <w:numPr>
          <w:ilvl w:val="0"/>
          <w:numId w:val="2"/>
        </w:numPr>
      </w:pPr>
      <w:r w:rsidRPr="00535670">
        <w:t>Como a relação entre renda e localização afeta as condições de mobilidade urbana?</w:t>
      </w:r>
    </w:p>
    <w:p w14:paraId="46595E4E" w14:textId="5286D5EA" w:rsidR="00535670" w:rsidRPr="00535670" w:rsidRDefault="00535670" w:rsidP="00D3646D">
      <w:pPr>
        <w:pStyle w:val="PargrafodaLista"/>
        <w:numPr>
          <w:ilvl w:val="0"/>
          <w:numId w:val="2"/>
        </w:numPr>
      </w:pPr>
      <w:r w:rsidRPr="00535670">
        <w:t>Como os interesses econômicos atuam na definição dos trajetos das linhas de ônibus?</w:t>
      </w:r>
    </w:p>
    <w:p w14:paraId="1FCCD4E3" w14:textId="352CEFDA" w:rsidR="00172CED" w:rsidRDefault="00535670" w:rsidP="00D3646D">
      <w:pPr>
        <w:pStyle w:val="PargrafodaLista"/>
        <w:numPr>
          <w:ilvl w:val="0"/>
          <w:numId w:val="2"/>
        </w:numPr>
      </w:pPr>
      <w:r w:rsidRPr="00535670">
        <w:t>Como o Estado intervém na organização espacial das cidades por meio das políticas de habitação e transporte coletivo?</w:t>
      </w:r>
    </w:p>
    <w:p w14:paraId="1E140EF5" w14:textId="2FDF1A9B" w:rsidR="0092421C" w:rsidRPr="0092421C" w:rsidRDefault="0092421C" w:rsidP="0092421C">
      <w:pPr>
        <w:pStyle w:val="Ttulo1"/>
      </w:pPr>
      <w:r>
        <w:t xml:space="preserve">5 </w:t>
      </w:r>
      <w:r w:rsidRPr="0092421C">
        <w:t>REVISÃO DE LITERATURA</w:t>
      </w:r>
      <w:r>
        <w:t xml:space="preserve"> SISTEMÁTICA</w:t>
      </w:r>
    </w:p>
    <w:p w14:paraId="028EA187" w14:textId="77777777" w:rsidR="0092421C" w:rsidRPr="0092421C" w:rsidRDefault="0092421C" w:rsidP="0092421C">
      <w:r w:rsidRPr="0092421C">
        <w:t xml:space="preserve">A pesquisa está fundamentada em uma robusta </w:t>
      </w:r>
      <w:r w:rsidRPr="0092421C">
        <w:rPr>
          <w:bCs/>
        </w:rPr>
        <w:t>revisão bibliográfica</w:t>
      </w:r>
      <w:r w:rsidRPr="0092421C">
        <w:t xml:space="preserve"> que visa embasar a análise teórica sobre a produção do espaço urbano, o direito à cidade e a mobilidade. O referencial teórico mobiliza autores que discutem a cidade como produto e condição das relações capitalistas, materializando um planejamento urbano subordinado à lógica neoliberal e aos interesses do mercado e das elites, o que aprofunda desigualdades e legitima a segregação socioespacial. Os principais autores utilizados para fundamentar essa </w:t>
      </w:r>
      <w:r w:rsidRPr="0092421C">
        <w:lastRenderedPageBreak/>
        <w:t xml:space="preserve">perspectiva crítica são </w:t>
      </w:r>
      <w:r w:rsidRPr="0092421C">
        <w:rPr>
          <w:bCs/>
        </w:rPr>
        <w:t xml:space="preserve">Lefebvre, Harvey, Maricato, Bonduki, Vainer, </w:t>
      </w:r>
      <w:proofErr w:type="spellStart"/>
      <w:r w:rsidRPr="0092421C">
        <w:rPr>
          <w:bCs/>
        </w:rPr>
        <w:t>Gottdiener</w:t>
      </w:r>
      <w:proofErr w:type="spellEnd"/>
      <w:r w:rsidRPr="0092421C">
        <w:rPr>
          <w:bCs/>
        </w:rPr>
        <w:t xml:space="preserve"> e Castells</w:t>
      </w:r>
      <w:r w:rsidRPr="0092421C">
        <w:t>.</w:t>
      </w:r>
    </w:p>
    <w:p w14:paraId="34D76753" w14:textId="1649EEA5" w:rsidR="0092421C" w:rsidRDefault="0092421C" w:rsidP="0092421C">
      <w:r w:rsidRPr="0092421C">
        <w:t xml:space="preserve">Além da revisão teórica, a metodologia inclui uma </w:t>
      </w:r>
      <w:r w:rsidRPr="0092421C">
        <w:rPr>
          <w:bCs/>
        </w:rPr>
        <w:t>revisão de literatura empírica</w:t>
      </w:r>
      <w:r w:rsidRPr="0092421C">
        <w:t xml:space="preserve"> ou </w:t>
      </w:r>
      <w:r w:rsidRPr="0092421C">
        <w:rPr>
          <w:bCs/>
        </w:rPr>
        <w:t>bibliométrica</w:t>
      </w:r>
      <w:r w:rsidRPr="0092421C">
        <w:t xml:space="preserve">, que tem como propósito mapear a produção científica recente que articula os três temas centrais: Habitação de Interesse Social (HIS), Direito à Cidade e Mobilidade Urbana. O mapeamento é realizado no recorte temporal de </w:t>
      </w:r>
      <w:r w:rsidRPr="0092421C">
        <w:rPr>
          <w:bCs/>
        </w:rPr>
        <w:t>20</w:t>
      </w:r>
      <w:r w:rsidR="00525CCE">
        <w:rPr>
          <w:bCs/>
        </w:rPr>
        <w:t>1</w:t>
      </w:r>
      <w:r w:rsidRPr="0092421C">
        <w:rPr>
          <w:bCs/>
        </w:rPr>
        <w:t>0 a 2025</w:t>
      </w:r>
      <w:r w:rsidRPr="0092421C">
        <w:t xml:space="preserve">, utilizando as bases Portal de Teses e Dissertações da CAPES, o Portal de Periódicos da CAPES e a </w:t>
      </w:r>
      <w:proofErr w:type="spellStart"/>
      <w:r w:rsidRPr="0092421C">
        <w:rPr>
          <w:i/>
        </w:rPr>
        <w:t>ScienceDirect</w:t>
      </w:r>
      <w:proofErr w:type="spellEnd"/>
      <w:r w:rsidRPr="0092421C">
        <w:t>.</w:t>
      </w:r>
    </w:p>
    <w:p w14:paraId="3046EC65" w14:textId="4F071FD9" w:rsidR="002C63BB" w:rsidRPr="0092421C" w:rsidRDefault="002C63BB" w:rsidP="0092421C">
      <w:r>
        <w:t>O recorte temporal foi escolhido com base na data de implantação do Programa Minha Casa, Minha Vida (2008)</w:t>
      </w:r>
      <w:r w:rsidR="007E6CBA">
        <w:t>, considerando que após dois anos surgiram estudos sobre os primeiros resultados da política habitacional federal.</w:t>
      </w:r>
    </w:p>
    <w:p w14:paraId="3EF8A77E" w14:textId="77777777" w:rsidR="007E1742" w:rsidRDefault="0092421C" w:rsidP="0092421C">
      <w:r w:rsidRPr="0092421C">
        <w:t xml:space="preserve">O objetivo dessa revisão empírica é analisar o panorama das publicações que abordam HIS, Direito à Cidade e Mobilidade Urbana de forma integrada, e verificar a existência de estudos voltados para o contexto de Campos dos Goytacazes/RJ. O estudo preliminar dessa produção acadêmica é crucial, pois análises anteriores (2024) indicaram que, embora a produção sobre os temas individualmente tenha crescido, a interseção entre HIS, Direito à Cidade e Mobilidade Urbana </w:t>
      </w:r>
      <w:r w:rsidRPr="0092421C">
        <w:rPr>
          <w:bCs/>
        </w:rPr>
        <w:t>raramente é explicitada</w:t>
      </w:r>
      <w:r w:rsidRPr="0092421C">
        <w:t xml:space="preserve"> nos títulos, resumos ou palavras-chave.</w:t>
      </w:r>
    </w:p>
    <w:p w14:paraId="5DB63626" w14:textId="497361F4" w:rsidR="00B06F4D" w:rsidRPr="00B06F4D" w:rsidRDefault="00B06F4D" w:rsidP="0092421C">
      <w:r>
        <w:t>Ao fazer uma revisão de literatura direcionada para o tema central dessa pesquisa, que é o</w:t>
      </w:r>
      <w:r w:rsidR="003E3E63">
        <w:t xml:space="preserve"> município de Campos dos Goytacazes/RJ, foram utilizados os seguintes critérios, conforme o </w:t>
      </w:r>
      <w:r w:rsidR="003E3E63" w:rsidRPr="003E3E63">
        <w:fldChar w:fldCharType="begin"/>
      </w:r>
      <w:r w:rsidR="003E3E63" w:rsidRPr="003E3E63">
        <w:instrText xml:space="preserve"> REF _Ref176905505 \h  \* MERGEFORMAT </w:instrText>
      </w:r>
      <w:r w:rsidR="003E3E63" w:rsidRPr="003E3E63">
        <w:fldChar w:fldCharType="separate"/>
      </w:r>
      <w:r w:rsidR="003E3E63" w:rsidRPr="003E3E63">
        <w:t xml:space="preserve">Quadro </w:t>
      </w:r>
      <w:r w:rsidR="003E3E63" w:rsidRPr="003E3E63">
        <w:rPr>
          <w:noProof/>
        </w:rPr>
        <w:t>1</w:t>
      </w:r>
      <w:r w:rsidR="003E3E63" w:rsidRPr="003E3E63">
        <w:fldChar w:fldCharType="end"/>
      </w:r>
      <w:r w:rsidR="003E3E63">
        <w:t>.</w:t>
      </w:r>
    </w:p>
    <w:p w14:paraId="61726A58" w14:textId="1484D23E" w:rsidR="00940562" w:rsidRDefault="007E1742" w:rsidP="00940562">
      <w:pPr>
        <w:pStyle w:val="FIGURA"/>
      </w:pPr>
      <w:bookmarkStart w:id="5" w:name="_Ref176905505"/>
      <w:bookmarkStart w:id="6" w:name="_Hlk177514455"/>
      <w:r w:rsidRPr="003E3E63">
        <w:t xml:space="preserve">Quadro </w:t>
      </w:r>
      <w:fldSimple w:instr=" SEQ Quadro \* ARABIC ">
        <w:r w:rsidR="00940562">
          <w:rPr>
            <w:noProof/>
          </w:rPr>
          <w:t>1</w:t>
        </w:r>
      </w:fldSimple>
      <w:bookmarkEnd w:id="5"/>
      <w:r w:rsidRPr="00EE422F">
        <w:t xml:space="preserve"> – Principais informações da pesquisa.</w:t>
      </w:r>
    </w:p>
    <w:tbl>
      <w:tblPr>
        <w:tblStyle w:val="Tabelacomgrade"/>
        <w:tblW w:w="0" w:type="auto"/>
        <w:jc w:val="center"/>
        <w:tblLook w:val="04A0" w:firstRow="1" w:lastRow="0" w:firstColumn="1" w:lastColumn="0" w:noHBand="0" w:noVBand="1"/>
      </w:tblPr>
      <w:tblGrid>
        <w:gridCol w:w="2758"/>
        <w:gridCol w:w="3878"/>
      </w:tblGrid>
      <w:tr w:rsidR="007E1742" w:rsidRPr="005840F1" w14:paraId="3D6F6F17" w14:textId="77777777" w:rsidTr="00B06F4D">
        <w:trPr>
          <w:jc w:val="center"/>
        </w:trPr>
        <w:tc>
          <w:tcPr>
            <w:tcW w:w="0" w:type="auto"/>
            <w:shd w:val="clear" w:color="auto" w:fill="D9D9D9" w:themeFill="background1" w:themeFillShade="D9"/>
            <w:vAlign w:val="center"/>
          </w:tcPr>
          <w:p w14:paraId="0D805612" w14:textId="77777777" w:rsidR="007E1742" w:rsidRPr="005840F1" w:rsidRDefault="007E1742" w:rsidP="005840F1">
            <w:pPr>
              <w:pStyle w:val="FIGURA"/>
              <w:jc w:val="left"/>
              <w:rPr>
                <w:b/>
                <w:sz w:val="18"/>
                <w:szCs w:val="18"/>
              </w:rPr>
            </w:pPr>
            <w:r w:rsidRPr="005840F1">
              <w:rPr>
                <w:b/>
                <w:sz w:val="18"/>
                <w:szCs w:val="18"/>
              </w:rPr>
              <w:t>Critérios</w:t>
            </w:r>
          </w:p>
        </w:tc>
        <w:tc>
          <w:tcPr>
            <w:tcW w:w="0" w:type="auto"/>
            <w:shd w:val="clear" w:color="auto" w:fill="D9D9D9" w:themeFill="background1" w:themeFillShade="D9"/>
            <w:vAlign w:val="center"/>
          </w:tcPr>
          <w:p w14:paraId="0F72AD4F" w14:textId="77777777" w:rsidR="007E1742" w:rsidRPr="005840F1" w:rsidRDefault="007E1742" w:rsidP="005840F1">
            <w:pPr>
              <w:pStyle w:val="FIGURA"/>
              <w:jc w:val="left"/>
              <w:rPr>
                <w:b/>
                <w:sz w:val="18"/>
                <w:szCs w:val="18"/>
              </w:rPr>
            </w:pPr>
            <w:r w:rsidRPr="005840F1">
              <w:rPr>
                <w:b/>
                <w:sz w:val="18"/>
                <w:szCs w:val="18"/>
              </w:rPr>
              <w:t>Descrições</w:t>
            </w:r>
          </w:p>
        </w:tc>
      </w:tr>
      <w:tr w:rsidR="007E1742" w:rsidRPr="005840F1" w14:paraId="755223B7" w14:textId="77777777" w:rsidTr="00B06F4D">
        <w:trPr>
          <w:jc w:val="center"/>
        </w:trPr>
        <w:tc>
          <w:tcPr>
            <w:tcW w:w="0" w:type="auto"/>
            <w:vAlign w:val="center"/>
          </w:tcPr>
          <w:p w14:paraId="77059274" w14:textId="77777777" w:rsidR="007E1742" w:rsidRPr="005840F1" w:rsidRDefault="007E1742" w:rsidP="005840F1">
            <w:pPr>
              <w:pStyle w:val="FIGURA"/>
              <w:jc w:val="left"/>
              <w:rPr>
                <w:sz w:val="18"/>
                <w:szCs w:val="18"/>
              </w:rPr>
            </w:pPr>
            <w:r w:rsidRPr="005840F1">
              <w:rPr>
                <w:sz w:val="18"/>
                <w:szCs w:val="18"/>
              </w:rPr>
              <w:t>Recorte temporal</w:t>
            </w:r>
          </w:p>
        </w:tc>
        <w:tc>
          <w:tcPr>
            <w:tcW w:w="0" w:type="auto"/>
            <w:vAlign w:val="center"/>
          </w:tcPr>
          <w:p w14:paraId="2BD068D3" w14:textId="77777777" w:rsidR="007E1742" w:rsidRPr="005840F1" w:rsidRDefault="007E1742" w:rsidP="005840F1">
            <w:pPr>
              <w:pStyle w:val="FIGURA"/>
              <w:jc w:val="left"/>
              <w:rPr>
                <w:sz w:val="18"/>
                <w:szCs w:val="18"/>
              </w:rPr>
            </w:pPr>
            <w:r w:rsidRPr="005840F1">
              <w:rPr>
                <w:sz w:val="18"/>
                <w:szCs w:val="18"/>
              </w:rPr>
              <w:t>2010 a 2025</w:t>
            </w:r>
          </w:p>
        </w:tc>
      </w:tr>
      <w:tr w:rsidR="007E1742" w:rsidRPr="005840F1" w14:paraId="1D6D32C6" w14:textId="77777777" w:rsidTr="00B06F4D">
        <w:trPr>
          <w:jc w:val="center"/>
        </w:trPr>
        <w:tc>
          <w:tcPr>
            <w:tcW w:w="0" w:type="auto"/>
            <w:vAlign w:val="center"/>
          </w:tcPr>
          <w:p w14:paraId="6B31251B" w14:textId="77777777" w:rsidR="007E1742" w:rsidRPr="005840F1" w:rsidRDefault="007E1742" w:rsidP="005840F1">
            <w:pPr>
              <w:pStyle w:val="FIGURA"/>
              <w:jc w:val="left"/>
              <w:rPr>
                <w:sz w:val="18"/>
                <w:szCs w:val="18"/>
              </w:rPr>
            </w:pPr>
            <w:r w:rsidRPr="005840F1">
              <w:rPr>
                <w:sz w:val="18"/>
                <w:szCs w:val="18"/>
              </w:rPr>
              <w:t>Critérios de inclusão e exclusão</w:t>
            </w:r>
          </w:p>
        </w:tc>
        <w:tc>
          <w:tcPr>
            <w:tcW w:w="0" w:type="auto"/>
            <w:vAlign w:val="center"/>
          </w:tcPr>
          <w:p w14:paraId="57695FF0" w14:textId="77777777" w:rsidR="007E1742" w:rsidRPr="005840F1" w:rsidRDefault="007E1742" w:rsidP="005840F1">
            <w:pPr>
              <w:pStyle w:val="FIGURA"/>
              <w:jc w:val="left"/>
              <w:rPr>
                <w:sz w:val="18"/>
                <w:szCs w:val="18"/>
              </w:rPr>
            </w:pPr>
            <w:r w:rsidRPr="005840F1">
              <w:rPr>
                <w:sz w:val="18"/>
                <w:szCs w:val="18"/>
              </w:rPr>
              <w:t>Admitidos apenas documentos:</w:t>
            </w:r>
          </w:p>
          <w:p w14:paraId="00926005" w14:textId="77777777" w:rsidR="007E1742" w:rsidRPr="005840F1" w:rsidRDefault="007E1742" w:rsidP="005840F1">
            <w:pPr>
              <w:pStyle w:val="FIGURA"/>
              <w:jc w:val="left"/>
              <w:rPr>
                <w:sz w:val="18"/>
                <w:szCs w:val="18"/>
              </w:rPr>
            </w:pPr>
            <w:r w:rsidRPr="005840F1">
              <w:rPr>
                <w:sz w:val="18"/>
                <w:szCs w:val="18"/>
              </w:rPr>
              <w:t>Com aderência aos temas;</w:t>
            </w:r>
          </w:p>
          <w:p w14:paraId="0A7A4D87" w14:textId="77777777" w:rsidR="007E1742" w:rsidRPr="005840F1" w:rsidRDefault="007E1742" w:rsidP="005840F1">
            <w:pPr>
              <w:pStyle w:val="FIGURA"/>
              <w:jc w:val="left"/>
              <w:rPr>
                <w:sz w:val="18"/>
                <w:szCs w:val="18"/>
              </w:rPr>
            </w:pPr>
            <w:r w:rsidRPr="005840F1">
              <w:rPr>
                <w:sz w:val="18"/>
                <w:szCs w:val="18"/>
              </w:rPr>
              <w:t>Teses, dissertações e artigos em versão final;</w:t>
            </w:r>
          </w:p>
          <w:p w14:paraId="10FCDFE1" w14:textId="77777777" w:rsidR="007E1742" w:rsidRPr="005840F1" w:rsidRDefault="007E1742" w:rsidP="005840F1">
            <w:pPr>
              <w:pStyle w:val="FIGURA"/>
              <w:jc w:val="left"/>
              <w:rPr>
                <w:sz w:val="18"/>
                <w:szCs w:val="18"/>
              </w:rPr>
            </w:pPr>
            <w:r w:rsidRPr="005840F1">
              <w:rPr>
                <w:sz w:val="18"/>
                <w:szCs w:val="18"/>
              </w:rPr>
              <w:t>Com resumo disponível</w:t>
            </w:r>
            <w:r w:rsidRPr="005840F1">
              <w:rPr>
                <w:iCs/>
                <w:sz w:val="18"/>
                <w:szCs w:val="18"/>
              </w:rPr>
              <w:t>;</w:t>
            </w:r>
          </w:p>
          <w:p w14:paraId="502583AE" w14:textId="77777777" w:rsidR="007E1742" w:rsidRPr="005840F1" w:rsidRDefault="007E1742" w:rsidP="005840F1">
            <w:pPr>
              <w:pStyle w:val="FIGURA"/>
              <w:jc w:val="left"/>
              <w:rPr>
                <w:sz w:val="18"/>
                <w:szCs w:val="18"/>
              </w:rPr>
            </w:pPr>
            <w:r w:rsidRPr="005840F1">
              <w:rPr>
                <w:sz w:val="18"/>
                <w:szCs w:val="18"/>
              </w:rPr>
              <w:t>Com texto disponível em português ou inglês;</w:t>
            </w:r>
          </w:p>
          <w:p w14:paraId="4A39909A" w14:textId="77777777" w:rsidR="007E1742" w:rsidRPr="005840F1" w:rsidRDefault="007E1742" w:rsidP="005840F1">
            <w:pPr>
              <w:pStyle w:val="FIGURA"/>
              <w:jc w:val="left"/>
              <w:rPr>
                <w:sz w:val="18"/>
                <w:szCs w:val="18"/>
              </w:rPr>
            </w:pPr>
            <w:r w:rsidRPr="005840F1">
              <w:rPr>
                <w:sz w:val="18"/>
                <w:szCs w:val="18"/>
              </w:rPr>
              <w:t>Cujo texto seja revisado por pares.</w:t>
            </w:r>
          </w:p>
        </w:tc>
      </w:tr>
      <w:tr w:rsidR="007E1742" w:rsidRPr="005840F1" w14:paraId="356D6AB9" w14:textId="77777777" w:rsidTr="00B06F4D">
        <w:trPr>
          <w:jc w:val="center"/>
        </w:trPr>
        <w:tc>
          <w:tcPr>
            <w:tcW w:w="0" w:type="auto"/>
            <w:vAlign w:val="center"/>
          </w:tcPr>
          <w:p w14:paraId="01418CB5" w14:textId="77777777" w:rsidR="007E1742" w:rsidRPr="005840F1" w:rsidRDefault="007E1742" w:rsidP="005840F1">
            <w:pPr>
              <w:pStyle w:val="FIGURA"/>
              <w:jc w:val="left"/>
              <w:rPr>
                <w:sz w:val="18"/>
                <w:szCs w:val="18"/>
              </w:rPr>
            </w:pPr>
            <w:r w:rsidRPr="005840F1">
              <w:rPr>
                <w:sz w:val="18"/>
                <w:szCs w:val="18"/>
              </w:rPr>
              <w:t>Data da pesquisa</w:t>
            </w:r>
          </w:p>
        </w:tc>
        <w:tc>
          <w:tcPr>
            <w:tcW w:w="0" w:type="auto"/>
            <w:vAlign w:val="center"/>
          </w:tcPr>
          <w:p w14:paraId="4ABFA6C3" w14:textId="77777777" w:rsidR="007E1742" w:rsidRPr="005840F1" w:rsidRDefault="007E1742" w:rsidP="005840F1">
            <w:pPr>
              <w:pStyle w:val="FIGURA"/>
              <w:jc w:val="left"/>
              <w:rPr>
                <w:sz w:val="18"/>
                <w:szCs w:val="18"/>
              </w:rPr>
            </w:pPr>
            <w:r w:rsidRPr="005840F1">
              <w:rPr>
                <w:sz w:val="18"/>
                <w:szCs w:val="18"/>
              </w:rPr>
              <w:t>01 de setembro a 12 de outubro de 2025</w:t>
            </w:r>
          </w:p>
        </w:tc>
      </w:tr>
    </w:tbl>
    <w:p w14:paraId="41A3FF04" w14:textId="77777777" w:rsidR="007E1742" w:rsidRPr="00EE08B0" w:rsidRDefault="007E1742" w:rsidP="007E1742">
      <w:pPr>
        <w:pStyle w:val="FIGURA"/>
        <w:rPr>
          <w:rStyle w:val="FiguraChar0"/>
          <w:rFonts w:eastAsia="MS Mincho"/>
          <w:bCs w:val="0"/>
        </w:rPr>
      </w:pPr>
      <w:r w:rsidRPr="002A7E49">
        <w:rPr>
          <w:b/>
          <w:bCs/>
        </w:rPr>
        <w:t>Fonte</w:t>
      </w:r>
      <w:r w:rsidRPr="00EE08B0">
        <w:t xml:space="preserve">: </w:t>
      </w:r>
      <w:r w:rsidRPr="00EE08B0">
        <w:rPr>
          <w:rStyle w:val="FiguraChar0"/>
          <w:rFonts w:eastAsia="MS Mincho"/>
        </w:rPr>
        <w:t xml:space="preserve">Elaborado </w:t>
      </w:r>
      <w:r w:rsidRPr="00EE08B0">
        <w:t xml:space="preserve">pela autora </w:t>
      </w:r>
      <w:r w:rsidRPr="00EE08B0">
        <w:rPr>
          <w:rStyle w:val="FiguraChar0"/>
          <w:rFonts w:eastAsia="MS Mincho"/>
        </w:rPr>
        <w:t>(2025).</w:t>
      </w:r>
    </w:p>
    <w:bookmarkEnd w:id="6"/>
    <w:p w14:paraId="02614DF4" w14:textId="46C7A6D8" w:rsidR="008E3B7E" w:rsidRPr="00940562" w:rsidRDefault="008E3B7E" w:rsidP="008E3B7E">
      <w:r w:rsidRPr="0092421C">
        <w:t xml:space="preserve">A busca bibliométrica inicial resultou em um total de 912 documentos nas bases consultadas. Desse total, foram encontrados 134 documentos nas Teses e Dissertações da CAPES, 455 no Portal de Periódicos da CAPES e 323 </w:t>
      </w:r>
      <w:r w:rsidRPr="0092421C">
        <w:lastRenderedPageBreak/>
        <w:t xml:space="preserve">na </w:t>
      </w:r>
      <w:proofErr w:type="spellStart"/>
      <w:r w:rsidRPr="0092421C">
        <w:rPr>
          <w:i/>
        </w:rPr>
        <w:t>ScienceDirect</w:t>
      </w:r>
      <w:proofErr w:type="spellEnd"/>
      <w:r>
        <w:t>. Depois, ao aplicar os critérios de seleção, obteve-se os seguintes resultados preliminares</w:t>
      </w:r>
      <w:r w:rsidR="00940562">
        <w:t xml:space="preserve">, de acordo com a </w:t>
      </w:r>
      <w:r w:rsidR="00940562" w:rsidRPr="00940562">
        <w:fldChar w:fldCharType="begin"/>
      </w:r>
      <w:r w:rsidR="00940562" w:rsidRPr="00940562">
        <w:instrText xml:space="preserve"> REF _Ref207649376 \h  \* MERGEFORMAT </w:instrText>
      </w:r>
      <w:r w:rsidR="00940562" w:rsidRPr="00940562">
        <w:fldChar w:fldCharType="separate"/>
      </w:r>
      <w:r w:rsidR="00940562" w:rsidRPr="00940562">
        <w:t xml:space="preserve">Tabela </w:t>
      </w:r>
      <w:r w:rsidR="00940562" w:rsidRPr="00940562">
        <w:rPr>
          <w:noProof/>
        </w:rPr>
        <w:t>1</w:t>
      </w:r>
      <w:r w:rsidR="00940562" w:rsidRPr="00940562">
        <w:fldChar w:fldCharType="end"/>
      </w:r>
      <w:r w:rsidRPr="00940562">
        <w:t>:</w:t>
      </w:r>
    </w:p>
    <w:p w14:paraId="71A7CEB1" w14:textId="2B4D2065" w:rsidR="00940562" w:rsidRPr="00EE422F" w:rsidRDefault="00940562" w:rsidP="00940562">
      <w:pPr>
        <w:pStyle w:val="FIGURA"/>
      </w:pPr>
      <w:bookmarkStart w:id="7" w:name="_Ref207649376"/>
      <w:r w:rsidRPr="00940562">
        <w:t xml:space="preserve">Tabela </w:t>
      </w:r>
      <w:fldSimple w:instr=" SEQ Tabela \* ARABIC ">
        <w:r w:rsidRPr="00940562">
          <w:rPr>
            <w:noProof/>
          </w:rPr>
          <w:t>1</w:t>
        </w:r>
      </w:fldSimple>
      <w:bookmarkEnd w:id="7"/>
      <w:r w:rsidRPr="00EE422F">
        <w:rPr>
          <w:b/>
          <w:bCs/>
        </w:rPr>
        <w:t xml:space="preserve"> </w:t>
      </w:r>
      <w:r w:rsidRPr="00EE422F">
        <w:t>– Informações sobre a aplicação dos critérios de seleção.</w:t>
      </w:r>
    </w:p>
    <w:tbl>
      <w:tblPr>
        <w:tblStyle w:val="Tabelacomgrade"/>
        <w:tblW w:w="0" w:type="auto"/>
        <w:jc w:val="center"/>
        <w:tblBorders>
          <w:left w:val="none" w:sz="0" w:space="0" w:color="auto"/>
          <w:right w:val="none" w:sz="0" w:space="0" w:color="auto"/>
        </w:tblBorders>
        <w:tblLayout w:type="fixed"/>
        <w:tblLook w:val="04A0" w:firstRow="1" w:lastRow="0" w:firstColumn="1" w:lastColumn="0" w:noHBand="0" w:noVBand="1"/>
      </w:tblPr>
      <w:tblGrid>
        <w:gridCol w:w="3208"/>
        <w:gridCol w:w="1207"/>
        <w:gridCol w:w="1137"/>
        <w:gridCol w:w="1407"/>
      </w:tblGrid>
      <w:tr w:rsidR="00940562" w:rsidRPr="00940562" w14:paraId="46238AE5" w14:textId="77777777" w:rsidTr="00A65B6A">
        <w:trPr>
          <w:jc w:val="center"/>
        </w:trPr>
        <w:tc>
          <w:tcPr>
            <w:tcW w:w="3208" w:type="dxa"/>
            <w:shd w:val="clear" w:color="auto" w:fill="D9D9D9" w:themeFill="background1" w:themeFillShade="D9"/>
            <w:vAlign w:val="center"/>
          </w:tcPr>
          <w:p w14:paraId="4DB141E7" w14:textId="77777777" w:rsidR="00940562" w:rsidRPr="00940562" w:rsidRDefault="00940562" w:rsidP="00940562">
            <w:pPr>
              <w:pStyle w:val="FIGURA"/>
              <w:rPr>
                <w:rFonts w:cs="Arial"/>
                <w:b/>
                <w:bCs/>
                <w:sz w:val="18"/>
                <w:szCs w:val="18"/>
              </w:rPr>
            </w:pPr>
            <w:r w:rsidRPr="00940562">
              <w:rPr>
                <w:rFonts w:cs="Arial"/>
                <w:b/>
                <w:bCs/>
                <w:sz w:val="18"/>
                <w:szCs w:val="18"/>
              </w:rPr>
              <w:t>Total de registros</w:t>
            </w:r>
          </w:p>
        </w:tc>
        <w:tc>
          <w:tcPr>
            <w:tcW w:w="1207" w:type="dxa"/>
            <w:shd w:val="clear" w:color="auto" w:fill="D9D9D9" w:themeFill="background1" w:themeFillShade="D9"/>
          </w:tcPr>
          <w:p w14:paraId="243A2073" w14:textId="77777777" w:rsidR="00940562" w:rsidRPr="00940562" w:rsidRDefault="00940562" w:rsidP="00940562">
            <w:pPr>
              <w:pStyle w:val="FIGURA"/>
              <w:rPr>
                <w:rFonts w:cs="Arial"/>
                <w:b/>
                <w:bCs/>
                <w:sz w:val="18"/>
                <w:szCs w:val="18"/>
              </w:rPr>
            </w:pPr>
            <w:r w:rsidRPr="00940562">
              <w:rPr>
                <w:rFonts w:cs="Arial"/>
                <w:b/>
                <w:bCs/>
                <w:sz w:val="18"/>
                <w:szCs w:val="18"/>
              </w:rPr>
              <w:t xml:space="preserve">N° </w:t>
            </w:r>
            <w:proofErr w:type="spellStart"/>
            <w:r w:rsidRPr="00940562">
              <w:rPr>
                <w:rFonts w:cs="Arial"/>
                <w:b/>
                <w:bCs/>
                <w:sz w:val="18"/>
                <w:szCs w:val="18"/>
              </w:rPr>
              <w:t>publ</w:t>
            </w:r>
            <w:proofErr w:type="spellEnd"/>
            <w:r w:rsidRPr="00940562">
              <w:rPr>
                <w:rFonts w:cs="Arial"/>
                <w:b/>
                <w:bCs/>
                <w:sz w:val="18"/>
                <w:szCs w:val="18"/>
              </w:rPr>
              <w:t>.</w:t>
            </w:r>
          </w:p>
          <w:p w14:paraId="64FB93F9" w14:textId="77777777" w:rsidR="00940562" w:rsidRPr="00940562" w:rsidRDefault="00940562" w:rsidP="00940562">
            <w:pPr>
              <w:pStyle w:val="FIGURA"/>
              <w:rPr>
                <w:rFonts w:cs="Arial"/>
                <w:b/>
                <w:bCs/>
                <w:sz w:val="18"/>
                <w:szCs w:val="18"/>
              </w:rPr>
            </w:pPr>
            <w:r w:rsidRPr="00940562">
              <w:rPr>
                <w:rFonts w:cs="Arial"/>
                <w:b/>
                <w:bCs/>
                <w:sz w:val="18"/>
                <w:szCs w:val="18"/>
              </w:rPr>
              <w:t>Teses/Diss.</w:t>
            </w:r>
          </w:p>
          <w:p w14:paraId="22689A24" w14:textId="77777777" w:rsidR="00940562" w:rsidRPr="00940562" w:rsidRDefault="00940562" w:rsidP="00940562">
            <w:pPr>
              <w:pStyle w:val="FIGURA"/>
              <w:rPr>
                <w:rFonts w:cs="Arial"/>
                <w:b/>
                <w:bCs/>
                <w:sz w:val="18"/>
                <w:szCs w:val="18"/>
              </w:rPr>
            </w:pPr>
            <w:r w:rsidRPr="00940562">
              <w:rPr>
                <w:rFonts w:cs="Arial"/>
                <w:b/>
                <w:bCs/>
                <w:sz w:val="18"/>
                <w:szCs w:val="18"/>
              </w:rPr>
              <w:t>CAPES</w:t>
            </w:r>
          </w:p>
        </w:tc>
        <w:tc>
          <w:tcPr>
            <w:tcW w:w="1137" w:type="dxa"/>
            <w:shd w:val="clear" w:color="auto" w:fill="D9D9D9" w:themeFill="background1" w:themeFillShade="D9"/>
          </w:tcPr>
          <w:p w14:paraId="21EE1306" w14:textId="77777777" w:rsidR="00940562" w:rsidRPr="00940562" w:rsidRDefault="00940562" w:rsidP="00940562">
            <w:pPr>
              <w:pStyle w:val="FIGURA"/>
              <w:rPr>
                <w:rFonts w:cs="Arial"/>
                <w:b/>
                <w:bCs/>
                <w:sz w:val="18"/>
                <w:szCs w:val="18"/>
              </w:rPr>
            </w:pPr>
            <w:r w:rsidRPr="00940562">
              <w:rPr>
                <w:rFonts w:cs="Arial"/>
                <w:b/>
                <w:bCs/>
                <w:sz w:val="18"/>
                <w:szCs w:val="18"/>
              </w:rPr>
              <w:t xml:space="preserve">N° </w:t>
            </w:r>
            <w:proofErr w:type="spellStart"/>
            <w:r w:rsidRPr="00940562">
              <w:rPr>
                <w:rFonts w:cs="Arial"/>
                <w:b/>
                <w:bCs/>
                <w:sz w:val="18"/>
                <w:szCs w:val="18"/>
              </w:rPr>
              <w:t>publ</w:t>
            </w:r>
            <w:proofErr w:type="spellEnd"/>
            <w:r w:rsidRPr="00940562">
              <w:rPr>
                <w:rFonts w:cs="Arial"/>
                <w:b/>
                <w:bCs/>
                <w:sz w:val="18"/>
                <w:szCs w:val="18"/>
              </w:rPr>
              <w:t>.</w:t>
            </w:r>
          </w:p>
          <w:p w14:paraId="455C8CA5" w14:textId="77777777" w:rsidR="00940562" w:rsidRPr="00940562" w:rsidRDefault="00940562" w:rsidP="00940562">
            <w:pPr>
              <w:pStyle w:val="FIGURA"/>
              <w:rPr>
                <w:rFonts w:cs="Arial"/>
                <w:b/>
                <w:bCs/>
                <w:sz w:val="18"/>
                <w:szCs w:val="18"/>
              </w:rPr>
            </w:pPr>
            <w:r w:rsidRPr="00940562">
              <w:rPr>
                <w:rFonts w:cs="Arial"/>
                <w:b/>
                <w:bCs/>
                <w:sz w:val="18"/>
                <w:szCs w:val="18"/>
              </w:rPr>
              <w:t>Periódicos</w:t>
            </w:r>
          </w:p>
          <w:p w14:paraId="0A8C6A04" w14:textId="77777777" w:rsidR="00940562" w:rsidRPr="00940562" w:rsidRDefault="00940562" w:rsidP="00940562">
            <w:pPr>
              <w:pStyle w:val="FIGURA"/>
              <w:rPr>
                <w:rFonts w:cs="Arial"/>
                <w:b/>
                <w:bCs/>
                <w:sz w:val="18"/>
                <w:szCs w:val="18"/>
              </w:rPr>
            </w:pPr>
            <w:r w:rsidRPr="00940562">
              <w:rPr>
                <w:rFonts w:cs="Arial"/>
                <w:b/>
                <w:bCs/>
                <w:sz w:val="18"/>
                <w:szCs w:val="18"/>
              </w:rPr>
              <w:t>CAPES</w:t>
            </w:r>
          </w:p>
        </w:tc>
        <w:tc>
          <w:tcPr>
            <w:tcW w:w="1407" w:type="dxa"/>
            <w:shd w:val="clear" w:color="auto" w:fill="D9D9D9" w:themeFill="background1" w:themeFillShade="D9"/>
          </w:tcPr>
          <w:p w14:paraId="47CBC749" w14:textId="77777777" w:rsidR="00940562" w:rsidRPr="00940562" w:rsidRDefault="00940562" w:rsidP="00940562">
            <w:pPr>
              <w:pStyle w:val="FIGURA"/>
              <w:rPr>
                <w:rFonts w:cs="Arial"/>
                <w:b/>
                <w:bCs/>
                <w:sz w:val="18"/>
                <w:szCs w:val="18"/>
              </w:rPr>
            </w:pPr>
            <w:r w:rsidRPr="00940562">
              <w:rPr>
                <w:rFonts w:cs="Arial"/>
                <w:b/>
                <w:bCs/>
                <w:sz w:val="18"/>
                <w:szCs w:val="18"/>
              </w:rPr>
              <w:t xml:space="preserve">N° </w:t>
            </w:r>
            <w:proofErr w:type="spellStart"/>
            <w:r w:rsidRPr="00940562">
              <w:rPr>
                <w:rFonts w:cs="Arial"/>
                <w:b/>
                <w:bCs/>
                <w:sz w:val="18"/>
                <w:szCs w:val="18"/>
              </w:rPr>
              <w:t>publ</w:t>
            </w:r>
            <w:proofErr w:type="spellEnd"/>
            <w:r w:rsidRPr="00940562">
              <w:rPr>
                <w:rFonts w:cs="Arial"/>
                <w:b/>
                <w:bCs/>
                <w:sz w:val="18"/>
                <w:szCs w:val="18"/>
              </w:rPr>
              <w:t>.</w:t>
            </w:r>
          </w:p>
          <w:p w14:paraId="6FA91F52" w14:textId="77777777" w:rsidR="00940562" w:rsidRPr="00940562" w:rsidRDefault="00940562" w:rsidP="00940562">
            <w:pPr>
              <w:pStyle w:val="FIGURA"/>
              <w:rPr>
                <w:rFonts w:cs="Arial"/>
                <w:b/>
                <w:bCs/>
                <w:i/>
                <w:iCs/>
                <w:sz w:val="18"/>
                <w:szCs w:val="18"/>
              </w:rPr>
            </w:pPr>
            <w:proofErr w:type="spellStart"/>
            <w:r w:rsidRPr="00940562">
              <w:rPr>
                <w:rFonts w:cs="Arial"/>
                <w:b/>
                <w:bCs/>
                <w:i/>
                <w:iCs/>
                <w:sz w:val="18"/>
                <w:szCs w:val="18"/>
              </w:rPr>
              <w:t>ScienceDirect</w:t>
            </w:r>
            <w:proofErr w:type="spellEnd"/>
          </w:p>
        </w:tc>
      </w:tr>
      <w:tr w:rsidR="00940562" w:rsidRPr="00940562" w14:paraId="55E58A24" w14:textId="77777777" w:rsidTr="00A65B6A">
        <w:trPr>
          <w:jc w:val="center"/>
        </w:trPr>
        <w:tc>
          <w:tcPr>
            <w:tcW w:w="3208" w:type="dxa"/>
            <w:vAlign w:val="center"/>
          </w:tcPr>
          <w:p w14:paraId="5C9441A4" w14:textId="77777777" w:rsidR="00940562" w:rsidRPr="00940562" w:rsidRDefault="00940562" w:rsidP="00940562">
            <w:pPr>
              <w:pStyle w:val="FIGURA"/>
              <w:rPr>
                <w:rFonts w:cs="Arial"/>
                <w:sz w:val="18"/>
                <w:szCs w:val="18"/>
              </w:rPr>
            </w:pPr>
            <w:r w:rsidRPr="00940562">
              <w:rPr>
                <w:rFonts w:cs="Arial"/>
                <w:sz w:val="18"/>
                <w:szCs w:val="18"/>
              </w:rPr>
              <w:t>Total encontrado a partir das buscas</w:t>
            </w:r>
          </w:p>
        </w:tc>
        <w:tc>
          <w:tcPr>
            <w:tcW w:w="1207" w:type="dxa"/>
            <w:vAlign w:val="center"/>
          </w:tcPr>
          <w:p w14:paraId="3EA7113C" w14:textId="77777777" w:rsidR="00940562" w:rsidRPr="00940562" w:rsidRDefault="00940562" w:rsidP="00A65B6A">
            <w:pPr>
              <w:pStyle w:val="FIGURA"/>
              <w:rPr>
                <w:rFonts w:cs="Arial"/>
                <w:sz w:val="18"/>
                <w:szCs w:val="18"/>
              </w:rPr>
            </w:pPr>
            <w:r w:rsidRPr="00940562">
              <w:rPr>
                <w:rFonts w:cs="Arial"/>
                <w:sz w:val="18"/>
                <w:szCs w:val="18"/>
              </w:rPr>
              <w:t>219</w:t>
            </w:r>
          </w:p>
        </w:tc>
        <w:tc>
          <w:tcPr>
            <w:tcW w:w="1137" w:type="dxa"/>
            <w:vAlign w:val="center"/>
          </w:tcPr>
          <w:p w14:paraId="2A4D10C7" w14:textId="77777777" w:rsidR="00940562" w:rsidRPr="00940562" w:rsidRDefault="00940562" w:rsidP="00A65B6A">
            <w:pPr>
              <w:pStyle w:val="FIGURA"/>
              <w:rPr>
                <w:rFonts w:cs="Arial"/>
                <w:sz w:val="18"/>
                <w:szCs w:val="18"/>
              </w:rPr>
            </w:pPr>
            <w:r w:rsidRPr="00940562">
              <w:rPr>
                <w:rFonts w:cs="Arial"/>
                <w:sz w:val="18"/>
                <w:szCs w:val="18"/>
              </w:rPr>
              <w:t>619</w:t>
            </w:r>
          </w:p>
        </w:tc>
        <w:tc>
          <w:tcPr>
            <w:tcW w:w="1407" w:type="dxa"/>
            <w:vAlign w:val="center"/>
          </w:tcPr>
          <w:p w14:paraId="69895DEF" w14:textId="77777777" w:rsidR="00940562" w:rsidRPr="00940562" w:rsidRDefault="00940562" w:rsidP="00A65B6A">
            <w:pPr>
              <w:pStyle w:val="FIGURA"/>
              <w:rPr>
                <w:rFonts w:cs="Arial"/>
                <w:sz w:val="18"/>
                <w:szCs w:val="18"/>
              </w:rPr>
            </w:pPr>
            <w:r w:rsidRPr="00940562">
              <w:rPr>
                <w:rFonts w:cs="Arial"/>
                <w:sz w:val="18"/>
                <w:szCs w:val="18"/>
              </w:rPr>
              <w:t>23</w:t>
            </w:r>
          </w:p>
        </w:tc>
      </w:tr>
      <w:tr w:rsidR="00940562" w:rsidRPr="00940562" w14:paraId="031B4966" w14:textId="77777777" w:rsidTr="00A65B6A">
        <w:trPr>
          <w:jc w:val="center"/>
        </w:trPr>
        <w:tc>
          <w:tcPr>
            <w:tcW w:w="3208" w:type="dxa"/>
            <w:vAlign w:val="center"/>
          </w:tcPr>
          <w:p w14:paraId="61F16BA1" w14:textId="37B76B73" w:rsidR="00940562" w:rsidRPr="00940562" w:rsidRDefault="00940562" w:rsidP="00940562">
            <w:pPr>
              <w:pStyle w:val="FIGURA"/>
              <w:rPr>
                <w:rFonts w:cs="Arial"/>
                <w:sz w:val="18"/>
                <w:szCs w:val="18"/>
              </w:rPr>
            </w:pPr>
            <w:r w:rsidRPr="00940562">
              <w:rPr>
                <w:rFonts w:cs="Arial"/>
                <w:sz w:val="18"/>
                <w:szCs w:val="18"/>
              </w:rPr>
              <w:t>Publicações excluídas por tipo</w:t>
            </w:r>
            <w:r w:rsidR="008A5D31">
              <w:rPr>
                <w:rFonts w:cs="Arial"/>
                <w:sz w:val="18"/>
                <w:szCs w:val="18"/>
              </w:rPr>
              <w:br/>
            </w:r>
            <w:r w:rsidRPr="00940562">
              <w:rPr>
                <w:rFonts w:cs="Arial"/>
                <w:sz w:val="18"/>
                <w:szCs w:val="18"/>
              </w:rPr>
              <w:t>diferente</w:t>
            </w:r>
            <w:r w:rsidR="008A5D31">
              <w:rPr>
                <w:rFonts w:cs="Arial"/>
                <w:sz w:val="18"/>
                <w:szCs w:val="18"/>
              </w:rPr>
              <w:t xml:space="preserve"> </w:t>
            </w:r>
            <w:r w:rsidRPr="00940562">
              <w:rPr>
                <w:rFonts w:cs="Arial"/>
                <w:sz w:val="18"/>
                <w:szCs w:val="18"/>
              </w:rPr>
              <w:t>dos selecionados</w:t>
            </w:r>
          </w:p>
        </w:tc>
        <w:tc>
          <w:tcPr>
            <w:tcW w:w="1207" w:type="dxa"/>
            <w:vAlign w:val="center"/>
          </w:tcPr>
          <w:p w14:paraId="05BAF68E" w14:textId="77777777" w:rsidR="00940562" w:rsidRPr="00940562" w:rsidRDefault="00940562" w:rsidP="00A65B6A">
            <w:pPr>
              <w:pStyle w:val="FIGURA"/>
              <w:rPr>
                <w:rFonts w:cs="Arial"/>
                <w:sz w:val="18"/>
                <w:szCs w:val="18"/>
              </w:rPr>
            </w:pPr>
            <w:r w:rsidRPr="00940562">
              <w:rPr>
                <w:rFonts w:cs="Arial"/>
                <w:sz w:val="18"/>
                <w:szCs w:val="18"/>
              </w:rPr>
              <w:t>0</w:t>
            </w:r>
          </w:p>
        </w:tc>
        <w:tc>
          <w:tcPr>
            <w:tcW w:w="1137" w:type="dxa"/>
            <w:vAlign w:val="center"/>
          </w:tcPr>
          <w:p w14:paraId="70914ABF" w14:textId="77777777" w:rsidR="00940562" w:rsidRPr="00940562" w:rsidRDefault="00940562" w:rsidP="00A65B6A">
            <w:pPr>
              <w:pStyle w:val="FIGURA"/>
              <w:rPr>
                <w:rFonts w:cs="Arial"/>
                <w:sz w:val="18"/>
                <w:szCs w:val="18"/>
              </w:rPr>
            </w:pPr>
            <w:r w:rsidRPr="00940562">
              <w:rPr>
                <w:rFonts w:cs="Arial"/>
                <w:sz w:val="18"/>
                <w:szCs w:val="18"/>
              </w:rPr>
              <w:t>5</w:t>
            </w:r>
          </w:p>
        </w:tc>
        <w:tc>
          <w:tcPr>
            <w:tcW w:w="1407" w:type="dxa"/>
            <w:vAlign w:val="center"/>
          </w:tcPr>
          <w:p w14:paraId="10ED8530" w14:textId="77777777" w:rsidR="00940562" w:rsidRPr="00940562" w:rsidRDefault="00940562" w:rsidP="00A65B6A">
            <w:pPr>
              <w:pStyle w:val="FIGURA"/>
              <w:rPr>
                <w:rFonts w:cs="Arial"/>
                <w:sz w:val="18"/>
                <w:szCs w:val="18"/>
              </w:rPr>
            </w:pPr>
            <w:r w:rsidRPr="00940562">
              <w:rPr>
                <w:rFonts w:cs="Arial"/>
                <w:sz w:val="18"/>
                <w:szCs w:val="18"/>
              </w:rPr>
              <w:t>4</w:t>
            </w:r>
          </w:p>
        </w:tc>
      </w:tr>
      <w:tr w:rsidR="00940562" w:rsidRPr="00940562" w14:paraId="0E7DA6C0" w14:textId="77777777" w:rsidTr="00A65B6A">
        <w:trPr>
          <w:jc w:val="center"/>
        </w:trPr>
        <w:tc>
          <w:tcPr>
            <w:tcW w:w="3208" w:type="dxa"/>
            <w:vAlign w:val="center"/>
          </w:tcPr>
          <w:p w14:paraId="48DB820E" w14:textId="01FFB644" w:rsidR="00940562" w:rsidRPr="00940562" w:rsidRDefault="00940562" w:rsidP="00940562">
            <w:pPr>
              <w:pStyle w:val="FIGURA"/>
              <w:rPr>
                <w:rFonts w:cs="Arial"/>
                <w:sz w:val="18"/>
                <w:szCs w:val="18"/>
              </w:rPr>
            </w:pPr>
            <w:r w:rsidRPr="00940562">
              <w:rPr>
                <w:rFonts w:cs="Arial"/>
                <w:sz w:val="18"/>
                <w:szCs w:val="18"/>
              </w:rPr>
              <w:t>Registros excluídos por repetição</w:t>
            </w:r>
            <w:r w:rsidR="008A5D31">
              <w:rPr>
                <w:rFonts w:cs="Arial"/>
                <w:sz w:val="18"/>
                <w:szCs w:val="18"/>
              </w:rPr>
              <w:br/>
            </w:r>
            <w:r w:rsidRPr="00940562">
              <w:rPr>
                <w:rFonts w:cs="Arial"/>
                <w:sz w:val="18"/>
                <w:szCs w:val="18"/>
              </w:rPr>
              <w:t>em diferentes buscas</w:t>
            </w:r>
          </w:p>
        </w:tc>
        <w:tc>
          <w:tcPr>
            <w:tcW w:w="1207" w:type="dxa"/>
            <w:vAlign w:val="center"/>
          </w:tcPr>
          <w:p w14:paraId="28192F2D" w14:textId="77777777" w:rsidR="00940562" w:rsidRPr="00940562" w:rsidRDefault="00940562" w:rsidP="00A65B6A">
            <w:pPr>
              <w:pStyle w:val="FIGURA"/>
              <w:rPr>
                <w:rFonts w:cs="Arial"/>
                <w:sz w:val="18"/>
                <w:szCs w:val="18"/>
              </w:rPr>
            </w:pPr>
            <w:r w:rsidRPr="00940562">
              <w:rPr>
                <w:rFonts w:cs="Arial"/>
                <w:sz w:val="18"/>
                <w:szCs w:val="18"/>
              </w:rPr>
              <w:t>4</w:t>
            </w:r>
          </w:p>
        </w:tc>
        <w:tc>
          <w:tcPr>
            <w:tcW w:w="1137" w:type="dxa"/>
            <w:vAlign w:val="center"/>
          </w:tcPr>
          <w:p w14:paraId="6933A4E4" w14:textId="77777777" w:rsidR="00940562" w:rsidRPr="00940562" w:rsidRDefault="00940562" w:rsidP="00A65B6A">
            <w:pPr>
              <w:pStyle w:val="FIGURA"/>
              <w:rPr>
                <w:rFonts w:cs="Arial"/>
                <w:sz w:val="18"/>
                <w:szCs w:val="18"/>
              </w:rPr>
            </w:pPr>
            <w:r w:rsidRPr="00940562">
              <w:rPr>
                <w:rFonts w:cs="Arial"/>
                <w:sz w:val="18"/>
                <w:szCs w:val="18"/>
              </w:rPr>
              <w:t>3</w:t>
            </w:r>
          </w:p>
        </w:tc>
        <w:tc>
          <w:tcPr>
            <w:tcW w:w="1407" w:type="dxa"/>
            <w:vAlign w:val="center"/>
          </w:tcPr>
          <w:p w14:paraId="7D49ACF8" w14:textId="77777777" w:rsidR="00940562" w:rsidRPr="00940562" w:rsidRDefault="00940562" w:rsidP="00A65B6A">
            <w:pPr>
              <w:pStyle w:val="FIGURA"/>
              <w:rPr>
                <w:rFonts w:cs="Arial"/>
                <w:sz w:val="18"/>
                <w:szCs w:val="18"/>
              </w:rPr>
            </w:pPr>
            <w:r w:rsidRPr="00940562">
              <w:rPr>
                <w:rFonts w:cs="Arial"/>
                <w:sz w:val="18"/>
                <w:szCs w:val="18"/>
              </w:rPr>
              <w:t>1</w:t>
            </w:r>
          </w:p>
        </w:tc>
      </w:tr>
      <w:tr w:rsidR="00940562" w:rsidRPr="00940562" w14:paraId="1A7D2253" w14:textId="77777777" w:rsidTr="00A65B6A">
        <w:trPr>
          <w:jc w:val="center"/>
        </w:trPr>
        <w:tc>
          <w:tcPr>
            <w:tcW w:w="3208" w:type="dxa"/>
            <w:vAlign w:val="center"/>
          </w:tcPr>
          <w:p w14:paraId="0572C296" w14:textId="66668EC8" w:rsidR="00940562" w:rsidRPr="00940562" w:rsidRDefault="00940562" w:rsidP="00940562">
            <w:pPr>
              <w:pStyle w:val="FIGURA"/>
              <w:rPr>
                <w:rFonts w:cs="Arial"/>
                <w:sz w:val="18"/>
                <w:szCs w:val="18"/>
              </w:rPr>
            </w:pPr>
            <w:r w:rsidRPr="00940562">
              <w:rPr>
                <w:rFonts w:cs="Arial"/>
                <w:sz w:val="18"/>
                <w:szCs w:val="18"/>
              </w:rPr>
              <w:t>Publicações excluídas por</w:t>
            </w:r>
            <w:r w:rsidR="008A5D31">
              <w:rPr>
                <w:rFonts w:cs="Arial"/>
                <w:sz w:val="18"/>
                <w:szCs w:val="18"/>
              </w:rPr>
              <w:br/>
            </w:r>
            <w:r w:rsidRPr="00940562">
              <w:rPr>
                <w:rFonts w:cs="Arial"/>
                <w:sz w:val="18"/>
                <w:szCs w:val="18"/>
              </w:rPr>
              <w:t>ausência de resumo</w:t>
            </w:r>
          </w:p>
        </w:tc>
        <w:tc>
          <w:tcPr>
            <w:tcW w:w="1207" w:type="dxa"/>
            <w:vAlign w:val="center"/>
          </w:tcPr>
          <w:p w14:paraId="1E9F95C3" w14:textId="77777777" w:rsidR="00940562" w:rsidRPr="00940562" w:rsidRDefault="00940562" w:rsidP="00A65B6A">
            <w:pPr>
              <w:pStyle w:val="FIGURA"/>
              <w:rPr>
                <w:rFonts w:cs="Arial"/>
                <w:sz w:val="18"/>
                <w:szCs w:val="18"/>
              </w:rPr>
            </w:pPr>
            <w:r w:rsidRPr="00940562">
              <w:rPr>
                <w:rFonts w:cs="Arial"/>
                <w:sz w:val="18"/>
                <w:szCs w:val="18"/>
              </w:rPr>
              <w:t>1</w:t>
            </w:r>
          </w:p>
        </w:tc>
        <w:tc>
          <w:tcPr>
            <w:tcW w:w="1137" w:type="dxa"/>
            <w:vAlign w:val="center"/>
          </w:tcPr>
          <w:p w14:paraId="6B412631" w14:textId="77777777" w:rsidR="00940562" w:rsidRPr="00940562" w:rsidRDefault="00940562" w:rsidP="00A65B6A">
            <w:pPr>
              <w:pStyle w:val="FIGURA"/>
              <w:rPr>
                <w:rFonts w:cs="Arial"/>
                <w:sz w:val="18"/>
                <w:szCs w:val="18"/>
              </w:rPr>
            </w:pPr>
            <w:r w:rsidRPr="00940562">
              <w:rPr>
                <w:rFonts w:cs="Arial"/>
                <w:sz w:val="18"/>
                <w:szCs w:val="18"/>
              </w:rPr>
              <w:t>1</w:t>
            </w:r>
          </w:p>
        </w:tc>
        <w:tc>
          <w:tcPr>
            <w:tcW w:w="1407" w:type="dxa"/>
            <w:vAlign w:val="center"/>
          </w:tcPr>
          <w:p w14:paraId="3D630329" w14:textId="77777777" w:rsidR="00940562" w:rsidRPr="00940562" w:rsidRDefault="00940562" w:rsidP="00A65B6A">
            <w:pPr>
              <w:pStyle w:val="FIGURA"/>
              <w:rPr>
                <w:rFonts w:cs="Arial"/>
                <w:sz w:val="18"/>
                <w:szCs w:val="18"/>
              </w:rPr>
            </w:pPr>
          </w:p>
        </w:tc>
      </w:tr>
      <w:tr w:rsidR="00940562" w:rsidRPr="00940562" w14:paraId="44030C69" w14:textId="77777777" w:rsidTr="00A65B6A">
        <w:trPr>
          <w:jc w:val="center"/>
        </w:trPr>
        <w:tc>
          <w:tcPr>
            <w:tcW w:w="3208" w:type="dxa"/>
            <w:vAlign w:val="center"/>
          </w:tcPr>
          <w:p w14:paraId="4D9A893E" w14:textId="77777777" w:rsidR="00940562" w:rsidRPr="00940562" w:rsidRDefault="00940562" w:rsidP="00940562">
            <w:pPr>
              <w:pStyle w:val="FIGURA"/>
              <w:rPr>
                <w:rFonts w:cs="Arial"/>
                <w:sz w:val="18"/>
                <w:szCs w:val="18"/>
              </w:rPr>
            </w:pPr>
            <w:r w:rsidRPr="00940562">
              <w:rPr>
                <w:rFonts w:cs="Arial"/>
                <w:sz w:val="18"/>
                <w:szCs w:val="18"/>
              </w:rPr>
              <w:t>Registros excluídos pelo idioma</w:t>
            </w:r>
          </w:p>
        </w:tc>
        <w:tc>
          <w:tcPr>
            <w:tcW w:w="1207" w:type="dxa"/>
            <w:vAlign w:val="center"/>
          </w:tcPr>
          <w:p w14:paraId="3C8FE71D" w14:textId="77777777" w:rsidR="00940562" w:rsidRPr="00940562" w:rsidRDefault="00940562" w:rsidP="00A65B6A">
            <w:pPr>
              <w:pStyle w:val="FIGURA"/>
              <w:rPr>
                <w:rFonts w:cs="Arial"/>
                <w:sz w:val="18"/>
                <w:szCs w:val="18"/>
              </w:rPr>
            </w:pPr>
            <w:r w:rsidRPr="00940562">
              <w:rPr>
                <w:rFonts w:cs="Arial"/>
                <w:sz w:val="18"/>
                <w:szCs w:val="18"/>
              </w:rPr>
              <w:t>0</w:t>
            </w:r>
          </w:p>
        </w:tc>
        <w:tc>
          <w:tcPr>
            <w:tcW w:w="1137" w:type="dxa"/>
            <w:vAlign w:val="center"/>
          </w:tcPr>
          <w:p w14:paraId="77A22A55" w14:textId="77777777" w:rsidR="00940562" w:rsidRPr="00940562" w:rsidRDefault="00940562" w:rsidP="00A65B6A">
            <w:pPr>
              <w:pStyle w:val="FIGURA"/>
              <w:rPr>
                <w:rFonts w:cs="Arial"/>
                <w:sz w:val="18"/>
                <w:szCs w:val="18"/>
              </w:rPr>
            </w:pPr>
            <w:r w:rsidRPr="00940562">
              <w:rPr>
                <w:rFonts w:cs="Arial"/>
                <w:sz w:val="18"/>
                <w:szCs w:val="18"/>
              </w:rPr>
              <w:t>18</w:t>
            </w:r>
          </w:p>
        </w:tc>
        <w:tc>
          <w:tcPr>
            <w:tcW w:w="1407" w:type="dxa"/>
            <w:vAlign w:val="center"/>
          </w:tcPr>
          <w:p w14:paraId="233F072D" w14:textId="77777777" w:rsidR="00940562" w:rsidRPr="00940562" w:rsidRDefault="00940562" w:rsidP="00A65B6A">
            <w:pPr>
              <w:pStyle w:val="FIGURA"/>
              <w:rPr>
                <w:rFonts w:cs="Arial"/>
                <w:sz w:val="18"/>
                <w:szCs w:val="18"/>
              </w:rPr>
            </w:pPr>
            <w:r w:rsidRPr="00940562">
              <w:rPr>
                <w:rFonts w:cs="Arial"/>
                <w:sz w:val="18"/>
                <w:szCs w:val="18"/>
              </w:rPr>
              <w:t>0</w:t>
            </w:r>
          </w:p>
        </w:tc>
      </w:tr>
      <w:tr w:rsidR="00940562" w:rsidRPr="00940562" w14:paraId="434B54F6" w14:textId="77777777" w:rsidTr="00A65B6A">
        <w:trPr>
          <w:jc w:val="center"/>
        </w:trPr>
        <w:tc>
          <w:tcPr>
            <w:tcW w:w="3208" w:type="dxa"/>
            <w:vAlign w:val="center"/>
          </w:tcPr>
          <w:p w14:paraId="43FFE16D" w14:textId="298D605B" w:rsidR="00940562" w:rsidRPr="00940562" w:rsidRDefault="00940562" w:rsidP="00940562">
            <w:pPr>
              <w:pStyle w:val="FIGURA"/>
              <w:rPr>
                <w:rFonts w:cs="Arial"/>
                <w:sz w:val="18"/>
                <w:szCs w:val="18"/>
              </w:rPr>
            </w:pPr>
            <w:r w:rsidRPr="00940562">
              <w:rPr>
                <w:rFonts w:cs="Arial"/>
                <w:sz w:val="18"/>
                <w:szCs w:val="18"/>
              </w:rPr>
              <w:t>Publicações excluídas por não serem</w:t>
            </w:r>
            <w:r w:rsidR="008A5D31">
              <w:rPr>
                <w:rFonts w:cs="Arial"/>
                <w:sz w:val="18"/>
                <w:szCs w:val="18"/>
              </w:rPr>
              <w:br/>
            </w:r>
            <w:r w:rsidRPr="00940562">
              <w:rPr>
                <w:rFonts w:cs="Arial"/>
                <w:sz w:val="18"/>
                <w:szCs w:val="18"/>
              </w:rPr>
              <w:t>revisadas por pares</w:t>
            </w:r>
          </w:p>
        </w:tc>
        <w:tc>
          <w:tcPr>
            <w:tcW w:w="1207" w:type="dxa"/>
            <w:vAlign w:val="center"/>
          </w:tcPr>
          <w:p w14:paraId="4A77DECD" w14:textId="77777777" w:rsidR="00940562" w:rsidRPr="00940562" w:rsidRDefault="00940562" w:rsidP="00A65B6A">
            <w:pPr>
              <w:pStyle w:val="FIGURA"/>
              <w:rPr>
                <w:rFonts w:cs="Arial"/>
                <w:sz w:val="18"/>
                <w:szCs w:val="18"/>
              </w:rPr>
            </w:pPr>
            <w:r w:rsidRPr="00940562">
              <w:rPr>
                <w:rFonts w:cs="Arial"/>
                <w:sz w:val="18"/>
                <w:szCs w:val="18"/>
              </w:rPr>
              <w:t>0</w:t>
            </w:r>
          </w:p>
        </w:tc>
        <w:tc>
          <w:tcPr>
            <w:tcW w:w="1137" w:type="dxa"/>
            <w:vAlign w:val="center"/>
          </w:tcPr>
          <w:p w14:paraId="73AB2DE5" w14:textId="77777777" w:rsidR="00940562" w:rsidRPr="00940562" w:rsidRDefault="00940562" w:rsidP="00A65B6A">
            <w:pPr>
              <w:pStyle w:val="FIGURA"/>
              <w:rPr>
                <w:rFonts w:cs="Arial"/>
                <w:sz w:val="18"/>
                <w:szCs w:val="18"/>
              </w:rPr>
            </w:pPr>
            <w:r w:rsidRPr="00940562">
              <w:rPr>
                <w:rFonts w:cs="Arial"/>
                <w:sz w:val="18"/>
                <w:szCs w:val="18"/>
              </w:rPr>
              <w:t>321</w:t>
            </w:r>
          </w:p>
        </w:tc>
        <w:tc>
          <w:tcPr>
            <w:tcW w:w="1407" w:type="dxa"/>
            <w:vAlign w:val="center"/>
          </w:tcPr>
          <w:p w14:paraId="090C98B7" w14:textId="77777777" w:rsidR="00940562" w:rsidRPr="00940562" w:rsidRDefault="00940562" w:rsidP="00A65B6A">
            <w:pPr>
              <w:pStyle w:val="FIGURA"/>
              <w:rPr>
                <w:rFonts w:cs="Arial"/>
                <w:sz w:val="18"/>
                <w:szCs w:val="18"/>
              </w:rPr>
            </w:pPr>
            <w:r w:rsidRPr="00940562">
              <w:rPr>
                <w:rFonts w:cs="Arial"/>
                <w:sz w:val="18"/>
                <w:szCs w:val="18"/>
              </w:rPr>
              <w:t>0</w:t>
            </w:r>
          </w:p>
        </w:tc>
      </w:tr>
      <w:tr w:rsidR="00940562" w:rsidRPr="00940562" w14:paraId="2C3FDAA4" w14:textId="77777777" w:rsidTr="00A65B6A">
        <w:trPr>
          <w:jc w:val="center"/>
        </w:trPr>
        <w:tc>
          <w:tcPr>
            <w:tcW w:w="3208" w:type="dxa"/>
            <w:vAlign w:val="center"/>
          </w:tcPr>
          <w:p w14:paraId="3C0728D9" w14:textId="3FFD3F21" w:rsidR="00940562" w:rsidRPr="00940562" w:rsidRDefault="00940562" w:rsidP="00940562">
            <w:pPr>
              <w:pStyle w:val="FIGURA"/>
              <w:rPr>
                <w:rFonts w:cs="Arial"/>
                <w:sz w:val="18"/>
                <w:szCs w:val="18"/>
              </w:rPr>
            </w:pPr>
            <w:r w:rsidRPr="00940562">
              <w:rPr>
                <w:rFonts w:cs="Arial"/>
                <w:sz w:val="18"/>
                <w:szCs w:val="18"/>
              </w:rPr>
              <w:t>Publicações excluídas por</w:t>
            </w:r>
            <w:r w:rsidR="008A5D31">
              <w:rPr>
                <w:rFonts w:cs="Arial"/>
                <w:sz w:val="18"/>
                <w:szCs w:val="18"/>
              </w:rPr>
              <w:br/>
            </w:r>
            <w:r w:rsidRPr="00940562">
              <w:rPr>
                <w:rFonts w:cs="Arial"/>
                <w:sz w:val="18"/>
                <w:szCs w:val="18"/>
              </w:rPr>
              <w:t>não aderência ao tema</w:t>
            </w:r>
          </w:p>
        </w:tc>
        <w:tc>
          <w:tcPr>
            <w:tcW w:w="1207" w:type="dxa"/>
            <w:vAlign w:val="center"/>
          </w:tcPr>
          <w:p w14:paraId="79B6F19B" w14:textId="77777777" w:rsidR="00940562" w:rsidRPr="00940562" w:rsidRDefault="00940562" w:rsidP="00A65B6A">
            <w:pPr>
              <w:pStyle w:val="FIGURA"/>
              <w:rPr>
                <w:rFonts w:cs="Arial"/>
                <w:sz w:val="18"/>
                <w:szCs w:val="18"/>
              </w:rPr>
            </w:pPr>
            <w:r w:rsidRPr="00940562">
              <w:rPr>
                <w:rFonts w:cs="Arial"/>
                <w:sz w:val="18"/>
                <w:szCs w:val="18"/>
              </w:rPr>
              <w:t>4</w:t>
            </w:r>
          </w:p>
        </w:tc>
        <w:tc>
          <w:tcPr>
            <w:tcW w:w="1137" w:type="dxa"/>
            <w:vAlign w:val="center"/>
          </w:tcPr>
          <w:p w14:paraId="7A5FD345" w14:textId="77777777" w:rsidR="00940562" w:rsidRPr="00940562" w:rsidRDefault="00940562" w:rsidP="00A65B6A">
            <w:pPr>
              <w:pStyle w:val="FIGURA"/>
              <w:rPr>
                <w:rFonts w:cs="Arial"/>
                <w:sz w:val="18"/>
                <w:szCs w:val="18"/>
              </w:rPr>
            </w:pPr>
            <w:r w:rsidRPr="00940562">
              <w:rPr>
                <w:rFonts w:cs="Arial"/>
                <w:sz w:val="18"/>
                <w:szCs w:val="18"/>
              </w:rPr>
              <w:t>8</w:t>
            </w:r>
          </w:p>
        </w:tc>
        <w:tc>
          <w:tcPr>
            <w:tcW w:w="1407" w:type="dxa"/>
            <w:vAlign w:val="center"/>
          </w:tcPr>
          <w:p w14:paraId="493909F5" w14:textId="77777777" w:rsidR="00940562" w:rsidRPr="00940562" w:rsidRDefault="00940562" w:rsidP="00A65B6A">
            <w:pPr>
              <w:pStyle w:val="FIGURA"/>
              <w:rPr>
                <w:rFonts w:cs="Arial"/>
                <w:sz w:val="18"/>
                <w:szCs w:val="18"/>
              </w:rPr>
            </w:pPr>
            <w:r w:rsidRPr="00940562">
              <w:rPr>
                <w:rFonts w:cs="Arial"/>
                <w:sz w:val="18"/>
                <w:szCs w:val="18"/>
              </w:rPr>
              <w:t>8</w:t>
            </w:r>
          </w:p>
        </w:tc>
      </w:tr>
      <w:tr w:rsidR="00940562" w:rsidRPr="00940562" w14:paraId="469935CC" w14:textId="77777777" w:rsidTr="00A65B6A">
        <w:trPr>
          <w:jc w:val="center"/>
        </w:trPr>
        <w:tc>
          <w:tcPr>
            <w:tcW w:w="3208" w:type="dxa"/>
            <w:vAlign w:val="center"/>
          </w:tcPr>
          <w:p w14:paraId="28B388DE" w14:textId="4C2460EB" w:rsidR="00940562" w:rsidRPr="00940562" w:rsidRDefault="00940562" w:rsidP="00940562">
            <w:pPr>
              <w:pStyle w:val="FIGURA"/>
              <w:rPr>
                <w:rFonts w:cs="Arial"/>
                <w:sz w:val="18"/>
                <w:szCs w:val="18"/>
              </w:rPr>
            </w:pPr>
            <w:r w:rsidRPr="00940562">
              <w:rPr>
                <w:rFonts w:cs="Arial"/>
                <w:sz w:val="18"/>
                <w:szCs w:val="18"/>
              </w:rPr>
              <w:t>Exclusão por repetição</w:t>
            </w:r>
            <w:r w:rsidR="008A5D31">
              <w:rPr>
                <w:rFonts w:cs="Arial"/>
                <w:sz w:val="18"/>
                <w:szCs w:val="18"/>
              </w:rPr>
              <w:br/>
            </w:r>
            <w:r w:rsidRPr="00940562">
              <w:rPr>
                <w:rFonts w:cs="Arial"/>
                <w:sz w:val="18"/>
                <w:szCs w:val="18"/>
              </w:rPr>
              <w:t>em diferentes bases</w:t>
            </w:r>
          </w:p>
        </w:tc>
        <w:tc>
          <w:tcPr>
            <w:tcW w:w="3751" w:type="dxa"/>
            <w:gridSpan w:val="3"/>
            <w:vAlign w:val="center"/>
          </w:tcPr>
          <w:p w14:paraId="0A966479" w14:textId="77777777" w:rsidR="00940562" w:rsidRPr="00940562" w:rsidRDefault="00940562" w:rsidP="00A65B6A">
            <w:pPr>
              <w:pStyle w:val="FIGURA"/>
              <w:rPr>
                <w:rFonts w:cs="Arial"/>
                <w:sz w:val="18"/>
                <w:szCs w:val="18"/>
              </w:rPr>
            </w:pPr>
            <w:r w:rsidRPr="00940562">
              <w:rPr>
                <w:rFonts w:cs="Arial"/>
                <w:sz w:val="18"/>
                <w:szCs w:val="18"/>
              </w:rPr>
              <w:t>1</w:t>
            </w:r>
          </w:p>
        </w:tc>
      </w:tr>
      <w:tr w:rsidR="00940562" w:rsidRPr="00940562" w14:paraId="127FA7FC" w14:textId="77777777" w:rsidTr="00A65B6A">
        <w:trPr>
          <w:jc w:val="center"/>
        </w:trPr>
        <w:tc>
          <w:tcPr>
            <w:tcW w:w="3208" w:type="dxa"/>
            <w:shd w:val="clear" w:color="auto" w:fill="D9D9D9" w:themeFill="background1" w:themeFillShade="D9"/>
            <w:vAlign w:val="center"/>
          </w:tcPr>
          <w:p w14:paraId="7EB1A3A7" w14:textId="77777777" w:rsidR="00940562" w:rsidRPr="00940562" w:rsidRDefault="00940562" w:rsidP="00940562">
            <w:pPr>
              <w:pStyle w:val="FIGURA"/>
              <w:rPr>
                <w:rFonts w:cs="Arial"/>
                <w:b/>
                <w:bCs/>
                <w:sz w:val="18"/>
                <w:szCs w:val="18"/>
              </w:rPr>
            </w:pPr>
            <w:r w:rsidRPr="00940562">
              <w:rPr>
                <w:rFonts w:cs="Arial"/>
                <w:b/>
                <w:bCs/>
                <w:sz w:val="18"/>
                <w:szCs w:val="18"/>
              </w:rPr>
              <w:t>Total resultante</w:t>
            </w:r>
          </w:p>
        </w:tc>
        <w:tc>
          <w:tcPr>
            <w:tcW w:w="1207" w:type="dxa"/>
            <w:shd w:val="clear" w:color="auto" w:fill="D9D9D9" w:themeFill="background1" w:themeFillShade="D9"/>
            <w:vAlign w:val="center"/>
          </w:tcPr>
          <w:p w14:paraId="7FE047FB" w14:textId="77777777" w:rsidR="00940562" w:rsidRPr="00940562" w:rsidRDefault="00940562" w:rsidP="00A65B6A">
            <w:pPr>
              <w:pStyle w:val="FIGURA"/>
              <w:rPr>
                <w:rFonts w:cs="Arial"/>
                <w:b/>
                <w:bCs/>
                <w:sz w:val="18"/>
                <w:szCs w:val="18"/>
              </w:rPr>
            </w:pPr>
            <w:r w:rsidRPr="00940562">
              <w:rPr>
                <w:rFonts w:cs="Arial"/>
                <w:b/>
                <w:bCs/>
                <w:sz w:val="18"/>
                <w:szCs w:val="18"/>
              </w:rPr>
              <w:t>209</w:t>
            </w:r>
          </w:p>
        </w:tc>
        <w:tc>
          <w:tcPr>
            <w:tcW w:w="1137" w:type="dxa"/>
            <w:shd w:val="clear" w:color="auto" w:fill="D9D9D9" w:themeFill="background1" w:themeFillShade="D9"/>
            <w:vAlign w:val="center"/>
          </w:tcPr>
          <w:p w14:paraId="5A367460" w14:textId="77777777" w:rsidR="00940562" w:rsidRPr="00940562" w:rsidRDefault="00940562" w:rsidP="00A65B6A">
            <w:pPr>
              <w:pStyle w:val="FIGURA"/>
              <w:rPr>
                <w:rFonts w:cs="Arial"/>
                <w:b/>
                <w:bCs/>
                <w:sz w:val="18"/>
                <w:szCs w:val="18"/>
              </w:rPr>
            </w:pPr>
            <w:r w:rsidRPr="00940562">
              <w:rPr>
                <w:rFonts w:cs="Arial"/>
                <w:b/>
                <w:bCs/>
                <w:sz w:val="18"/>
                <w:szCs w:val="18"/>
              </w:rPr>
              <w:t>263</w:t>
            </w:r>
          </w:p>
        </w:tc>
        <w:tc>
          <w:tcPr>
            <w:tcW w:w="1407" w:type="dxa"/>
            <w:shd w:val="clear" w:color="auto" w:fill="D9D9D9" w:themeFill="background1" w:themeFillShade="D9"/>
            <w:vAlign w:val="center"/>
          </w:tcPr>
          <w:p w14:paraId="761B5B04" w14:textId="0274AE10" w:rsidR="00940562" w:rsidRPr="00940562" w:rsidRDefault="00A65B6A" w:rsidP="00A65B6A">
            <w:pPr>
              <w:pStyle w:val="FIGURA"/>
              <w:rPr>
                <w:rFonts w:cs="Arial"/>
                <w:b/>
                <w:bCs/>
                <w:sz w:val="18"/>
                <w:szCs w:val="18"/>
              </w:rPr>
            </w:pPr>
            <w:r>
              <w:rPr>
                <w:rFonts w:cs="Arial"/>
                <w:b/>
                <w:bCs/>
                <w:sz w:val="18"/>
                <w:szCs w:val="18"/>
              </w:rPr>
              <w:t>10</w:t>
            </w:r>
          </w:p>
        </w:tc>
      </w:tr>
      <w:tr w:rsidR="00940562" w:rsidRPr="00940562" w14:paraId="0FC4C8D7" w14:textId="77777777" w:rsidTr="00A65B6A">
        <w:trPr>
          <w:trHeight w:val="236"/>
          <w:jc w:val="center"/>
        </w:trPr>
        <w:tc>
          <w:tcPr>
            <w:tcW w:w="3208" w:type="dxa"/>
            <w:shd w:val="clear" w:color="auto" w:fill="D9D9D9" w:themeFill="background1" w:themeFillShade="D9"/>
            <w:vAlign w:val="center"/>
          </w:tcPr>
          <w:p w14:paraId="465C2804" w14:textId="77777777" w:rsidR="00940562" w:rsidRPr="00940562" w:rsidRDefault="00940562" w:rsidP="00940562">
            <w:pPr>
              <w:pStyle w:val="FIGURA"/>
              <w:rPr>
                <w:rFonts w:cs="Arial"/>
                <w:b/>
                <w:bCs/>
                <w:sz w:val="18"/>
                <w:szCs w:val="18"/>
              </w:rPr>
            </w:pPr>
            <w:r w:rsidRPr="00940562">
              <w:rPr>
                <w:rFonts w:cs="Arial"/>
                <w:b/>
                <w:bCs/>
                <w:sz w:val="18"/>
                <w:szCs w:val="18"/>
              </w:rPr>
              <w:t>Total selecionado para análise</w:t>
            </w:r>
          </w:p>
        </w:tc>
        <w:tc>
          <w:tcPr>
            <w:tcW w:w="3751" w:type="dxa"/>
            <w:gridSpan w:val="3"/>
            <w:shd w:val="clear" w:color="auto" w:fill="D9D9D9" w:themeFill="background1" w:themeFillShade="D9"/>
            <w:vAlign w:val="center"/>
          </w:tcPr>
          <w:p w14:paraId="58780781" w14:textId="77777777" w:rsidR="00940562" w:rsidRPr="00940562" w:rsidRDefault="00940562" w:rsidP="00A65B6A">
            <w:pPr>
              <w:pStyle w:val="FIGURA"/>
              <w:rPr>
                <w:rFonts w:cs="Arial"/>
                <w:b/>
                <w:bCs/>
                <w:sz w:val="18"/>
                <w:szCs w:val="18"/>
              </w:rPr>
            </w:pPr>
            <w:r w:rsidRPr="00940562">
              <w:rPr>
                <w:rFonts w:cs="Arial"/>
                <w:b/>
                <w:bCs/>
                <w:sz w:val="18"/>
                <w:szCs w:val="18"/>
              </w:rPr>
              <w:t>482</w:t>
            </w:r>
          </w:p>
        </w:tc>
      </w:tr>
    </w:tbl>
    <w:p w14:paraId="0B59A5F1" w14:textId="77777777" w:rsidR="00940562" w:rsidRPr="00EE422F" w:rsidRDefault="00940562" w:rsidP="00940562">
      <w:pPr>
        <w:pStyle w:val="FIGURA"/>
      </w:pPr>
      <w:r w:rsidRPr="00EE422F">
        <w:rPr>
          <w:b/>
          <w:bCs/>
        </w:rPr>
        <w:t>Fonte</w:t>
      </w:r>
      <w:r w:rsidRPr="00EE422F">
        <w:t>: Elaborada pela autora (2025).</w:t>
      </w:r>
    </w:p>
    <w:p w14:paraId="1F1D64B2" w14:textId="0149F0AF" w:rsidR="002533AE" w:rsidRPr="00862D70" w:rsidRDefault="002533AE" w:rsidP="002533AE">
      <w:r w:rsidRPr="00862D70">
        <w:t xml:space="preserve">Devido a indexação em diferentes bases, utilizou-se o </w:t>
      </w:r>
      <w:proofErr w:type="spellStart"/>
      <w:r w:rsidRPr="00862D70">
        <w:rPr>
          <w:i/>
          <w:iCs/>
        </w:rPr>
        <w:t>Zotero</w:t>
      </w:r>
      <w:proofErr w:type="spellEnd"/>
      <w:r w:rsidRPr="00862D70">
        <w:t xml:space="preserve"> (</w:t>
      </w:r>
      <w:r w:rsidRPr="00862D70">
        <w:rPr>
          <w:i/>
          <w:iCs/>
        </w:rPr>
        <w:t>software</w:t>
      </w:r>
      <w:r w:rsidRPr="00862D70">
        <w:t xml:space="preserve"> gratuito) para reunir e mapear a produção acadêmica selecionada.</w:t>
      </w:r>
      <w:r>
        <w:t xml:space="preserve"> </w:t>
      </w:r>
      <w:r w:rsidRPr="00862D70">
        <w:t>Após essa seleção, serão analisados os trabalhos quanto ao recorte temporal de 2010 a 2025, relacionando o volume de publicações às três áreas temáticas a partir de títulos, resumos e palavras-chave, além da distribuição temporal das pesquisas. Em seguida, o estudo identificará os países, instituições, autores e publicações mais relevantes sobre Habitação de Interesse Social, Direito à Cidade e Mobilidade Urbana, destacando também as fontes com maior concentração de trabalhos e impacto acadêmico</w:t>
      </w:r>
      <w:r w:rsidR="00D83317">
        <w:t xml:space="preserve">, conforme o </w:t>
      </w:r>
      <w:proofErr w:type="spellStart"/>
      <w:r w:rsidR="00D83317">
        <w:rPr>
          <w:i/>
          <w:iCs/>
        </w:rPr>
        <w:t>qualis</w:t>
      </w:r>
      <w:proofErr w:type="spellEnd"/>
      <w:r w:rsidR="00D83317">
        <w:t xml:space="preserve"> da CAPES</w:t>
      </w:r>
      <w:r w:rsidRPr="00862D70">
        <w:t>.</w:t>
      </w:r>
    </w:p>
    <w:p w14:paraId="6146D35D" w14:textId="375A0152" w:rsidR="00AB17DA" w:rsidRDefault="0092421C" w:rsidP="00AB17DA">
      <w:pPr>
        <w:pStyle w:val="Ttulo1"/>
      </w:pPr>
      <w:r>
        <w:t>6</w:t>
      </w:r>
      <w:r w:rsidR="00AB17DA" w:rsidRPr="00AB17DA">
        <w:t xml:space="preserve"> </w:t>
      </w:r>
      <w:r w:rsidR="000279A9" w:rsidRPr="000279A9">
        <w:t xml:space="preserve">RESULTADOS </w:t>
      </w:r>
      <w:r w:rsidR="000279A9">
        <w:t xml:space="preserve">PRELIMINARES </w:t>
      </w:r>
      <w:r w:rsidR="000279A9" w:rsidRPr="000279A9">
        <w:t>E CONTRIBUIÇÕES PRETENDIDAS</w:t>
      </w:r>
    </w:p>
    <w:p w14:paraId="3E02CE02" w14:textId="77777777" w:rsidR="000666AB" w:rsidRPr="000666AB" w:rsidRDefault="000666AB" w:rsidP="000666AB">
      <w:r w:rsidRPr="000666AB">
        <w:t>A pesquisa pretende demonstrar que a localização periférica e a precariedade do transporte coletivo dificultam o acesso da população aos serviços urbanos, limitando o exercício do direito à cidade. As dificuldades incluem longos deslocamentos e baixa oferta de ônibus, afetando o acesso a equipamentos de saúde, educação, lazer e cultura.</w:t>
      </w:r>
    </w:p>
    <w:p w14:paraId="0CA606E9" w14:textId="70E3A71A" w:rsidR="000666AB" w:rsidRPr="000666AB" w:rsidRDefault="000666AB" w:rsidP="000666AB">
      <w:r w:rsidRPr="000666AB">
        <w:t xml:space="preserve">O mapeamento das dificuldades enfrentadas por essa população para acessar recursos e infraestrutura devido à localização periférica dos conjuntos e </w:t>
      </w:r>
      <w:r w:rsidRPr="000666AB">
        <w:lastRenderedPageBreak/>
        <w:t>à insuficiência da rede de transporte é um resultado esperado. A análise busca evidenciar que a política habitacional, ao desconsiderar o contexto socioespacial, contribui para limitar o exercício pleno do direito à cidade, transformando a moradia em uma solução aparente para o déficit habitacional, sem efetiva inclusão urbana.</w:t>
      </w:r>
      <w:r w:rsidR="0026111E">
        <w:t xml:space="preserve"> </w:t>
      </w:r>
      <w:r w:rsidR="0026111E" w:rsidRPr="0026111E">
        <w:t>E, ao mesmo tempo, que a política de mobilidade urbana não oferece respostas para a insuficiência da política habitacional popular.</w:t>
      </w:r>
    </w:p>
    <w:p w14:paraId="5863C680" w14:textId="00571A2A" w:rsidR="000666AB" w:rsidRPr="000666AB" w:rsidRDefault="000666AB" w:rsidP="000666AB">
      <w:r w:rsidRPr="000666AB">
        <w:t>A pesquisa visa contribuir para políticas públicas que integrem habitação, mobilidade e justiça socioespacial, considerando a inserção urbana como parte da moradia adequada. A revisão de literatura empírica programada (20</w:t>
      </w:r>
      <w:r w:rsidR="0026111E">
        <w:t>1</w:t>
      </w:r>
      <w:r w:rsidRPr="000666AB">
        <w:t>0-2025) contribui para preencher lacunas na produção científica que raramente explicita a interseção entre HIS, Direito à Cidade e Mobilidade Urbana nos títulos ou resumos.</w:t>
      </w:r>
    </w:p>
    <w:p w14:paraId="06C2FCA3" w14:textId="62A86FA7" w:rsidR="000666AB" w:rsidRPr="000666AB" w:rsidRDefault="0092421C" w:rsidP="000666AB">
      <w:pPr>
        <w:pStyle w:val="Ttulo1"/>
      </w:pPr>
      <w:r>
        <w:t>7</w:t>
      </w:r>
      <w:r w:rsidR="000666AB" w:rsidRPr="000666AB">
        <w:t xml:space="preserve"> CONSIDERAÇÕES FINAIS</w:t>
      </w:r>
    </w:p>
    <w:p w14:paraId="5AEC83CF" w14:textId="77777777" w:rsidR="00F71E64" w:rsidRPr="00F71E64" w:rsidRDefault="00F71E64" w:rsidP="00F71E64">
      <w:r w:rsidRPr="00F71E64">
        <w:t>A investigação sobre a inter-relação entre Habitação de Interesse Social (HIS), Direito à Cidade e Mobilidade Urbana em Campos dos Goytacazes/RJ evidencia que o planejamento urbano, subordinado à lógica neoliberal e aos interesses do mercado e das elites, materializa a segregação socioespacial. Conforme as considerações iniciais da pesquisa, a localização periférica e a precariedade do transporte coletivo comprometem o exercício do direito à cidade para os moradores dos conjuntos habitacionais.</w:t>
      </w:r>
    </w:p>
    <w:p w14:paraId="4376C605" w14:textId="253BEAB7" w:rsidR="00E968FC" w:rsidRPr="00E968FC" w:rsidRDefault="00E968FC" w:rsidP="00E968FC">
      <w:r w:rsidRPr="00E968FC">
        <w:t>A pesquisa demonstra</w:t>
      </w:r>
      <w:r>
        <w:t>, mesmo que em fase inicial,</w:t>
      </w:r>
      <w:r w:rsidRPr="00E968FC">
        <w:t xml:space="preserve"> que a política habitacional, ao focar exclusivamente na provisão da unidade construída — o direito à moradia — e ao desconsiderar sua inserção urbana e as condições de mobilidade, resulta em uma solução </w:t>
      </w:r>
      <w:r w:rsidR="00524EC1">
        <w:t xml:space="preserve">– </w:t>
      </w:r>
      <w:r w:rsidR="00524EC1" w:rsidRPr="00524EC1">
        <w:t xml:space="preserve">ainda que com problemas na sua realização </w:t>
      </w:r>
      <w:r w:rsidR="00A5025B">
        <w:t xml:space="preserve">– </w:t>
      </w:r>
      <w:r w:rsidRPr="00E968FC">
        <w:t>para o déficit habitacional, mas é incapaz de promover a efetiva inclusão urbana. Os custos de deslocamento e a precariedade do transporte público absorvem os benefícios da moradia própria, reforçando a segregação socioespacial.</w:t>
      </w:r>
    </w:p>
    <w:p w14:paraId="3E978901" w14:textId="376EDB7A" w:rsidR="00E968FC" w:rsidRDefault="00E968FC" w:rsidP="00E968FC">
      <w:r w:rsidRPr="00E968FC">
        <w:t>Os moradores enfrentam cotidianamente a exclusão territorial devido aos longos deslocamentos, baixa oferta de ônibus</w:t>
      </w:r>
      <w:r w:rsidR="00446791" w:rsidRPr="00446791">
        <w:t>, insegurança na regularidade dos horários</w:t>
      </w:r>
      <w:r w:rsidRPr="00E968FC">
        <w:t xml:space="preserve"> e longos períodos de espera. Essa precariedade, exacerbada pela redução drástica dos horários à noite, limita severamente o acesso a serviços </w:t>
      </w:r>
      <w:r w:rsidRPr="00E968FC">
        <w:lastRenderedPageBreak/>
        <w:t>essenciais como saúde, educação, lazer e cultura,</w:t>
      </w:r>
      <w:r w:rsidR="005C342F" w:rsidRPr="005C342F">
        <w:t xml:space="preserve"> e mesmo a certos tipos de trabalho,</w:t>
      </w:r>
      <w:r w:rsidRPr="00E968FC">
        <w:t xml:space="preserve"> e restringe a vivência da cidade. Tal situação confirma que a localização da moradia, e não apenas a renda, é um fator determinante para o acesso desigual à infraestrutura e às oportunidades.</w:t>
      </w:r>
    </w:p>
    <w:p w14:paraId="3163BF59" w14:textId="46607FB5" w:rsidR="00F71E64" w:rsidRPr="00F71E64" w:rsidRDefault="00F71E64" w:rsidP="00F71E64">
      <w:r w:rsidRPr="00F71E64">
        <w:t xml:space="preserve">O estudo </w:t>
      </w:r>
      <w:r>
        <w:t>busca ratificar</w:t>
      </w:r>
      <w:r w:rsidRPr="00F71E64">
        <w:t xml:space="preserve"> a crítica de que a política habitacional, ao negligenciar o contexto socioespacial, contribui para limitar o exercício pleno do direito à cidade. A efetivação do direito à cidade, conforme proposto por David Harvey, exige o exercício de um poder coletivo sobre o processo de urbanização, algo que atualmente está concentrado em uma pequena elite.</w:t>
      </w:r>
    </w:p>
    <w:p w14:paraId="100181BA" w14:textId="2DDF494E" w:rsidR="00E968FC" w:rsidRDefault="00E968FC" w:rsidP="00E968FC">
      <w:r w:rsidRPr="00E968FC">
        <w:t xml:space="preserve">Em suma, a pesquisa enfatiza a urgência </w:t>
      </w:r>
      <w:r w:rsidR="005C342F">
        <w:t>em</w:t>
      </w:r>
      <w:r w:rsidRPr="00E968FC">
        <w:t xml:space="preserve"> superar a dissociação entre habitação e mobilidade urbana. A conclusão primordial do estudo é que a efetivação do direito à cidade exige que a inserção urbana seja reconhecida como parte fundamental da moradia adequada. É indispensável integrar as políticas de habitação e transporte coletivo, garantindo que o Estado utilize o poder coletivo sobre o processo de urbanização para reverter a lógica excludente que estrutura o espaço em Campos dos Goytacazes/RJ</w:t>
      </w:r>
      <w:r w:rsidR="00A04966">
        <w:t xml:space="preserve">, promovendo uma cidade </w:t>
      </w:r>
      <w:r w:rsidR="00D3646D">
        <w:t xml:space="preserve">mais </w:t>
      </w:r>
      <w:r w:rsidR="00D3646D" w:rsidRPr="00F71E64">
        <w:t>justa, democrática e inclusiva</w:t>
      </w:r>
      <w:r w:rsidR="00D3646D">
        <w:t>.</w:t>
      </w:r>
    </w:p>
    <w:p w14:paraId="299B9F3F" w14:textId="2AE53261" w:rsidR="00F71E64" w:rsidRDefault="00F71E64" w:rsidP="00F71E64">
      <w:r w:rsidRPr="00F71E64">
        <w:t>Portanto, a pesquisa busca contribuir para políticas públicas que integrem habitação, mobilidade e justiça socioespacial</w:t>
      </w:r>
      <w:r w:rsidR="00D3646D">
        <w:t xml:space="preserve">, </w:t>
      </w:r>
      <w:r w:rsidRPr="00F71E64">
        <w:t>reafirmando o direito à cidade como direito de cidadania.</w:t>
      </w:r>
    </w:p>
    <w:p w14:paraId="015D3F67" w14:textId="5D5EB113" w:rsidR="00336DD3" w:rsidRDefault="00336DD3" w:rsidP="00336DD3">
      <w:pPr>
        <w:pStyle w:val="Ttulo1"/>
      </w:pPr>
      <w:r>
        <w:t>REFERÊNCIAS</w:t>
      </w:r>
    </w:p>
    <w:p w14:paraId="7302DE54" w14:textId="77777777" w:rsidR="00874902" w:rsidRPr="00874902" w:rsidRDefault="00874902" w:rsidP="00320E36">
      <w:pPr>
        <w:pStyle w:val="REFERNCIAS"/>
      </w:pPr>
      <w:r w:rsidRPr="00874902">
        <w:t xml:space="preserve">ARRUDA, A. P. S. N. </w:t>
      </w:r>
      <w:r w:rsidRPr="00874902">
        <w:rPr>
          <w:b/>
          <w:bCs/>
        </w:rPr>
        <w:t>Política habitacional e remoção de favelas em cidades de porte médio</w:t>
      </w:r>
      <w:r w:rsidRPr="00874902">
        <w:t xml:space="preserve">: a experiência do conjunto habitacional Aldeia em Campos dos Goytacazes. 2009. Dissertação (Mestrado em Políticas Sociais) – Universidade Estadual do Norte Fluminense Darcy Ribeiro, Campos dos Goytacazes, 2009. Disponível em: </w:t>
      </w:r>
      <w:hyperlink r:id="rId12" w:history="1">
        <w:r w:rsidRPr="00874902">
          <w:t>https://uenf.br/posgraduacao/politicas-sociais/wp-content/uploads/sites/11/2015/06/ANA-PAULA-SERPA-NOGUEIRA-DE-ARRUDA.compressed.pdf</w:t>
        </w:r>
      </w:hyperlink>
      <w:r w:rsidRPr="00874902">
        <w:t>. Acesso em: 10 jul. 2023.</w:t>
      </w:r>
    </w:p>
    <w:p w14:paraId="501844BC" w14:textId="77777777" w:rsidR="00874902" w:rsidRPr="00874902" w:rsidRDefault="00874902" w:rsidP="00320E36">
      <w:pPr>
        <w:pStyle w:val="REFERNCIAS"/>
      </w:pPr>
      <w:r w:rsidRPr="00874902">
        <w:t xml:space="preserve">ARRUDA, A. P. S. N. </w:t>
      </w:r>
      <w:r w:rsidRPr="00874902">
        <w:rPr>
          <w:b/>
          <w:bCs/>
        </w:rPr>
        <w:t>POLÍTICA HABITACIONAL E DIREITO À CIDADE</w:t>
      </w:r>
      <w:r w:rsidRPr="00874902">
        <w:t xml:space="preserve">: A EXPERIÊNCIA DO PROGRAMA “MORAR FELIZ” EM CAMPOS DOS GOYTACAZES-RJ. Tese (Doutorado em Sociologia Política) – Universidade Estadual do Norte Fluminense Darcy Ribeiro, Campos dos Goytacazes, 2014. Disponível em: </w:t>
      </w:r>
      <w:hyperlink r:id="rId13" w:history="1">
        <w:r w:rsidRPr="00874902">
          <w:t>https://uenf.br/posgraduacao/sociologia-politica/wp-content/uploads/sites/9/2013/03/Tese-Ana-Paula-Serpa-Nogueira-de-Arruda.pdf</w:t>
        </w:r>
      </w:hyperlink>
      <w:r w:rsidRPr="00874902">
        <w:t>. Acesso em: 15 jul. 2023.</w:t>
      </w:r>
    </w:p>
    <w:p w14:paraId="4E11C2D4" w14:textId="77777777" w:rsidR="00874902" w:rsidRPr="00874902" w:rsidRDefault="00874902" w:rsidP="00320E36">
      <w:pPr>
        <w:pStyle w:val="REFERNCIAS"/>
      </w:pPr>
      <w:r w:rsidRPr="00874902">
        <w:lastRenderedPageBreak/>
        <w:t xml:space="preserve">Azevedo, S.; Andrade, L. A. G. </w:t>
      </w:r>
      <w:r w:rsidRPr="00874902">
        <w:rPr>
          <w:b/>
          <w:bCs/>
        </w:rPr>
        <w:t>Habita</w:t>
      </w:r>
      <w:r w:rsidRPr="00874902">
        <w:rPr>
          <w:rFonts w:hint="eastAsia"/>
          <w:b/>
          <w:bCs/>
        </w:rPr>
        <w:t>çã</w:t>
      </w:r>
      <w:r w:rsidRPr="00874902">
        <w:rPr>
          <w:b/>
          <w:bCs/>
        </w:rPr>
        <w:t>o e poder</w:t>
      </w:r>
      <w:r w:rsidRPr="00874902">
        <w:t>: da Funda</w:t>
      </w:r>
      <w:r w:rsidRPr="00874902">
        <w:rPr>
          <w:rFonts w:hint="eastAsia"/>
        </w:rPr>
        <w:t>çã</w:t>
      </w:r>
      <w:r w:rsidRPr="00874902">
        <w:t>o da Casa Popular ao Banco Nacional Habita</w:t>
      </w:r>
      <w:r w:rsidRPr="00874902">
        <w:rPr>
          <w:rFonts w:hint="eastAsia"/>
        </w:rPr>
        <w:t>çã</w:t>
      </w:r>
      <w:r w:rsidRPr="00874902">
        <w:t>o (</w:t>
      </w:r>
      <w:proofErr w:type="spellStart"/>
      <w:r w:rsidRPr="00874902">
        <w:t>Portuguese</w:t>
      </w:r>
      <w:proofErr w:type="spellEnd"/>
      <w:r w:rsidRPr="00874902">
        <w:t xml:space="preserve"> </w:t>
      </w:r>
      <w:proofErr w:type="spellStart"/>
      <w:r w:rsidRPr="00874902">
        <w:t>Edition</w:t>
      </w:r>
      <w:proofErr w:type="spellEnd"/>
      <w:r w:rsidRPr="00874902">
        <w:t xml:space="preserve">). 2011. SciELO - Centro Edelstein. </w:t>
      </w:r>
      <w:r w:rsidRPr="00874902">
        <w:rPr>
          <w:i/>
          <w:iCs/>
        </w:rPr>
        <w:t>E-book</w:t>
      </w:r>
      <w:r w:rsidRPr="00874902">
        <w:t>.</w:t>
      </w:r>
    </w:p>
    <w:p w14:paraId="1A6C1363" w14:textId="77777777" w:rsidR="00874902" w:rsidRPr="00874902" w:rsidRDefault="00874902" w:rsidP="00320E36">
      <w:pPr>
        <w:pStyle w:val="REFERNCIAS"/>
      </w:pPr>
      <w:r w:rsidRPr="00874902">
        <w:t xml:space="preserve">BONDUKI, N. In: BONDUKI, Nabil Georges. </w:t>
      </w:r>
      <w:r w:rsidRPr="00874902">
        <w:rPr>
          <w:b/>
          <w:bCs/>
        </w:rPr>
        <w:t>Origens da habitação social no Brasil</w:t>
      </w:r>
      <w:r w:rsidRPr="00874902">
        <w:t xml:space="preserve">. [S. l.], 1994. Disponível em: </w:t>
      </w:r>
      <w:hyperlink r:id="rId14" w:history="1">
        <w:r w:rsidRPr="00874902">
          <w:t>http://analisesocial.ics.ul.pt/documentos/1223377539C9uKS3pp5Cc74XT8.pdf</w:t>
        </w:r>
      </w:hyperlink>
      <w:r w:rsidRPr="00874902">
        <w:t>. Acesso em: 7 jan. 2020.</w:t>
      </w:r>
    </w:p>
    <w:p w14:paraId="3F3084AC" w14:textId="77777777" w:rsidR="00874902" w:rsidRPr="00874902" w:rsidRDefault="00874902" w:rsidP="00320E36">
      <w:pPr>
        <w:pStyle w:val="REFERNCIAS"/>
      </w:pPr>
      <w:r w:rsidRPr="00874902">
        <w:t xml:space="preserve">BONDUKI, N. Política habitacional e inclusão social no Brasil: revisão histórica e novas perspectivas no governo Lula. </w:t>
      </w:r>
      <w:proofErr w:type="spellStart"/>
      <w:proofErr w:type="gramStart"/>
      <w:r w:rsidRPr="00874902">
        <w:rPr>
          <w:b/>
          <w:bCs/>
        </w:rPr>
        <w:t>arq.Urb</w:t>
      </w:r>
      <w:proofErr w:type="spellEnd"/>
      <w:proofErr w:type="gramEnd"/>
      <w:r w:rsidRPr="00874902">
        <w:t xml:space="preserve">, Universidade São Judas Tadeu, n.1, p. 70-104, São Paulo, 2008. Disponível em: </w:t>
      </w:r>
      <w:hyperlink r:id="rId15" w:history="1">
        <w:r w:rsidRPr="00874902">
          <w:t>https://revistaarqurb.com.br/arqurb/article/view/81</w:t>
        </w:r>
      </w:hyperlink>
      <w:r w:rsidRPr="00874902">
        <w:t>. Acesso em: 22 jun. 2025.</w:t>
      </w:r>
    </w:p>
    <w:p w14:paraId="435E8DCE" w14:textId="77777777" w:rsidR="00874902" w:rsidRPr="00874902" w:rsidRDefault="00874902" w:rsidP="00320E36">
      <w:pPr>
        <w:pStyle w:val="REFERNCIAS"/>
      </w:pPr>
      <w:r w:rsidRPr="00874902">
        <w:t xml:space="preserve">BRASIL. [Constituição (1988)]. </w:t>
      </w:r>
      <w:r w:rsidRPr="00874902">
        <w:rPr>
          <w:b/>
          <w:bCs/>
        </w:rPr>
        <w:t>Constituição da República Federativa do Brasil</w:t>
      </w:r>
      <w:r w:rsidRPr="00874902">
        <w:t xml:space="preserve">: texto constitucional promulgado em 5 de outubro de 1988, com as alterações determinadas pelas Emendas Constitucionais de Revisão nos 1 a 6/94, pelas Emendas Constitucionais nos 1/92 a 91/2016 e pelo Decreto Legislativo no 186/2008. Brasília, DF: Senado Federal, Coordenação de Edições Técnicas, [2016]. Disponível em: </w:t>
      </w:r>
      <w:hyperlink r:id="rId16" w:history="1">
        <w:r w:rsidRPr="00874902">
          <w:t>https://www2.senado.leg.br/bdsf/bitstream/handle/id/518231/CF88_Livro_EC91_2016.pdf</w:t>
        </w:r>
      </w:hyperlink>
      <w:r w:rsidRPr="00874902">
        <w:t>. Acesso em 22 jul. 2023.</w:t>
      </w:r>
    </w:p>
    <w:p w14:paraId="1D72F114" w14:textId="77777777" w:rsidR="00874902" w:rsidRPr="00874902" w:rsidRDefault="00874902" w:rsidP="00320E36">
      <w:pPr>
        <w:pStyle w:val="REFERNCIAS"/>
      </w:pPr>
      <w:r w:rsidRPr="00874902">
        <w:t xml:space="preserve">CAMPOS DOS GOYTACAZES. </w:t>
      </w:r>
      <w:proofErr w:type="spellStart"/>
      <w:r w:rsidRPr="00874902">
        <w:rPr>
          <w:b/>
          <w:bCs/>
        </w:rPr>
        <w:t>Emhab</w:t>
      </w:r>
      <w:proofErr w:type="spellEnd"/>
      <w:r w:rsidRPr="00874902">
        <w:rPr>
          <w:b/>
          <w:bCs/>
        </w:rPr>
        <w:t xml:space="preserve"> inicia Plano Local de Habitação de Interesse Social</w:t>
      </w:r>
      <w:r w:rsidRPr="00874902">
        <w:t xml:space="preserve">. 2013. Disponível em: </w:t>
      </w:r>
      <w:hyperlink r:id="rId17" w:history="1">
        <w:r w:rsidRPr="00874902">
          <w:t>https://www.campos.rj.gov.br/exibirNoticia.php?id_noticia=20397</w:t>
        </w:r>
      </w:hyperlink>
      <w:r w:rsidRPr="00874902">
        <w:t>. Acesso em 07 out. 2019.</w:t>
      </w:r>
    </w:p>
    <w:p w14:paraId="346D9050" w14:textId="2147BD66" w:rsidR="000836EA" w:rsidRDefault="000836EA" w:rsidP="00320E36">
      <w:pPr>
        <w:pStyle w:val="REFERNCIAS"/>
      </w:pPr>
      <w:r w:rsidRPr="000836EA">
        <w:t xml:space="preserve">CAMPOS DOS GOYTACAZES. </w:t>
      </w:r>
      <w:r w:rsidRPr="000836EA">
        <w:rPr>
          <w:b/>
          <w:bCs/>
        </w:rPr>
        <w:t>Lei Complementar nº 015, de 07 de janeiro de 2020.</w:t>
      </w:r>
      <w:r w:rsidRPr="000836EA">
        <w:t xml:space="preserve"> Institui o novo plano diretor do município de Campos dos Goytacazes e dá outras providências. Campos dos Goytacazes, RJ: Câmara Municipal, 2020. Disponível em:</w:t>
      </w:r>
      <w:r w:rsidR="00E55BEF" w:rsidRPr="00E55BEF">
        <w:t xml:space="preserve"> </w:t>
      </w:r>
      <w:hyperlink r:id="rId18" w:history="1">
        <w:r w:rsidR="00E55BEF" w:rsidRPr="00D04671">
          <w:t>https://campos.rj.gov.br/plano-diretor.php</w:t>
        </w:r>
      </w:hyperlink>
      <w:r w:rsidR="00E55BEF">
        <w:t xml:space="preserve">. Acesso em: </w:t>
      </w:r>
      <w:r w:rsidR="00D04671">
        <w:t>18 dez. 2020.</w:t>
      </w:r>
    </w:p>
    <w:p w14:paraId="5D974C8D" w14:textId="7E5C426F" w:rsidR="00874902" w:rsidRPr="00874902" w:rsidRDefault="00874902" w:rsidP="00320E36">
      <w:pPr>
        <w:pStyle w:val="REFERNCIAS"/>
      </w:pPr>
      <w:r w:rsidRPr="00874902">
        <w:t xml:space="preserve">CAMPOS DOS GOYTACAZES. Lei Complementar nº 016, de 07 de janeiro de 2020. </w:t>
      </w:r>
      <w:r w:rsidRPr="00874902">
        <w:rPr>
          <w:b/>
          <w:bCs/>
        </w:rPr>
        <w:t>Institui a Lei de Uso e Ocupação do Solo Urbano do Município de Campos dos Goytacazes/RJ</w:t>
      </w:r>
      <w:r w:rsidRPr="00874902">
        <w:t xml:space="preserve">. Campos dos Goytacazes, RJ, 07 jan. 2020. Disponível em: </w:t>
      </w:r>
      <w:hyperlink r:id="rId19" w:tgtFrame="_blank" w:history="1">
        <w:r w:rsidRPr="00874902">
          <w:t>https://fazenda.campos.rj.gov.br/wp-content/uploads/2022/03/Lei-Complementar-16-2020-de-Campos-dos-Goytacazes-RJ.pdf</w:t>
        </w:r>
      </w:hyperlink>
      <w:r w:rsidRPr="00874902">
        <w:t>. Acesso em: 30 jun. 2025.</w:t>
      </w:r>
    </w:p>
    <w:p w14:paraId="1060B795" w14:textId="77777777" w:rsidR="00874902" w:rsidRPr="00874902" w:rsidRDefault="00874902" w:rsidP="00320E36">
      <w:pPr>
        <w:pStyle w:val="REFERNCIAS"/>
      </w:pPr>
      <w:r w:rsidRPr="00874902">
        <w:t xml:space="preserve">CAMPOS DOS GOYTACAZES. </w:t>
      </w:r>
      <w:r w:rsidRPr="00874902">
        <w:rPr>
          <w:b/>
          <w:bCs/>
        </w:rPr>
        <w:t>Programa Habitacional do Município de Campos dos Goytacazes</w:t>
      </w:r>
      <w:r w:rsidRPr="00874902">
        <w:t xml:space="preserve">. EMHAB. </w:t>
      </w:r>
      <w:proofErr w:type="gramStart"/>
      <w:r w:rsidRPr="00874902">
        <w:t>20??.</w:t>
      </w:r>
      <w:proofErr w:type="gramEnd"/>
      <w:r w:rsidRPr="00874902">
        <w:t xml:space="preserve"> Disponível em: </w:t>
      </w:r>
      <w:hyperlink r:id="rId20" w:history="1">
        <w:r w:rsidRPr="00874902">
          <w:t>https://www.preventionweb.net/applications/hfa/lgsat/en/image/href/6114</w:t>
        </w:r>
      </w:hyperlink>
      <w:r w:rsidRPr="00874902">
        <w:t>. Acesso em 07 out. 2019.</w:t>
      </w:r>
    </w:p>
    <w:p w14:paraId="696F9A5B" w14:textId="77777777" w:rsidR="00874902" w:rsidRPr="00874902" w:rsidRDefault="00874902" w:rsidP="00320E36">
      <w:pPr>
        <w:pStyle w:val="REFERNCIAS"/>
      </w:pPr>
      <w:r w:rsidRPr="00874902">
        <w:t xml:space="preserve">CAMPOS DOS GOYTACAZES. </w:t>
      </w:r>
      <w:r w:rsidRPr="00874902">
        <w:rPr>
          <w:b/>
          <w:bCs/>
        </w:rPr>
        <w:t>Projeto do IMTT aprovado pelo Governo Federal prevê ônibus menos poluentes</w:t>
      </w:r>
      <w:r w:rsidRPr="00874902">
        <w:t xml:space="preserve">. O recurso é para aquisição de 354 veículos, sendo 106 ônibus elétricos e 248 ônibus com tecnologia Euro 6. 2024. Disponível em: </w:t>
      </w:r>
      <w:hyperlink r:id="rId21" w:history="1">
        <w:r w:rsidRPr="00874902">
          <w:t>https://www.campos.rj.gov.br/exibirNoticia.php?id_noticia=90735</w:t>
        </w:r>
      </w:hyperlink>
      <w:r w:rsidRPr="00874902">
        <w:t>. Acesso em: 30 jun. 2025.</w:t>
      </w:r>
    </w:p>
    <w:p w14:paraId="79817CFB" w14:textId="77777777" w:rsidR="00874902" w:rsidRPr="00874902" w:rsidRDefault="00874902" w:rsidP="00320E36">
      <w:pPr>
        <w:pStyle w:val="REFERNCIAS"/>
      </w:pPr>
      <w:r w:rsidRPr="00874902">
        <w:t xml:space="preserve">CAMPOS DOS GOYTACAZES. </w:t>
      </w:r>
      <w:r w:rsidRPr="00874902">
        <w:rPr>
          <w:b/>
          <w:bCs/>
        </w:rPr>
        <w:t xml:space="preserve">Morar Feliz retira milhares de famílias de </w:t>
      </w:r>
      <w:r w:rsidRPr="00874902">
        <w:t xml:space="preserve">áreas de risco. 2013. Disponível em: </w:t>
      </w:r>
      <w:hyperlink r:id="rId22" w:history="1">
        <w:r w:rsidRPr="00874902">
          <w:t>https://www.campos.rj.gov.br/exibirNoticia.php?id_noticia=18647</w:t>
        </w:r>
      </w:hyperlink>
      <w:r w:rsidRPr="00874902">
        <w:t>. Acesso em 15 mai. 2024.</w:t>
      </w:r>
    </w:p>
    <w:p w14:paraId="77A4A6E9" w14:textId="77777777" w:rsidR="00874902" w:rsidRDefault="00874902" w:rsidP="00320E36">
      <w:pPr>
        <w:pStyle w:val="REFERNCIAS"/>
      </w:pPr>
      <w:r w:rsidRPr="00874902">
        <w:t xml:space="preserve">DUTRA, P. L. </w:t>
      </w:r>
      <w:r w:rsidRPr="00874902">
        <w:rPr>
          <w:b/>
          <w:bCs/>
        </w:rPr>
        <w:t>Programa Habitacional Morar Feliz em Campos Dos Goytacazes</w:t>
      </w:r>
      <w:r w:rsidRPr="00874902">
        <w:t xml:space="preserve">: Análise da Percepção dos Beneficiários Sobre as Suas Novas Condições De Moradia. Dissertação (Mestrado em Sociologia Política) - Universidade Estadual do Norte Fluminense Darcy Ribeiro, Campos dos Goytacazes, 2015. Disponível em: </w:t>
      </w:r>
      <w:hyperlink r:id="rId23" w:history="1">
        <w:r w:rsidRPr="00874902">
          <w:t>https://uenf.br/posgraduacao/sociologia-politica/wp-content/uploads/sites/9/2013/03/DISSERTA%c3%87%c3%83O-POLLYANA-LOPES-DUTRA-SOCIOLOGIA-POL%c3%8dTICA-PPGSP-CCH-UENF.pdf</w:t>
        </w:r>
      </w:hyperlink>
      <w:r w:rsidRPr="00874902">
        <w:t>. Acesso em 07 out. 2019.</w:t>
      </w:r>
    </w:p>
    <w:p w14:paraId="4173DBDC" w14:textId="5B003FD4" w:rsidR="001B2750" w:rsidRPr="001B2750" w:rsidRDefault="001B2750" w:rsidP="00320E36">
      <w:pPr>
        <w:pStyle w:val="REFERNCIAS"/>
        <w:rPr>
          <w:lang w:val="es-419"/>
        </w:rPr>
      </w:pPr>
      <w:r w:rsidRPr="001B2750">
        <w:t xml:space="preserve">FILGUEIRAS, Luiz </w:t>
      </w:r>
      <w:r w:rsidRPr="00E70E47">
        <w:rPr>
          <w:b/>
          <w:bCs/>
        </w:rPr>
        <w:t>O neoliberalismo no Brasil: estrutura, dinâmica e ajuste do modelo econômico</w:t>
      </w:r>
      <w:r w:rsidRPr="001B2750">
        <w:t xml:space="preserve">. </w:t>
      </w:r>
      <w:r w:rsidRPr="001B2750">
        <w:rPr>
          <w:lang w:val="es-419"/>
        </w:rPr>
        <w:t>In. BASUALDO, Eduardo M.; ARCEO, Enrique. Neoliberalismo y sectores dominantes: tendencias globales y experiencias nacionales. 1a ed. - Buenos Aires: Consejo Latinoamericano de Ciencias Sociales - CLASCO, 2006, p. 179-206.</w:t>
      </w:r>
    </w:p>
    <w:p w14:paraId="02A4310F" w14:textId="77777777" w:rsidR="00874902" w:rsidRPr="00874902" w:rsidRDefault="00874902" w:rsidP="00320E36">
      <w:pPr>
        <w:pStyle w:val="REFERNCIAS"/>
      </w:pPr>
      <w:r w:rsidRPr="00874902">
        <w:t xml:space="preserve">GOMES, M. F. C. M. Habitação e Questão Social – Análise do Caso Brasileiro, </w:t>
      </w:r>
      <w:proofErr w:type="spellStart"/>
      <w:r w:rsidRPr="00874902">
        <w:rPr>
          <w:b/>
          <w:bCs/>
          <w:i/>
          <w:iCs/>
        </w:rPr>
        <w:t>Scripta</w:t>
      </w:r>
      <w:proofErr w:type="spellEnd"/>
      <w:r w:rsidRPr="00874902">
        <w:rPr>
          <w:b/>
          <w:bCs/>
          <w:i/>
          <w:iCs/>
        </w:rPr>
        <w:t xml:space="preserve"> Nova – REVISTA ELECTRÓNICA DE GEOGRAFIA Y CIENCIAS SOCIALES</w:t>
      </w:r>
      <w:r w:rsidRPr="00874902">
        <w:t xml:space="preserve"> – Universidade de Barcelona. Vol. IX, num. 194 (26), 1 de agosto de 2005. Disponível em: </w:t>
      </w:r>
      <w:hyperlink r:id="rId24" w:history="1">
        <w:r w:rsidRPr="00874902">
          <w:t>https://revistes.ub.edu/index.php/ScriptaNova/article/view/942</w:t>
        </w:r>
      </w:hyperlink>
      <w:r w:rsidRPr="00874902">
        <w:t>. Acesso em: 22 jun. 2025.</w:t>
      </w:r>
    </w:p>
    <w:p w14:paraId="6FFABC07" w14:textId="77777777" w:rsidR="00874902" w:rsidRPr="00874902" w:rsidRDefault="00874902" w:rsidP="00320E36">
      <w:pPr>
        <w:pStyle w:val="REFERNCIAS"/>
      </w:pPr>
      <w:r w:rsidRPr="00874902">
        <w:t xml:space="preserve">GONÇALVES, B. S.; CRUZ, J. L. V. </w:t>
      </w:r>
      <w:r w:rsidRPr="004D5CB2">
        <w:rPr>
          <w:b/>
          <w:bCs/>
        </w:rPr>
        <w:t>O direito à moradia e a mercantilização da cidade: o caso de Campos dos Goytacazes</w:t>
      </w:r>
      <w:r w:rsidRPr="00874902">
        <w:t xml:space="preserve">. 2018. Disponível em: </w:t>
      </w:r>
      <w:hyperlink r:id="rId25" w:history="1">
        <w:r w:rsidRPr="00874902">
          <w:t>https://royaltiesdopetroleo.ucam-campos.br/wp-content/uploads/2018/08/Ucam-Boletim-Artigo-4.pdf</w:t>
        </w:r>
      </w:hyperlink>
      <w:r w:rsidRPr="00874902">
        <w:t>. Acesso em 07 out. 2019.</w:t>
      </w:r>
    </w:p>
    <w:p w14:paraId="010C3F80" w14:textId="77777777" w:rsidR="00874902" w:rsidRPr="00874902" w:rsidRDefault="00874902" w:rsidP="00320E36">
      <w:pPr>
        <w:pStyle w:val="REFERNCIAS"/>
      </w:pPr>
      <w:r w:rsidRPr="00874902">
        <w:t xml:space="preserve">HARVEY, D. </w:t>
      </w:r>
      <w:r w:rsidRPr="004D5CB2">
        <w:rPr>
          <w:b/>
          <w:bCs/>
        </w:rPr>
        <w:t>Cidades Rebeldes: Do Direito à Cidade à Revolução Urbana</w:t>
      </w:r>
      <w:r w:rsidRPr="00874902">
        <w:t>. São Paulo: Martins Fontes, 2014.</w:t>
      </w:r>
    </w:p>
    <w:p w14:paraId="4DECCBB8" w14:textId="77777777" w:rsidR="00874902" w:rsidRPr="00874902" w:rsidRDefault="00874902" w:rsidP="00320E36">
      <w:pPr>
        <w:pStyle w:val="REFERNCIAS"/>
      </w:pPr>
      <w:r w:rsidRPr="00874902">
        <w:t xml:space="preserve">HARVEY, D. A acumulação via espoliação. In: HARVEY, D. </w:t>
      </w:r>
      <w:r w:rsidRPr="00874902">
        <w:rPr>
          <w:b/>
          <w:bCs/>
        </w:rPr>
        <w:t>O novo imperialismo</w:t>
      </w:r>
      <w:r w:rsidRPr="00874902">
        <w:t>. Tradução de Emir Sader. São Paulo: Loyola, 2004. Capítulo 4, p. 115-148.</w:t>
      </w:r>
    </w:p>
    <w:p w14:paraId="105030DB" w14:textId="77777777" w:rsidR="00874902" w:rsidRPr="00874902" w:rsidRDefault="00874902" w:rsidP="00320E36">
      <w:pPr>
        <w:pStyle w:val="REFERNCIAS"/>
      </w:pPr>
      <w:r w:rsidRPr="00874902">
        <w:t xml:space="preserve">J3NEWS. </w:t>
      </w:r>
      <w:r w:rsidRPr="00874902">
        <w:rPr>
          <w:b/>
          <w:bCs/>
        </w:rPr>
        <w:t xml:space="preserve">Prefeitura diz que renovação da frota do transporte público de </w:t>
      </w:r>
      <w:r w:rsidRPr="00874902">
        <w:t xml:space="preserve">Campos está em risco. Campos dos Goytacazes, 17 jan. 2025. Disponível em: </w:t>
      </w:r>
      <w:hyperlink r:id="rId26" w:tgtFrame="_blank" w:history="1">
        <w:r w:rsidRPr="00874902">
          <w:t>https://j3news.com/2025/01/17/prefeitura-diz-que-renovacao-da-frota-do-transporte-publico-de-campos-esta-em-risco/</w:t>
        </w:r>
      </w:hyperlink>
      <w:r w:rsidRPr="00874902">
        <w:t>. Acesso em: 30 jun. 2025.</w:t>
      </w:r>
    </w:p>
    <w:p w14:paraId="6F6F0CC9" w14:textId="77777777" w:rsidR="00874902" w:rsidRPr="00874902" w:rsidRDefault="00874902" w:rsidP="00320E36">
      <w:pPr>
        <w:pStyle w:val="REFERNCIAS"/>
      </w:pPr>
      <w:r w:rsidRPr="00874902">
        <w:t xml:space="preserve">JACOBS, J. </w:t>
      </w:r>
      <w:r w:rsidRPr="00874902">
        <w:rPr>
          <w:b/>
          <w:bCs/>
        </w:rPr>
        <w:t>Morte e Vida de Grandes Cidades</w:t>
      </w:r>
      <w:r w:rsidRPr="00874902">
        <w:t>. São Paulo: Martins Fontes, 2011.</w:t>
      </w:r>
    </w:p>
    <w:p w14:paraId="124A62F3" w14:textId="77777777" w:rsidR="00874902" w:rsidRPr="00874902" w:rsidRDefault="00874902" w:rsidP="00320E36">
      <w:pPr>
        <w:pStyle w:val="REFERNCIAS"/>
      </w:pPr>
      <w:r w:rsidRPr="00874902">
        <w:t xml:space="preserve">LEFEBVRE, H. </w:t>
      </w:r>
      <w:r w:rsidRPr="00874902">
        <w:rPr>
          <w:i/>
          <w:iCs/>
        </w:rPr>
        <w:t>et al</w:t>
      </w:r>
      <w:r w:rsidRPr="00874902">
        <w:t xml:space="preserve">. </w:t>
      </w:r>
      <w:r w:rsidRPr="00874902">
        <w:rPr>
          <w:b/>
          <w:bCs/>
        </w:rPr>
        <w:t>O direito à cidade</w:t>
      </w:r>
      <w:r w:rsidRPr="00874902">
        <w:t>. São Paulo: Centauro, 2001.</w:t>
      </w:r>
    </w:p>
    <w:p w14:paraId="4AC2B55B" w14:textId="77777777" w:rsidR="00874902" w:rsidRPr="00874902" w:rsidRDefault="00874902" w:rsidP="00320E36">
      <w:pPr>
        <w:pStyle w:val="REFERNCIAS"/>
      </w:pPr>
      <w:r w:rsidRPr="00874902">
        <w:lastRenderedPageBreak/>
        <w:t xml:space="preserve">MARICATO, E. </w:t>
      </w:r>
      <w:r w:rsidRPr="00874902">
        <w:rPr>
          <w:b/>
          <w:bCs/>
        </w:rPr>
        <w:t>POLÍTICA URBANA E DE HABITAÇÃO SOCIAL</w:t>
      </w:r>
      <w:r w:rsidRPr="00874902">
        <w:t xml:space="preserve">: UM ASSUNTO POUCO IMPORTANTE PARA O GOVERNO FHC. 1998. Disponível em: </w:t>
      </w:r>
      <w:hyperlink r:id="rId27" w:history="1">
        <w:r w:rsidRPr="00874902">
          <w:t>http://labhab.fau.usp.br/biblioteca/textos/maricato_politicaurbanafhc.pdf</w:t>
        </w:r>
      </w:hyperlink>
      <w:r w:rsidRPr="00874902">
        <w:t>. Acesso em 12 jan. 2020</w:t>
      </w:r>
    </w:p>
    <w:p w14:paraId="6B5C5C04" w14:textId="77777777" w:rsidR="00874902" w:rsidRPr="00874902" w:rsidRDefault="00874902" w:rsidP="00320E36">
      <w:pPr>
        <w:pStyle w:val="REFERNCIAS"/>
      </w:pPr>
      <w:r w:rsidRPr="00874902">
        <w:t xml:space="preserve">MARICATO, Ermínia (Org.). </w:t>
      </w:r>
      <w:r w:rsidRPr="00874902">
        <w:rPr>
          <w:b/>
          <w:bCs/>
        </w:rPr>
        <w:t>Habitação e cidade</w:t>
      </w:r>
      <w:r w:rsidRPr="00874902">
        <w:t>. São Paulo: Atual, 1997.</w:t>
      </w:r>
    </w:p>
    <w:p w14:paraId="2AB43CED" w14:textId="684D155D" w:rsidR="00874902" w:rsidRPr="00874902" w:rsidRDefault="00874902" w:rsidP="00320E36">
      <w:pPr>
        <w:pStyle w:val="REFERNCIAS"/>
      </w:pPr>
      <w:r w:rsidRPr="00874902">
        <w:t xml:space="preserve">MARICATO, E. As </w:t>
      </w:r>
      <w:proofErr w:type="spellStart"/>
      <w:r w:rsidRPr="00874902">
        <w:t>idéias</w:t>
      </w:r>
      <w:proofErr w:type="spellEnd"/>
      <w:r w:rsidRPr="00874902">
        <w:t xml:space="preserve"> fora do lugar e o lugar fora das </w:t>
      </w:r>
      <w:proofErr w:type="spellStart"/>
      <w:r w:rsidRPr="00874902">
        <w:t>idéias</w:t>
      </w:r>
      <w:proofErr w:type="spellEnd"/>
      <w:r w:rsidRPr="00874902">
        <w:t xml:space="preserve">. In: A cidade do pensamento único: desmanchando consensos. </w:t>
      </w:r>
      <w:r w:rsidRPr="00874902">
        <w:rPr>
          <w:b/>
          <w:bCs/>
        </w:rPr>
        <w:t>Vozes</w:t>
      </w:r>
      <w:r w:rsidRPr="00874902">
        <w:t>, Petrópolis, 2002.</w:t>
      </w:r>
    </w:p>
    <w:p w14:paraId="5F9213E8" w14:textId="77777777" w:rsidR="00874902" w:rsidRPr="00874902" w:rsidRDefault="00874902" w:rsidP="00320E36">
      <w:pPr>
        <w:pStyle w:val="REFERNCIAS"/>
      </w:pPr>
      <w:r w:rsidRPr="00874902">
        <w:t xml:space="preserve">MARICATO, E. </w:t>
      </w:r>
      <w:r w:rsidRPr="00874902">
        <w:rPr>
          <w:b/>
          <w:bCs/>
        </w:rPr>
        <w:t>Para entender a crise urbana</w:t>
      </w:r>
      <w:r w:rsidRPr="00874902">
        <w:t>. São Paulo: Expressão Popular, 2015.</w:t>
      </w:r>
    </w:p>
    <w:p w14:paraId="021293E3" w14:textId="77777777" w:rsidR="00874902" w:rsidRPr="00874902" w:rsidRDefault="00874902" w:rsidP="00320E36">
      <w:pPr>
        <w:pStyle w:val="REFERNCIAS"/>
      </w:pPr>
      <w:r w:rsidRPr="00874902">
        <w:t xml:space="preserve">MELO, K. M. </w:t>
      </w:r>
      <w:r w:rsidRPr="00874902">
        <w:rPr>
          <w:b/>
          <w:bCs/>
        </w:rPr>
        <w:t>ANTEPROJETO URBANÍSTICO DE INTERVENÇÃO PARA O LOTEAMENTO RESIDENCIAL NOVO HORIZONTE EM CAMPOS DOS GOYTACAZES/RJ</w:t>
      </w:r>
      <w:r w:rsidRPr="00874902">
        <w:t xml:space="preserve">. 2020. Trabalho Final de Graduação (Bacharelado em Arquitetura e Urbanismo) – Instituto Federal de Educação, Ciência e Tecnologia Fluminense campus Campos Centro, Campos dos Goytacazes, 2020. Disponível em: </w:t>
      </w:r>
      <w:hyperlink r:id="rId28">
        <w:r w:rsidRPr="00874902">
          <w:t>http://bd.centro.iff.edu.br/jspui/handle/123456789/3230</w:t>
        </w:r>
      </w:hyperlink>
      <w:r w:rsidRPr="00874902">
        <w:t>. Acesso em: 29 ago. 2023.</w:t>
      </w:r>
    </w:p>
    <w:p w14:paraId="1DC00E75" w14:textId="77777777" w:rsidR="00874902" w:rsidRDefault="00874902" w:rsidP="00320E36">
      <w:pPr>
        <w:pStyle w:val="REFERNCIAS"/>
      </w:pPr>
      <w:r w:rsidRPr="00874902">
        <w:t xml:space="preserve">ONU. </w:t>
      </w:r>
      <w:r w:rsidRPr="00874902">
        <w:rPr>
          <w:b/>
          <w:bCs/>
        </w:rPr>
        <w:t>Objetivo 11</w:t>
      </w:r>
      <w:r w:rsidRPr="00874902">
        <w:t xml:space="preserve">: Tornar as cidades e os assentamentos humanos inclusivos, seguros, resilientes e sustentáveis. 2015. Disponível em: </w:t>
      </w:r>
      <w:hyperlink r:id="rId29" w:history="1">
        <w:r w:rsidRPr="00874902">
          <w:t>https://brasil.un.org/pt-br/sdgs/11</w:t>
        </w:r>
      </w:hyperlink>
      <w:r w:rsidRPr="00874902">
        <w:t>. Acesso em 29 out. 2023.</w:t>
      </w:r>
    </w:p>
    <w:p w14:paraId="6BF771AD" w14:textId="0441C6E0" w:rsidR="00874902" w:rsidRPr="00874902" w:rsidRDefault="00874902" w:rsidP="00320E36">
      <w:pPr>
        <w:pStyle w:val="REFERNCIAS"/>
      </w:pPr>
      <w:r w:rsidRPr="00874902">
        <w:t>SANTOS, L. E. N. As</w:t>
      </w:r>
      <w:r w:rsidR="00385ABE">
        <w:t xml:space="preserve"> </w:t>
      </w:r>
      <w:r w:rsidRPr="00874902">
        <w:t xml:space="preserve">estratégias discursivas do planejamento neoliberal. </w:t>
      </w:r>
      <w:r w:rsidRPr="00874902">
        <w:rPr>
          <w:b/>
          <w:bCs/>
          <w:i/>
          <w:iCs/>
        </w:rPr>
        <w:t xml:space="preserve">Le Monde </w:t>
      </w:r>
      <w:proofErr w:type="spellStart"/>
      <w:r w:rsidRPr="00874902">
        <w:rPr>
          <w:b/>
          <w:bCs/>
          <w:i/>
          <w:iCs/>
        </w:rPr>
        <w:t>Diplomatique</w:t>
      </w:r>
      <w:proofErr w:type="spellEnd"/>
      <w:r w:rsidRPr="00874902">
        <w:rPr>
          <w:b/>
          <w:bCs/>
          <w:i/>
          <w:iCs/>
        </w:rPr>
        <w:t xml:space="preserve"> Brasil</w:t>
      </w:r>
      <w:r w:rsidRPr="00874902">
        <w:t>. Online. 10</w:t>
      </w:r>
      <w:r w:rsidR="00385ABE">
        <w:t xml:space="preserve"> </w:t>
      </w:r>
      <w:r w:rsidRPr="00874902">
        <w:t>de outubro de 2024. Disponível em: </w:t>
      </w:r>
      <w:hyperlink r:id="rId30" w:tgtFrame="_blank" w:history="1">
        <w:r w:rsidRPr="00874902">
          <w:t>https://diplomatique.org.br/as-estrategias-discursivas-do-planejamento-neolibera/</w:t>
        </w:r>
      </w:hyperlink>
      <w:r w:rsidRPr="00874902">
        <w:t>. Acesso em: 09 dez. 2024.</w:t>
      </w:r>
    </w:p>
    <w:p w14:paraId="10E810BC" w14:textId="77777777" w:rsidR="00EA586C" w:rsidRDefault="00EA586C" w:rsidP="00320E36">
      <w:pPr>
        <w:pStyle w:val="REFERNCIAS"/>
      </w:pPr>
      <w:r w:rsidRPr="00EA586C">
        <w:t xml:space="preserve">SANTOS, M. </w:t>
      </w:r>
      <w:r w:rsidRPr="00EA586C">
        <w:rPr>
          <w:b/>
          <w:bCs/>
        </w:rPr>
        <w:t>Espaço e Método</w:t>
      </w:r>
      <w:r w:rsidRPr="00EA586C">
        <w:t>. 4. ed. São Paulo: Nobel, 1997.</w:t>
      </w:r>
    </w:p>
    <w:p w14:paraId="31786FB5" w14:textId="2816E1FB" w:rsidR="00874902" w:rsidRPr="00874902" w:rsidRDefault="00874902" w:rsidP="00320E36">
      <w:pPr>
        <w:pStyle w:val="REFERNCIAS"/>
      </w:pPr>
      <w:r w:rsidRPr="00874902">
        <w:t xml:space="preserve">ZACCHI, R. C.; CAETANO, R. C.; FARIA, T. J. P. Expansão urbana e mudanças no uso do solo: o caso das terras da Usina do Queimado, Campos dos Goytacazes (RJ). 2013. </w:t>
      </w:r>
      <w:r w:rsidRPr="00874902">
        <w:rPr>
          <w:b/>
          <w:bCs/>
        </w:rPr>
        <w:t xml:space="preserve">Editorial Dinâmica ambiental e produção do espaço urbano e regional no Norte Fluminense, </w:t>
      </w:r>
      <w:r w:rsidRPr="00874902">
        <w:t xml:space="preserve">Campos dos Goytacazes, p. 91-120, fev. 2014. Disponível em: </w:t>
      </w:r>
      <w:hyperlink r:id="rId31" w:history="1">
        <w:r w:rsidRPr="00874902">
          <w:t>https://editoraessentia.iff.edu.br/index.php/livros/issue/view/141</w:t>
        </w:r>
      </w:hyperlink>
      <w:r w:rsidRPr="00874902">
        <w:t>. Acesso em: 29 jul. 2023.</w:t>
      </w:r>
    </w:p>
    <w:p w14:paraId="74624519" w14:textId="77777777" w:rsidR="00874902" w:rsidRPr="00874902" w:rsidRDefault="00874902" w:rsidP="00320E36">
      <w:pPr>
        <w:pStyle w:val="REFERNCIAS"/>
      </w:pPr>
      <w:r w:rsidRPr="00874902">
        <w:t xml:space="preserve">ZACCHI, R. C. </w:t>
      </w:r>
      <w:r w:rsidRPr="00874902">
        <w:rPr>
          <w:b/>
          <w:bCs/>
        </w:rPr>
        <w:t>O papel dos proprietários fundiários e do Estado no processo de conversão de terras rurais em urbanas e na produção de loteamentos fechados</w:t>
      </w:r>
      <w:r w:rsidRPr="00874902">
        <w:t xml:space="preserve">: Campos dos Goytacazes/RJ (1980-2011). 170 f. 2012. Dissertação (Mestrado) – Programa de Pós-Graduação em Políticas Sociais, Universidade Estadual do Norte Fluminense, Campos dos Goytacazes, 2012. Disponível em: </w:t>
      </w:r>
      <w:hyperlink r:id="rId32" w:history="1">
        <w:r w:rsidRPr="00874902">
          <w:t>https://uenf.br/posgraduacao/politicas-sociais/wp-content/uploads/sites/11/2015/06/RAQUEL-CALLEGARIO-ZACCHI.compressed.pdf</w:t>
        </w:r>
      </w:hyperlink>
      <w:r w:rsidRPr="00874902">
        <w:t>. Acesso em: 26 abr. 2025</w:t>
      </w:r>
    </w:p>
    <w:sectPr w:rsidR="00874902" w:rsidRPr="00874902" w:rsidSect="00490E5B">
      <w:headerReference w:type="default" r:id="rId33"/>
      <w:footerReference w:type="default" r:id="rId34"/>
      <w:headerReference w:type="first" r:id="rId35"/>
      <w:pgSz w:w="11906" w:h="16838"/>
      <w:pgMar w:top="1417" w:right="1701" w:bottom="1417" w:left="1701" w:header="28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35F5B4" w14:textId="77777777" w:rsidR="00BF7EB2" w:rsidRDefault="00BF7EB2">
      <w:r>
        <w:separator/>
      </w:r>
    </w:p>
  </w:endnote>
  <w:endnote w:type="continuationSeparator" w:id="0">
    <w:p w14:paraId="216589E0" w14:textId="77777777" w:rsidR="00BF7EB2" w:rsidRDefault="00BF7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7A3D4" w14:textId="77777777" w:rsidR="00C776E8" w:rsidRPr="003E782A" w:rsidRDefault="00C776E8">
    <w:pPr>
      <w:pStyle w:val="Rodap"/>
      <w:jc w:val="center"/>
      <w:rPr>
        <w:rFonts w:ascii="Calibri" w:hAnsi="Calibri" w:cs="Calibri"/>
        <w:sz w:val="20"/>
      </w:rPr>
    </w:pPr>
    <w:r w:rsidRPr="003E782A">
      <w:rPr>
        <w:rFonts w:ascii="Calibri" w:hAnsi="Calibri" w:cs="Calibri"/>
        <w:sz w:val="20"/>
      </w:rPr>
      <w:fldChar w:fldCharType="begin"/>
    </w:r>
    <w:r w:rsidRPr="003E782A">
      <w:rPr>
        <w:rFonts w:ascii="Calibri" w:hAnsi="Calibri" w:cs="Calibri"/>
        <w:sz w:val="20"/>
      </w:rPr>
      <w:instrText xml:space="preserve"> PAGE   \* MERGEFORMAT </w:instrText>
    </w:r>
    <w:r w:rsidRPr="003E782A">
      <w:rPr>
        <w:rFonts w:ascii="Calibri" w:hAnsi="Calibri" w:cs="Calibri"/>
        <w:sz w:val="20"/>
      </w:rPr>
      <w:fldChar w:fldCharType="separate"/>
    </w:r>
    <w:r w:rsidR="004F679E">
      <w:rPr>
        <w:rFonts w:ascii="Calibri" w:hAnsi="Calibri" w:cs="Calibri"/>
        <w:noProof/>
        <w:sz w:val="20"/>
      </w:rPr>
      <w:t>1</w:t>
    </w:r>
    <w:r w:rsidR="004F679E">
      <w:rPr>
        <w:rFonts w:ascii="Calibri" w:hAnsi="Calibri" w:cs="Calibri"/>
        <w:noProof/>
        <w:sz w:val="20"/>
      </w:rPr>
      <w:t>1</w:t>
    </w:r>
    <w:r w:rsidRPr="003E782A">
      <w:rPr>
        <w:rFonts w:ascii="Calibri" w:hAnsi="Calibri" w:cs="Calibri"/>
        <w:sz w:val="20"/>
      </w:rPr>
      <w:fldChar w:fldCharType="end"/>
    </w:r>
  </w:p>
  <w:p w14:paraId="2954AAFF" w14:textId="77777777" w:rsidR="00C776E8" w:rsidRDefault="00C776E8">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7839B" w14:textId="77777777" w:rsidR="00BF7EB2" w:rsidRDefault="00BF7EB2">
      <w:r>
        <w:separator/>
      </w:r>
    </w:p>
  </w:footnote>
  <w:footnote w:type="continuationSeparator" w:id="0">
    <w:p w14:paraId="7D0B8266" w14:textId="77777777" w:rsidR="00BF7EB2" w:rsidRDefault="00BF7EB2">
      <w:r>
        <w:continuationSeparator/>
      </w:r>
    </w:p>
  </w:footnote>
  <w:footnote w:id="1">
    <w:p w14:paraId="6D574EEE" w14:textId="019DD952" w:rsidR="00D12011" w:rsidRPr="0032155A" w:rsidRDefault="00D12011" w:rsidP="0032155A">
      <w:pPr>
        <w:pStyle w:val="Textodenotaderodap"/>
        <w:spacing w:line="240" w:lineRule="auto"/>
        <w:ind w:firstLine="0"/>
        <w:rPr>
          <w:sz w:val="16"/>
          <w:szCs w:val="16"/>
        </w:rPr>
      </w:pPr>
      <w:r>
        <w:rPr>
          <w:rStyle w:val="Refdenotaderodap"/>
        </w:rPr>
        <w:footnoteRef/>
      </w:r>
      <w:r>
        <w:t xml:space="preserve"> </w:t>
      </w:r>
      <w:r w:rsidR="005C335D" w:rsidRPr="0032155A">
        <w:rPr>
          <w:sz w:val="16"/>
          <w:szCs w:val="16"/>
        </w:rPr>
        <w:t xml:space="preserve">Mestranda </w:t>
      </w:r>
      <w:r w:rsidR="00F7781F" w:rsidRPr="0032155A">
        <w:rPr>
          <w:sz w:val="16"/>
          <w:szCs w:val="16"/>
        </w:rPr>
        <w:t>no Programa de Pós-graduação em Desenvolvimento Regional, Ambiente e Políticas Públicas (PPGDAP/UFF).</w:t>
      </w:r>
      <w:r w:rsidR="008B5A32" w:rsidRPr="0032155A">
        <w:rPr>
          <w:sz w:val="16"/>
          <w:szCs w:val="16"/>
        </w:rPr>
        <w:t xml:space="preserve"> Especialista em Cidades e Suas Tecnologias e Graduad</w:t>
      </w:r>
      <w:r w:rsidR="00664598" w:rsidRPr="0032155A">
        <w:rPr>
          <w:sz w:val="16"/>
          <w:szCs w:val="16"/>
        </w:rPr>
        <w:t>a</w:t>
      </w:r>
      <w:r w:rsidR="008B5A32" w:rsidRPr="0032155A">
        <w:rPr>
          <w:sz w:val="16"/>
          <w:szCs w:val="16"/>
        </w:rPr>
        <w:t xml:space="preserve"> em Arquitetura e Urbanismo (IFF).</w:t>
      </w:r>
      <w:r w:rsidR="00F7781F" w:rsidRPr="0032155A">
        <w:rPr>
          <w:sz w:val="16"/>
          <w:szCs w:val="16"/>
        </w:rPr>
        <w:t xml:space="preserve"> E-mail: karinamelo</w:t>
      </w:r>
      <w:r w:rsidR="006A05CF" w:rsidRPr="0032155A">
        <w:rPr>
          <w:sz w:val="16"/>
          <w:szCs w:val="16"/>
        </w:rPr>
        <w:t>@id.uff.br</w:t>
      </w:r>
    </w:p>
  </w:footnote>
  <w:footnote w:id="2">
    <w:p w14:paraId="6EB4BFDD" w14:textId="60753ECA" w:rsidR="00D12011" w:rsidRPr="0032155A" w:rsidRDefault="00D12011" w:rsidP="0032155A">
      <w:pPr>
        <w:pStyle w:val="Textodenotaderodap"/>
        <w:spacing w:line="240" w:lineRule="auto"/>
        <w:ind w:firstLine="0"/>
        <w:rPr>
          <w:sz w:val="16"/>
          <w:szCs w:val="16"/>
        </w:rPr>
      </w:pPr>
      <w:r w:rsidRPr="0032155A">
        <w:rPr>
          <w:rStyle w:val="Refdenotaderodap"/>
          <w:sz w:val="16"/>
          <w:szCs w:val="16"/>
        </w:rPr>
        <w:footnoteRef/>
      </w:r>
      <w:r w:rsidRPr="0032155A">
        <w:rPr>
          <w:sz w:val="16"/>
          <w:szCs w:val="16"/>
        </w:rPr>
        <w:t xml:space="preserve"> </w:t>
      </w:r>
      <w:r w:rsidR="00792AE6" w:rsidRPr="00792AE6">
        <w:rPr>
          <w:sz w:val="16"/>
          <w:szCs w:val="16"/>
        </w:rPr>
        <w:t>Doutor em Planejamento Urbano e Regional (IPPUR/UFRJ). Professor do Programa de Pós-Graduação em Desenvolvimento Regional, Ambiente e Políticas Públicas (PPGDAP/UFF). E-mail: joseluisvianna@uol.com.b</w:t>
      </w:r>
      <w:r w:rsidR="00A02CD3">
        <w:rPr>
          <w:sz w:val="16"/>
          <w:szCs w:val="16"/>
        </w:rPr>
        <w:t>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6AA68" w14:textId="6460891F" w:rsidR="00490E5B" w:rsidRDefault="00490E5B">
    <w:pPr>
      <w:pStyle w:val="Cabealho"/>
    </w:pPr>
  </w:p>
  <w:p w14:paraId="6DFE2715" w14:textId="77777777" w:rsidR="00490E5B" w:rsidRDefault="00490E5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75655" w14:textId="5D380CA1" w:rsidR="00490E5B" w:rsidRDefault="00D12011" w:rsidP="00470B8D">
    <w:pPr>
      <w:pStyle w:val="Cabealho"/>
      <w:ind w:firstLine="0"/>
    </w:pPr>
    <w:r>
      <w:rPr>
        <w:noProof/>
      </w:rPr>
      <w:drawing>
        <wp:anchor distT="0" distB="0" distL="114300" distR="114300" simplePos="0" relativeHeight="251658240" behindDoc="1" locked="0" layoutInCell="1" allowOverlap="1" wp14:anchorId="004ED939" wp14:editId="159D5DAE">
          <wp:simplePos x="0" y="0"/>
          <wp:positionH relativeFrom="margin">
            <wp:align>center</wp:align>
          </wp:positionH>
          <wp:positionV relativeFrom="paragraph">
            <wp:posOffset>172085</wp:posOffset>
          </wp:positionV>
          <wp:extent cx="4670425" cy="1297305"/>
          <wp:effectExtent l="0" t="0" r="0" b="0"/>
          <wp:wrapTight wrapText="bothSides">
            <wp:wrapPolygon edited="0">
              <wp:start x="0" y="0"/>
              <wp:lineTo x="0" y="21251"/>
              <wp:lineTo x="21497" y="21251"/>
              <wp:lineTo x="21497" y="0"/>
              <wp:lineTo x="0" y="0"/>
            </wp:wrapPolygon>
          </wp:wrapTight>
          <wp:docPr id="1101645350" name="Imagem 110164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670425" cy="129730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037C98"/>
    <w:multiLevelType w:val="hybridMultilevel"/>
    <w:tmpl w:val="5C72E8FC"/>
    <w:lvl w:ilvl="0" w:tplc="CC00D196">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1" w15:restartNumberingAfterBreak="0">
    <w:nsid w:val="3F350BC3"/>
    <w:multiLevelType w:val="hybridMultilevel"/>
    <w:tmpl w:val="5B50A738"/>
    <w:lvl w:ilvl="0" w:tplc="04160005">
      <w:start w:val="1"/>
      <w:numFmt w:val="bullet"/>
      <w:lvlText w:val=""/>
      <w:lvlJc w:val="left"/>
      <w:pPr>
        <w:ind w:left="1211" w:hanging="360"/>
      </w:pPr>
      <w:rPr>
        <w:rFonts w:ascii="Wingdings" w:hAnsi="Wingdings" w:hint="default"/>
      </w:rPr>
    </w:lvl>
    <w:lvl w:ilvl="1" w:tplc="FFFFFFFF" w:tentative="1">
      <w:start w:val="1"/>
      <w:numFmt w:val="bullet"/>
      <w:lvlText w:val="o"/>
      <w:lvlJc w:val="left"/>
      <w:pPr>
        <w:ind w:left="1931" w:hanging="360"/>
      </w:pPr>
      <w:rPr>
        <w:rFonts w:ascii="Courier New" w:hAnsi="Courier New" w:cs="Courier New" w:hint="default"/>
      </w:rPr>
    </w:lvl>
    <w:lvl w:ilvl="2" w:tplc="FFFFFFFF" w:tentative="1">
      <w:start w:val="1"/>
      <w:numFmt w:val="bullet"/>
      <w:lvlText w:val=""/>
      <w:lvlJc w:val="left"/>
      <w:pPr>
        <w:ind w:left="2651" w:hanging="360"/>
      </w:pPr>
      <w:rPr>
        <w:rFonts w:ascii="Wingdings" w:hAnsi="Wingdings" w:hint="default"/>
      </w:rPr>
    </w:lvl>
    <w:lvl w:ilvl="3" w:tplc="FFFFFFFF" w:tentative="1">
      <w:start w:val="1"/>
      <w:numFmt w:val="bullet"/>
      <w:lvlText w:val=""/>
      <w:lvlJc w:val="left"/>
      <w:pPr>
        <w:ind w:left="3371" w:hanging="360"/>
      </w:pPr>
      <w:rPr>
        <w:rFonts w:ascii="Symbol" w:hAnsi="Symbol" w:hint="default"/>
      </w:rPr>
    </w:lvl>
    <w:lvl w:ilvl="4" w:tplc="FFFFFFFF" w:tentative="1">
      <w:start w:val="1"/>
      <w:numFmt w:val="bullet"/>
      <w:lvlText w:val="o"/>
      <w:lvlJc w:val="left"/>
      <w:pPr>
        <w:ind w:left="4091" w:hanging="360"/>
      </w:pPr>
      <w:rPr>
        <w:rFonts w:ascii="Courier New" w:hAnsi="Courier New" w:cs="Courier New" w:hint="default"/>
      </w:rPr>
    </w:lvl>
    <w:lvl w:ilvl="5" w:tplc="FFFFFFFF" w:tentative="1">
      <w:start w:val="1"/>
      <w:numFmt w:val="bullet"/>
      <w:lvlText w:val=""/>
      <w:lvlJc w:val="left"/>
      <w:pPr>
        <w:ind w:left="4811" w:hanging="360"/>
      </w:pPr>
      <w:rPr>
        <w:rFonts w:ascii="Wingdings" w:hAnsi="Wingdings" w:hint="default"/>
      </w:rPr>
    </w:lvl>
    <w:lvl w:ilvl="6" w:tplc="FFFFFFFF" w:tentative="1">
      <w:start w:val="1"/>
      <w:numFmt w:val="bullet"/>
      <w:lvlText w:val=""/>
      <w:lvlJc w:val="left"/>
      <w:pPr>
        <w:ind w:left="5531" w:hanging="360"/>
      </w:pPr>
      <w:rPr>
        <w:rFonts w:ascii="Symbol" w:hAnsi="Symbol" w:hint="default"/>
      </w:rPr>
    </w:lvl>
    <w:lvl w:ilvl="7" w:tplc="FFFFFFFF" w:tentative="1">
      <w:start w:val="1"/>
      <w:numFmt w:val="bullet"/>
      <w:lvlText w:val="o"/>
      <w:lvlJc w:val="left"/>
      <w:pPr>
        <w:ind w:left="6251" w:hanging="360"/>
      </w:pPr>
      <w:rPr>
        <w:rFonts w:ascii="Courier New" w:hAnsi="Courier New" w:cs="Courier New" w:hint="default"/>
      </w:rPr>
    </w:lvl>
    <w:lvl w:ilvl="8" w:tplc="FFFFFFFF" w:tentative="1">
      <w:start w:val="1"/>
      <w:numFmt w:val="bullet"/>
      <w:lvlText w:val=""/>
      <w:lvlJc w:val="left"/>
      <w:pPr>
        <w:ind w:left="6971" w:hanging="360"/>
      </w:pPr>
      <w:rPr>
        <w:rFonts w:ascii="Wingdings" w:hAnsi="Wingdings" w:hint="default"/>
      </w:rPr>
    </w:lvl>
  </w:abstractNum>
  <w:abstractNum w:abstractNumId="2" w15:restartNumberingAfterBreak="0">
    <w:nsid w:val="7F9B2E07"/>
    <w:multiLevelType w:val="hybridMultilevel"/>
    <w:tmpl w:val="2FC622D4"/>
    <w:lvl w:ilvl="0" w:tplc="E2EE6526">
      <w:start w:val="1"/>
      <w:numFmt w:val="bullet"/>
      <w:lvlText w:val="►"/>
      <w:lvlJc w:val="left"/>
      <w:pPr>
        <w:ind w:left="2279" w:hanging="360"/>
      </w:pPr>
      <w:rPr>
        <w:rFonts w:ascii="Courier New" w:hAnsi="Courier New" w:hint="default"/>
      </w:rPr>
    </w:lvl>
    <w:lvl w:ilvl="1" w:tplc="04160003" w:tentative="1">
      <w:start w:val="1"/>
      <w:numFmt w:val="bullet"/>
      <w:lvlText w:val="o"/>
      <w:lvlJc w:val="left"/>
      <w:pPr>
        <w:ind w:left="2999" w:hanging="360"/>
      </w:pPr>
      <w:rPr>
        <w:rFonts w:ascii="Courier New" w:hAnsi="Courier New" w:cs="Courier New" w:hint="default"/>
      </w:rPr>
    </w:lvl>
    <w:lvl w:ilvl="2" w:tplc="04160005" w:tentative="1">
      <w:start w:val="1"/>
      <w:numFmt w:val="bullet"/>
      <w:lvlText w:val=""/>
      <w:lvlJc w:val="left"/>
      <w:pPr>
        <w:ind w:left="3719" w:hanging="360"/>
      </w:pPr>
      <w:rPr>
        <w:rFonts w:ascii="Wingdings" w:hAnsi="Wingdings" w:hint="default"/>
      </w:rPr>
    </w:lvl>
    <w:lvl w:ilvl="3" w:tplc="04160001" w:tentative="1">
      <w:start w:val="1"/>
      <w:numFmt w:val="bullet"/>
      <w:lvlText w:val=""/>
      <w:lvlJc w:val="left"/>
      <w:pPr>
        <w:ind w:left="4439" w:hanging="360"/>
      </w:pPr>
      <w:rPr>
        <w:rFonts w:ascii="Symbol" w:hAnsi="Symbol" w:hint="default"/>
      </w:rPr>
    </w:lvl>
    <w:lvl w:ilvl="4" w:tplc="04160003" w:tentative="1">
      <w:start w:val="1"/>
      <w:numFmt w:val="bullet"/>
      <w:lvlText w:val="o"/>
      <w:lvlJc w:val="left"/>
      <w:pPr>
        <w:ind w:left="5159" w:hanging="360"/>
      </w:pPr>
      <w:rPr>
        <w:rFonts w:ascii="Courier New" w:hAnsi="Courier New" w:cs="Courier New" w:hint="default"/>
      </w:rPr>
    </w:lvl>
    <w:lvl w:ilvl="5" w:tplc="04160005" w:tentative="1">
      <w:start w:val="1"/>
      <w:numFmt w:val="bullet"/>
      <w:lvlText w:val=""/>
      <w:lvlJc w:val="left"/>
      <w:pPr>
        <w:ind w:left="5879" w:hanging="360"/>
      </w:pPr>
      <w:rPr>
        <w:rFonts w:ascii="Wingdings" w:hAnsi="Wingdings" w:hint="default"/>
      </w:rPr>
    </w:lvl>
    <w:lvl w:ilvl="6" w:tplc="04160001" w:tentative="1">
      <w:start w:val="1"/>
      <w:numFmt w:val="bullet"/>
      <w:lvlText w:val=""/>
      <w:lvlJc w:val="left"/>
      <w:pPr>
        <w:ind w:left="6599" w:hanging="360"/>
      </w:pPr>
      <w:rPr>
        <w:rFonts w:ascii="Symbol" w:hAnsi="Symbol" w:hint="default"/>
      </w:rPr>
    </w:lvl>
    <w:lvl w:ilvl="7" w:tplc="04160003" w:tentative="1">
      <w:start w:val="1"/>
      <w:numFmt w:val="bullet"/>
      <w:lvlText w:val="o"/>
      <w:lvlJc w:val="left"/>
      <w:pPr>
        <w:ind w:left="7319" w:hanging="360"/>
      </w:pPr>
      <w:rPr>
        <w:rFonts w:ascii="Courier New" w:hAnsi="Courier New" w:cs="Courier New" w:hint="default"/>
      </w:rPr>
    </w:lvl>
    <w:lvl w:ilvl="8" w:tplc="04160005" w:tentative="1">
      <w:start w:val="1"/>
      <w:numFmt w:val="bullet"/>
      <w:lvlText w:val=""/>
      <w:lvlJc w:val="left"/>
      <w:pPr>
        <w:ind w:left="8039" w:hanging="360"/>
      </w:pPr>
      <w:rPr>
        <w:rFonts w:ascii="Wingdings" w:hAnsi="Wingdings" w:hint="default"/>
      </w:rPr>
    </w:lvl>
  </w:abstractNum>
  <w:num w:numId="1" w16cid:durableId="2116747693">
    <w:abstractNumId w:val="0"/>
  </w:num>
  <w:num w:numId="2" w16cid:durableId="724913647">
    <w:abstractNumId w:val="2"/>
  </w:num>
  <w:num w:numId="3" w16cid:durableId="189079808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SystemFonts/>
  <w:activeWritingStyle w:appName="MSWord" w:lang="pt-BR" w:vendorID="64" w:dllVersion="6" w:nlCheck="1" w:checkStyle="0"/>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pt-BR" w:vendorID="64" w:dllVersion="4096" w:nlCheck="1" w:checkStyle="0"/>
  <w:activeWritingStyle w:appName="MSWord" w:lang="en-GB" w:vendorID="64" w:dllVersion="4096" w:nlCheck="1" w:checkStyle="0"/>
  <w:activeWritingStyle w:appName="MSWord" w:lang="es-CL" w:vendorID="64" w:dllVersion="4096" w:nlCheck="1" w:checkStyle="0"/>
  <w:activeWritingStyle w:appName="MSWord" w:lang="es-CL" w:vendorID="64" w:dllVersion="6" w:nlCheck="1" w:checkStyle="1"/>
  <w:activeWritingStyle w:appName="MSWord" w:lang="en-US" w:vendorID="64" w:dllVersion="4096" w:nlCheck="1" w:checkStyle="0"/>
  <w:activeWritingStyle w:appName="MSWord" w:lang="en-US" w:vendorID="64" w:dllVersion="0" w:nlCheck="1" w:checkStyle="0"/>
  <w:activeWritingStyle w:appName="MSWord" w:lang="en-GB" w:vendorID="64" w:dllVersion="0" w:nlCheck="1" w:checkStyle="0"/>
  <w:activeWritingStyle w:appName="MSWord" w:lang="pt-BR" w:vendorID="64" w:dllVersion="0" w:nlCheck="1" w:checkStyle="0"/>
  <w:activeWritingStyle w:appName="MSWord" w:lang="es-419" w:vendorID="64" w:dllVersion="0" w:nlCheck="1" w:checkStyle="0"/>
  <w:activeWritingStyle w:appName="MSWord" w:lang="pt-PT" w:vendorID="64" w:dllVersion="0" w:nlCheck="1" w:checkStyle="0"/>
  <w:proofState w:spelling="clean" w:grammar="clean"/>
  <w:defaultTabStop w:val="708"/>
  <w:hyphenationZone w:val="425"/>
  <w:doNotHyphenateCaps/>
  <w:drawingGridHorizontalSpacing w:val="120"/>
  <w:displayHorizontalDrawingGridEvery w:val="2"/>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601C"/>
    <w:rsid w:val="000015A2"/>
    <w:rsid w:val="00010226"/>
    <w:rsid w:val="000167F4"/>
    <w:rsid w:val="00024269"/>
    <w:rsid w:val="000279A9"/>
    <w:rsid w:val="00032CDB"/>
    <w:rsid w:val="000414E8"/>
    <w:rsid w:val="0004217D"/>
    <w:rsid w:val="00046AB6"/>
    <w:rsid w:val="00054E4A"/>
    <w:rsid w:val="0005777C"/>
    <w:rsid w:val="00060BC6"/>
    <w:rsid w:val="00063038"/>
    <w:rsid w:val="00063A33"/>
    <w:rsid w:val="000666AB"/>
    <w:rsid w:val="000836EA"/>
    <w:rsid w:val="00095E46"/>
    <w:rsid w:val="000A6B80"/>
    <w:rsid w:val="000A6F41"/>
    <w:rsid w:val="000A72DE"/>
    <w:rsid w:val="000B7452"/>
    <w:rsid w:val="000C242D"/>
    <w:rsid w:val="000C4183"/>
    <w:rsid w:val="000D5A14"/>
    <w:rsid w:val="000E1DFF"/>
    <w:rsid w:val="000E2D73"/>
    <w:rsid w:val="000F0604"/>
    <w:rsid w:val="000F16D0"/>
    <w:rsid w:val="000F2E32"/>
    <w:rsid w:val="000F3D59"/>
    <w:rsid w:val="00101030"/>
    <w:rsid w:val="00104A10"/>
    <w:rsid w:val="001123A7"/>
    <w:rsid w:val="001138E0"/>
    <w:rsid w:val="001147CC"/>
    <w:rsid w:val="00114B1B"/>
    <w:rsid w:val="00117C30"/>
    <w:rsid w:val="00120A4E"/>
    <w:rsid w:val="00127565"/>
    <w:rsid w:val="00127BE7"/>
    <w:rsid w:val="00127C73"/>
    <w:rsid w:val="00136A83"/>
    <w:rsid w:val="001521D7"/>
    <w:rsid w:val="00155BB8"/>
    <w:rsid w:val="001675B9"/>
    <w:rsid w:val="00167CB2"/>
    <w:rsid w:val="00170BE9"/>
    <w:rsid w:val="00172CED"/>
    <w:rsid w:val="0017507C"/>
    <w:rsid w:val="0018221F"/>
    <w:rsid w:val="00191522"/>
    <w:rsid w:val="00196D8B"/>
    <w:rsid w:val="001B2486"/>
    <w:rsid w:val="001B2750"/>
    <w:rsid w:val="001B3129"/>
    <w:rsid w:val="001B5881"/>
    <w:rsid w:val="001B6E79"/>
    <w:rsid w:val="001C42A5"/>
    <w:rsid w:val="001C777D"/>
    <w:rsid w:val="001D2061"/>
    <w:rsid w:val="001D3482"/>
    <w:rsid w:val="001D5941"/>
    <w:rsid w:val="001E20FC"/>
    <w:rsid w:val="001F0574"/>
    <w:rsid w:val="001F2595"/>
    <w:rsid w:val="001F3BC5"/>
    <w:rsid w:val="001F4470"/>
    <w:rsid w:val="001F62B8"/>
    <w:rsid w:val="001F6D68"/>
    <w:rsid w:val="001F74CA"/>
    <w:rsid w:val="00200951"/>
    <w:rsid w:val="00201A0B"/>
    <w:rsid w:val="00202520"/>
    <w:rsid w:val="00205209"/>
    <w:rsid w:val="00213634"/>
    <w:rsid w:val="00220D27"/>
    <w:rsid w:val="00223899"/>
    <w:rsid w:val="00224126"/>
    <w:rsid w:val="00230897"/>
    <w:rsid w:val="00231461"/>
    <w:rsid w:val="0023354D"/>
    <w:rsid w:val="00233E1A"/>
    <w:rsid w:val="00235886"/>
    <w:rsid w:val="002407C1"/>
    <w:rsid w:val="002533AE"/>
    <w:rsid w:val="0026111E"/>
    <w:rsid w:val="00261AF1"/>
    <w:rsid w:val="00261CD9"/>
    <w:rsid w:val="00264FC4"/>
    <w:rsid w:val="00267F54"/>
    <w:rsid w:val="00271EBF"/>
    <w:rsid w:val="002731A5"/>
    <w:rsid w:val="00273E9A"/>
    <w:rsid w:val="00281668"/>
    <w:rsid w:val="00284807"/>
    <w:rsid w:val="002867F3"/>
    <w:rsid w:val="00293475"/>
    <w:rsid w:val="002952B3"/>
    <w:rsid w:val="00297E83"/>
    <w:rsid w:val="002A0031"/>
    <w:rsid w:val="002A170C"/>
    <w:rsid w:val="002A1987"/>
    <w:rsid w:val="002A5D29"/>
    <w:rsid w:val="002A686B"/>
    <w:rsid w:val="002C09E9"/>
    <w:rsid w:val="002C63BB"/>
    <w:rsid w:val="002D4CA1"/>
    <w:rsid w:val="002D6105"/>
    <w:rsid w:val="002E024C"/>
    <w:rsid w:val="002E0461"/>
    <w:rsid w:val="002E2F98"/>
    <w:rsid w:val="002F0C19"/>
    <w:rsid w:val="002F2EF7"/>
    <w:rsid w:val="002F3B6F"/>
    <w:rsid w:val="002F664E"/>
    <w:rsid w:val="0031360D"/>
    <w:rsid w:val="00320E36"/>
    <w:rsid w:val="0032155A"/>
    <w:rsid w:val="00326E56"/>
    <w:rsid w:val="00327944"/>
    <w:rsid w:val="00333C0F"/>
    <w:rsid w:val="00336DD3"/>
    <w:rsid w:val="00341D1F"/>
    <w:rsid w:val="00362DDE"/>
    <w:rsid w:val="00362E84"/>
    <w:rsid w:val="00363C90"/>
    <w:rsid w:val="0036438F"/>
    <w:rsid w:val="003670A8"/>
    <w:rsid w:val="003730F8"/>
    <w:rsid w:val="0037371D"/>
    <w:rsid w:val="00376A96"/>
    <w:rsid w:val="003800A6"/>
    <w:rsid w:val="00385ABE"/>
    <w:rsid w:val="00393BF8"/>
    <w:rsid w:val="003A0252"/>
    <w:rsid w:val="003B5837"/>
    <w:rsid w:val="003B7F7B"/>
    <w:rsid w:val="003C2ADE"/>
    <w:rsid w:val="003C59E4"/>
    <w:rsid w:val="003C7EF0"/>
    <w:rsid w:val="003D01B0"/>
    <w:rsid w:val="003D4C17"/>
    <w:rsid w:val="003D5EA9"/>
    <w:rsid w:val="003D7530"/>
    <w:rsid w:val="003E3E63"/>
    <w:rsid w:val="003E49D5"/>
    <w:rsid w:val="003E782A"/>
    <w:rsid w:val="003F0D31"/>
    <w:rsid w:val="003F1F0C"/>
    <w:rsid w:val="003F3012"/>
    <w:rsid w:val="003F4883"/>
    <w:rsid w:val="00405800"/>
    <w:rsid w:val="004073DB"/>
    <w:rsid w:val="0041522A"/>
    <w:rsid w:val="00415E91"/>
    <w:rsid w:val="00422B40"/>
    <w:rsid w:val="00426719"/>
    <w:rsid w:val="0043144A"/>
    <w:rsid w:val="0043185B"/>
    <w:rsid w:val="00440513"/>
    <w:rsid w:val="00442E22"/>
    <w:rsid w:val="00445DE1"/>
    <w:rsid w:val="00446791"/>
    <w:rsid w:val="00457C7E"/>
    <w:rsid w:val="004601D8"/>
    <w:rsid w:val="00461B23"/>
    <w:rsid w:val="00470B8D"/>
    <w:rsid w:val="004715BB"/>
    <w:rsid w:val="00472C50"/>
    <w:rsid w:val="004739E0"/>
    <w:rsid w:val="00477E51"/>
    <w:rsid w:val="004819E9"/>
    <w:rsid w:val="00490E5B"/>
    <w:rsid w:val="00494B89"/>
    <w:rsid w:val="00495541"/>
    <w:rsid w:val="00496054"/>
    <w:rsid w:val="004A17BD"/>
    <w:rsid w:val="004A4FC3"/>
    <w:rsid w:val="004A6EBA"/>
    <w:rsid w:val="004A70CB"/>
    <w:rsid w:val="004A70FB"/>
    <w:rsid w:val="004B1806"/>
    <w:rsid w:val="004B3C27"/>
    <w:rsid w:val="004B5C77"/>
    <w:rsid w:val="004C43E6"/>
    <w:rsid w:val="004D5CB2"/>
    <w:rsid w:val="004E0028"/>
    <w:rsid w:val="004E5D19"/>
    <w:rsid w:val="004F679E"/>
    <w:rsid w:val="005031A0"/>
    <w:rsid w:val="005055F4"/>
    <w:rsid w:val="00505640"/>
    <w:rsid w:val="00505D23"/>
    <w:rsid w:val="00506622"/>
    <w:rsid w:val="00513917"/>
    <w:rsid w:val="00517648"/>
    <w:rsid w:val="00521E49"/>
    <w:rsid w:val="00524EC1"/>
    <w:rsid w:val="00525CCE"/>
    <w:rsid w:val="005273DB"/>
    <w:rsid w:val="00531D4B"/>
    <w:rsid w:val="00535670"/>
    <w:rsid w:val="00536719"/>
    <w:rsid w:val="00541345"/>
    <w:rsid w:val="00542640"/>
    <w:rsid w:val="00547850"/>
    <w:rsid w:val="005565E4"/>
    <w:rsid w:val="00560620"/>
    <w:rsid w:val="00570D1D"/>
    <w:rsid w:val="005719BB"/>
    <w:rsid w:val="00571CFD"/>
    <w:rsid w:val="00572B42"/>
    <w:rsid w:val="00572E2F"/>
    <w:rsid w:val="0057601C"/>
    <w:rsid w:val="00582B58"/>
    <w:rsid w:val="005840F1"/>
    <w:rsid w:val="0059288D"/>
    <w:rsid w:val="005972B0"/>
    <w:rsid w:val="005A1CD6"/>
    <w:rsid w:val="005A314C"/>
    <w:rsid w:val="005A47F3"/>
    <w:rsid w:val="005B01D5"/>
    <w:rsid w:val="005B1F26"/>
    <w:rsid w:val="005B2ECE"/>
    <w:rsid w:val="005B49B9"/>
    <w:rsid w:val="005B7ACD"/>
    <w:rsid w:val="005C0B55"/>
    <w:rsid w:val="005C31CB"/>
    <w:rsid w:val="005C335D"/>
    <w:rsid w:val="005C342F"/>
    <w:rsid w:val="005C41E6"/>
    <w:rsid w:val="005C6702"/>
    <w:rsid w:val="005D48F7"/>
    <w:rsid w:val="005E263B"/>
    <w:rsid w:val="005E648F"/>
    <w:rsid w:val="005E680B"/>
    <w:rsid w:val="005F34A0"/>
    <w:rsid w:val="00607097"/>
    <w:rsid w:val="00622DC2"/>
    <w:rsid w:val="00622E3D"/>
    <w:rsid w:val="00624AE5"/>
    <w:rsid w:val="0062512A"/>
    <w:rsid w:val="00630D2E"/>
    <w:rsid w:val="006366BC"/>
    <w:rsid w:val="00653C27"/>
    <w:rsid w:val="00664598"/>
    <w:rsid w:val="00666AFA"/>
    <w:rsid w:val="00667AE6"/>
    <w:rsid w:val="00674FAE"/>
    <w:rsid w:val="0067630F"/>
    <w:rsid w:val="006803BC"/>
    <w:rsid w:val="00680E2C"/>
    <w:rsid w:val="00681ABF"/>
    <w:rsid w:val="00682D0D"/>
    <w:rsid w:val="00682DC9"/>
    <w:rsid w:val="0068594F"/>
    <w:rsid w:val="00687B33"/>
    <w:rsid w:val="0069295B"/>
    <w:rsid w:val="00693C5D"/>
    <w:rsid w:val="00695742"/>
    <w:rsid w:val="00695E13"/>
    <w:rsid w:val="006A00E2"/>
    <w:rsid w:val="006A05CF"/>
    <w:rsid w:val="006A21E5"/>
    <w:rsid w:val="006A3003"/>
    <w:rsid w:val="006B0D3D"/>
    <w:rsid w:val="006B35D7"/>
    <w:rsid w:val="006B7364"/>
    <w:rsid w:val="006C0DB4"/>
    <w:rsid w:val="006C358E"/>
    <w:rsid w:val="006D40D5"/>
    <w:rsid w:val="006D6411"/>
    <w:rsid w:val="006E048A"/>
    <w:rsid w:val="006E7616"/>
    <w:rsid w:val="006E7A4D"/>
    <w:rsid w:val="006F18B0"/>
    <w:rsid w:val="00700A42"/>
    <w:rsid w:val="00721BE8"/>
    <w:rsid w:val="0072300F"/>
    <w:rsid w:val="00724AF3"/>
    <w:rsid w:val="007316FA"/>
    <w:rsid w:val="007347D1"/>
    <w:rsid w:val="00745D16"/>
    <w:rsid w:val="0074733C"/>
    <w:rsid w:val="00754EC6"/>
    <w:rsid w:val="00757A25"/>
    <w:rsid w:val="007722E0"/>
    <w:rsid w:val="007774CE"/>
    <w:rsid w:val="00780E64"/>
    <w:rsid w:val="00783943"/>
    <w:rsid w:val="00786157"/>
    <w:rsid w:val="00791C37"/>
    <w:rsid w:val="00792AE6"/>
    <w:rsid w:val="00793715"/>
    <w:rsid w:val="00793C56"/>
    <w:rsid w:val="00793FD7"/>
    <w:rsid w:val="007B0CCB"/>
    <w:rsid w:val="007B243F"/>
    <w:rsid w:val="007B7B05"/>
    <w:rsid w:val="007C0FC3"/>
    <w:rsid w:val="007C1ADF"/>
    <w:rsid w:val="007C1B96"/>
    <w:rsid w:val="007C7506"/>
    <w:rsid w:val="007D5DDC"/>
    <w:rsid w:val="007D6EE5"/>
    <w:rsid w:val="007E067B"/>
    <w:rsid w:val="007E0711"/>
    <w:rsid w:val="007E1742"/>
    <w:rsid w:val="007E6CBA"/>
    <w:rsid w:val="007E7F7C"/>
    <w:rsid w:val="007F1C9A"/>
    <w:rsid w:val="007F6BAC"/>
    <w:rsid w:val="00801EA0"/>
    <w:rsid w:val="008101B2"/>
    <w:rsid w:val="00812EB3"/>
    <w:rsid w:val="00813611"/>
    <w:rsid w:val="00813AAF"/>
    <w:rsid w:val="00815495"/>
    <w:rsid w:val="008174A8"/>
    <w:rsid w:val="008234A3"/>
    <w:rsid w:val="00831914"/>
    <w:rsid w:val="0083315B"/>
    <w:rsid w:val="008334ED"/>
    <w:rsid w:val="00843BC1"/>
    <w:rsid w:val="00846D63"/>
    <w:rsid w:val="00860638"/>
    <w:rsid w:val="00872B3A"/>
    <w:rsid w:val="00874902"/>
    <w:rsid w:val="008757BF"/>
    <w:rsid w:val="00877553"/>
    <w:rsid w:val="00880CB3"/>
    <w:rsid w:val="008917DA"/>
    <w:rsid w:val="00895B21"/>
    <w:rsid w:val="00895DCE"/>
    <w:rsid w:val="00897DDF"/>
    <w:rsid w:val="008A313F"/>
    <w:rsid w:val="008A5D31"/>
    <w:rsid w:val="008A6527"/>
    <w:rsid w:val="008B1DDC"/>
    <w:rsid w:val="008B38B0"/>
    <w:rsid w:val="008B4230"/>
    <w:rsid w:val="008B4CF6"/>
    <w:rsid w:val="008B5A32"/>
    <w:rsid w:val="008C541A"/>
    <w:rsid w:val="008C6F26"/>
    <w:rsid w:val="008E3B7E"/>
    <w:rsid w:val="008E5A1F"/>
    <w:rsid w:val="008F029C"/>
    <w:rsid w:val="008F4712"/>
    <w:rsid w:val="009047FF"/>
    <w:rsid w:val="00905E02"/>
    <w:rsid w:val="00915009"/>
    <w:rsid w:val="00917D9D"/>
    <w:rsid w:val="0092421C"/>
    <w:rsid w:val="00933C2D"/>
    <w:rsid w:val="0093630A"/>
    <w:rsid w:val="0093639C"/>
    <w:rsid w:val="00940562"/>
    <w:rsid w:val="009424D9"/>
    <w:rsid w:val="0094372E"/>
    <w:rsid w:val="0094519B"/>
    <w:rsid w:val="00947EED"/>
    <w:rsid w:val="00950C7D"/>
    <w:rsid w:val="00953429"/>
    <w:rsid w:val="00956ED2"/>
    <w:rsid w:val="00960B78"/>
    <w:rsid w:val="00962533"/>
    <w:rsid w:val="0097119C"/>
    <w:rsid w:val="0097448C"/>
    <w:rsid w:val="00974A6B"/>
    <w:rsid w:val="00974E35"/>
    <w:rsid w:val="00980891"/>
    <w:rsid w:val="00980FA7"/>
    <w:rsid w:val="009818A7"/>
    <w:rsid w:val="00986342"/>
    <w:rsid w:val="009A0CBE"/>
    <w:rsid w:val="009A0CC3"/>
    <w:rsid w:val="009A1200"/>
    <w:rsid w:val="009A5DC3"/>
    <w:rsid w:val="009A61A3"/>
    <w:rsid w:val="009A7C15"/>
    <w:rsid w:val="009B006A"/>
    <w:rsid w:val="009B2EEA"/>
    <w:rsid w:val="009C65C0"/>
    <w:rsid w:val="009D4E5E"/>
    <w:rsid w:val="009E11AF"/>
    <w:rsid w:val="009E2AAF"/>
    <w:rsid w:val="009F32D5"/>
    <w:rsid w:val="009F3725"/>
    <w:rsid w:val="009F786E"/>
    <w:rsid w:val="009F7950"/>
    <w:rsid w:val="00A01592"/>
    <w:rsid w:val="00A01F45"/>
    <w:rsid w:val="00A02CD3"/>
    <w:rsid w:val="00A04406"/>
    <w:rsid w:val="00A04966"/>
    <w:rsid w:val="00A04D6B"/>
    <w:rsid w:val="00A15D73"/>
    <w:rsid w:val="00A24A6D"/>
    <w:rsid w:val="00A279D3"/>
    <w:rsid w:val="00A3111E"/>
    <w:rsid w:val="00A36F5B"/>
    <w:rsid w:val="00A378F9"/>
    <w:rsid w:val="00A42870"/>
    <w:rsid w:val="00A459D1"/>
    <w:rsid w:val="00A45B64"/>
    <w:rsid w:val="00A50241"/>
    <w:rsid w:val="00A5025B"/>
    <w:rsid w:val="00A51777"/>
    <w:rsid w:val="00A51B9A"/>
    <w:rsid w:val="00A56B54"/>
    <w:rsid w:val="00A606E6"/>
    <w:rsid w:val="00A60E78"/>
    <w:rsid w:val="00A61767"/>
    <w:rsid w:val="00A621D7"/>
    <w:rsid w:val="00A659E9"/>
    <w:rsid w:val="00A65B6A"/>
    <w:rsid w:val="00A701BD"/>
    <w:rsid w:val="00A83DE6"/>
    <w:rsid w:val="00A851EB"/>
    <w:rsid w:val="00A9462A"/>
    <w:rsid w:val="00A95E7E"/>
    <w:rsid w:val="00AA3317"/>
    <w:rsid w:val="00AA79A5"/>
    <w:rsid w:val="00AB03E0"/>
    <w:rsid w:val="00AB17DA"/>
    <w:rsid w:val="00AC7470"/>
    <w:rsid w:val="00AC7CB4"/>
    <w:rsid w:val="00AD15DA"/>
    <w:rsid w:val="00AD381F"/>
    <w:rsid w:val="00AE2288"/>
    <w:rsid w:val="00AE4865"/>
    <w:rsid w:val="00AE6655"/>
    <w:rsid w:val="00AE6FA6"/>
    <w:rsid w:val="00AF2DDA"/>
    <w:rsid w:val="00B01BC4"/>
    <w:rsid w:val="00B033CB"/>
    <w:rsid w:val="00B05CD8"/>
    <w:rsid w:val="00B06A2D"/>
    <w:rsid w:val="00B06F4D"/>
    <w:rsid w:val="00B074FA"/>
    <w:rsid w:val="00B10974"/>
    <w:rsid w:val="00B1250D"/>
    <w:rsid w:val="00B12650"/>
    <w:rsid w:val="00B247D4"/>
    <w:rsid w:val="00B24C05"/>
    <w:rsid w:val="00B35681"/>
    <w:rsid w:val="00B400F6"/>
    <w:rsid w:val="00B41B00"/>
    <w:rsid w:val="00B42CF0"/>
    <w:rsid w:val="00B43077"/>
    <w:rsid w:val="00B44635"/>
    <w:rsid w:val="00B45290"/>
    <w:rsid w:val="00B46EF9"/>
    <w:rsid w:val="00B47196"/>
    <w:rsid w:val="00B5272A"/>
    <w:rsid w:val="00B743F2"/>
    <w:rsid w:val="00B771AA"/>
    <w:rsid w:val="00B814ED"/>
    <w:rsid w:val="00B8206A"/>
    <w:rsid w:val="00B82BC4"/>
    <w:rsid w:val="00B85ED2"/>
    <w:rsid w:val="00B87915"/>
    <w:rsid w:val="00B91D7C"/>
    <w:rsid w:val="00B92795"/>
    <w:rsid w:val="00BA3EAE"/>
    <w:rsid w:val="00BA5748"/>
    <w:rsid w:val="00BB25EE"/>
    <w:rsid w:val="00BD2E89"/>
    <w:rsid w:val="00BD3E2B"/>
    <w:rsid w:val="00BF415F"/>
    <w:rsid w:val="00BF7EB2"/>
    <w:rsid w:val="00C100EF"/>
    <w:rsid w:val="00C15287"/>
    <w:rsid w:val="00C167E2"/>
    <w:rsid w:val="00C26BD6"/>
    <w:rsid w:val="00C37393"/>
    <w:rsid w:val="00C50DCB"/>
    <w:rsid w:val="00C50DE9"/>
    <w:rsid w:val="00C559FD"/>
    <w:rsid w:val="00C56169"/>
    <w:rsid w:val="00C56B29"/>
    <w:rsid w:val="00C64578"/>
    <w:rsid w:val="00C67A4C"/>
    <w:rsid w:val="00C75CEC"/>
    <w:rsid w:val="00C776E8"/>
    <w:rsid w:val="00C82161"/>
    <w:rsid w:val="00C82408"/>
    <w:rsid w:val="00C8456E"/>
    <w:rsid w:val="00C85E38"/>
    <w:rsid w:val="00C91980"/>
    <w:rsid w:val="00C9544A"/>
    <w:rsid w:val="00C97D65"/>
    <w:rsid w:val="00CA44F9"/>
    <w:rsid w:val="00CB2D50"/>
    <w:rsid w:val="00CB56F4"/>
    <w:rsid w:val="00CB77A5"/>
    <w:rsid w:val="00CD21B2"/>
    <w:rsid w:val="00CD2F3E"/>
    <w:rsid w:val="00CE3359"/>
    <w:rsid w:val="00CE393F"/>
    <w:rsid w:val="00CE55D0"/>
    <w:rsid w:val="00CF0886"/>
    <w:rsid w:val="00CF1945"/>
    <w:rsid w:val="00CF7E6C"/>
    <w:rsid w:val="00D02EE3"/>
    <w:rsid w:val="00D04671"/>
    <w:rsid w:val="00D05648"/>
    <w:rsid w:val="00D07318"/>
    <w:rsid w:val="00D07BC9"/>
    <w:rsid w:val="00D12011"/>
    <w:rsid w:val="00D20F95"/>
    <w:rsid w:val="00D21F5C"/>
    <w:rsid w:val="00D3027E"/>
    <w:rsid w:val="00D3646D"/>
    <w:rsid w:val="00D439AA"/>
    <w:rsid w:val="00D43FFD"/>
    <w:rsid w:val="00D442FB"/>
    <w:rsid w:val="00D45394"/>
    <w:rsid w:val="00D46DA5"/>
    <w:rsid w:val="00D53FDC"/>
    <w:rsid w:val="00D602B1"/>
    <w:rsid w:val="00D62030"/>
    <w:rsid w:val="00D741CF"/>
    <w:rsid w:val="00D7654A"/>
    <w:rsid w:val="00D81A24"/>
    <w:rsid w:val="00D83317"/>
    <w:rsid w:val="00D870F1"/>
    <w:rsid w:val="00D90EF7"/>
    <w:rsid w:val="00D94358"/>
    <w:rsid w:val="00DA23C2"/>
    <w:rsid w:val="00DA5F5F"/>
    <w:rsid w:val="00DB33B4"/>
    <w:rsid w:val="00DB3E3E"/>
    <w:rsid w:val="00DB5C27"/>
    <w:rsid w:val="00DB6886"/>
    <w:rsid w:val="00DC43FA"/>
    <w:rsid w:val="00DC4673"/>
    <w:rsid w:val="00DD0900"/>
    <w:rsid w:val="00DD5885"/>
    <w:rsid w:val="00DE15D1"/>
    <w:rsid w:val="00DF123A"/>
    <w:rsid w:val="00DF26FD"/>
    <w:rsid w:val="00E1449E"/>
    <w:rsid w:val="00E151B3"/>
    <w:rsid w:val="00E20068"/>
    <w:rsid w:val="00E257EE"/>
    <w:rsid w:val="00E336D7"/>
    <w:rsid w:val="00E3435F"/>
    <w:rsid w:val="00E35384"/>
    <w:rsid w:val="00E35B5C"/>
    <w:rsid w:val="00E366A0"/>
    <w:rsid w:val="00E40E8F"/>
    <w:rsid w:val="00E411BA"/>
    <w:rsid w:val="00E41D8C"/>
    <w:rsid w:val="00E448FE"/>
    <w:rsid w:val="00E460FE"/>
    <w:rsid w:val="00E51EDE"/>
    <w:rsid w:val="00E53F1F"/>
    <w:rsid w:val="00E55BEF"/>
    <w:rsid w:val="00E55CF5"/>
    <w:rsid w:val="00E56733"/>
    <w:rsid w:val="00E65E72"/>
    <w:rsid w:val="00E70E47"/>
    <w:rsid w:val="00E74A6E"/>
    <w:rsid w:val="00E771B8"/>
    <w:rsid w:val="00E968FC"/>
    <w:rsid w:val="00EA1817"/>
    <w:rsid w:val="00EA2C25"/>
    <w:rsid w:val="00EA586C"/>
    <w:rsid w:val="00EA766B"/>
    <w:rsid w:val="00EB466E"/>
    <w:rsid w:val="00EB77BA"/>
    <w:rsid w:val="00EC1276"/>
    <w:rsid w:val="00EC33AE"/>
    <w:rsid w:val="00EC5241"/>
    <w:rsid w:val="00ED2487"/>
    <w:rsid w:val="00ED7240"/>
    <w:rsid w:val="00EE0361"/>
    <w:rsid w:val="00EE0F6F"/>
    <w:rsid w:val="00EE29A4"/>
    <w:rsid w:val="00EE42AC"/>
    <w:rsid w:val="00EE4562"/>
    <w:rsid w:val="00EE4C8F"/>
    <w:rsid w:val="00EF3426"/>
    <w:rsid w:val="00EF5C9A"/>
    <w:rsid w:val="00EF5F75"/>
    <w:rsid w:val="00F01EBE"/>
    <w:rsid w:val="00F06F4A"/>
    <w:rsid w:val="00F077F7"/>
    <w:rsid w:val="00F15EEC"/>
    <w:rsid w:val="00F2116A"/>
    <w:rsid w:val="00F21DC7"/>
    <w:rsid w:val="00F30F28"/>
    <w:rsid w:val="00F32A95"/>
    <w:rsid w:val="00F40B67"/>
    <w:rsid w:val="00F45C07"/>
    <w:rsid w:val="00F512C0"/>
    <w:rsid w:val="00F516BF"/>
    <w:rsid w:val="00F53E84"/>
    <w:rsid w:val="00F54B03"/>
    <w:rsid w:val="00F5612F"/>
    <w:rsid w:val="00F667C3"/>
    <w:rsid w:val="00F671DF"/>
    <w:rsid w:val="00F70C42"/>
    <w:rsid w:val="00F71E64"/>
    <w:rsid w:val="00F73951"/>
    <w:rsid w:val="00F73A38"/>
    <w:rsid w:val="00F75E2E"/>
    <w:rsid w:val="00F7740E"/>
    <w:rsid w:val="00F7781F"/>
    <w:rsid w:val="00F77DED"/>
    <w:rsid w:val="00F803E0"/>
    <w:rsid w:val="00F80DA8"/>
    <w:rsid w:val="00F846C0"/>
    <w:rsid w:val="00F86E19"/>
    <w:rsid w:val="00FB23D9"/>
    <w:rsid w:val="00FB35D9"/>
    <w:rsid w:val="00FB64BA"/>
    <w:rsid w:val="00FC06BF"/>
    <w:rsid w:val="00FC2432"/>
    <w:rsid w:val="00FC7097"/>
    <w:rsid w:val="00FC7FBB"/>
    <w:rsid w:val="00FD4734"/>
    <w:rsid w:val="00FD5325"/>
    <w:rsid w:val="00FD58FF"/>
    <w:rsid w:val="00FD5FDE"/>
    <w:rsid w:val="00FE2A0C"/>
    <w:rsid w:val="00FE3684"/>
    <w:rsid w:val="00FE6168"/>
    <w:rsid w:val="00FF2C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20CC6C"/>
  <w14:defaultImageDpi w14:val="330"/>
  <w15:docId w15:val="{396BBBB9-F6FA-41C4-9BE9-B360A99CB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01D8"/>
    <w:pPr>
      <w:spacing w:line="360" w:lineRule="auto"/>
      <w:ind w:firstLine="851"/>
      <w:jc w:val="both"/>
    </w:pPr>
    <w:rPr>
      <w:rFonts w:ascii="Arial" w:hAnsi="Arial"/>
      <w:sz w:val="24"/>
      <w:szCs w:val="24"/>
    </w:rPr>
  </w:style>
  <w:style w:type="paragraph" w:styleId="Ttulo1">
    <w:name w:val="heading 1"/>
    <w:basedOn w:val="Normal"/>
    <w:next w:val="Normal"/>
    <w:link w:val="Ttulo1Char"/>
    <w:qFormat/>
    <w:locked/>
    <w:rsid w:val="00336DD3"/>
    <w:pPr>
      <w:spacing w:before="120" w:after="120"/>
      <w:ind w:firstLine="0"/>
      <w:outlineLvl w:val="0"/>
    </w:pPr>
    <w:rPr>
      <w:rFonts w:cs="Arial"/>
      <w:b/>
    </w:rPr>
  </w:style>
  <w:style w:type="paragraph" w:styleId="Ttulo2">
    <w:name w:val="heading 2"/>
    <w:basedOn w:val="PargrafodaLista"/>
    <w:next w:val="Normal"/>
    <w:link w:val="Ttulo2Char"/>
    <w:unhideWhenUsed/>
    <w:qFormat/>
    <w:locked/>
    <w:rsid w:val="00060BC6"/>
    <w:pPr>
      <w:spacing w:before="120" w:after="120" w:line="360" w:lineRule="auto"/>
      <w:ind w:left="0"/>
      <w:outlineLvl w:val="1"/>
    </w:pPr>
    <w:rPr>
      <w:rFonts w:cs="Arial"/>
      <w:szCs w:val="24"/>
    </w:rPr>
  </w:style>
  <w:style w:type="paragraph" w:styleId="Ttulo3">
    <w:name w:val="heading 3"/>
    <w:basedOn w:val="Normal"/>
    <w:next w:val="Normal"/>
    <w:link w:val="Ttulo3Char"/>
    <w:unhideWhenUsed/>
    <w:qFormat/>
    <w:locked/>
    <w:rsid w:val="00F75E2E"/>
    <w:pPr>
      <w:outlineLvl w:val="2"/>
    </w:pPr>
    <w:rPr>
      <w:rFonts w:cs="Arial"/>
      <w:b/>
    </w:rPr>
  </w:style>
  <w:style w:type="paragraph" w:styleId="Ttulo4">
    <w:name w:val="heading 4"/>
    <w:basedOn w:val="Normal"/>
    <w:next w:val="Normal"/>
    <w:link w:val="Ttulo4Char"/>
    <w:unhideWhenUsed/>
    <w:qFormat/>
    <w:locked/>
    <w:rsid w:val="00956ED2"/>
    <w:pPr>
      <w:outlineLvl w:val="3"/>
    </w:pPr>
    <w:rPr>
      <w:rFonts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7601C"/>
    <w:pPr>
      <w:tabs>
        <w:tab w:val="center" w:pos="4252"/>
        <w:tab w:val="right" w:pos="8504"/>
      </w:tabs>
    </w:pPr>
    <w:rPr>
      <w:lang w:val="x-none" w:eastAsia="x-none"/>
    </w:rPr>
  </w:style>
  <w:style w:type="character" w:customStyle="1" w:styleId="CabealhoChar">
    <w:name w:val="Cabeçalho Char"/>
    <w:link w:val="Cabealho"/>
    <w:uiPriority w:val="99"/>
    <w:locked/>
    <w:rsid w:val="0068594F"/>
    <w:rPr>
      <w:sz w:val="24"/>
      <w:szCs w:val="24"/>
    </w:rPr>
  </w:style>
  <w:style w:type="paragraph" w:styleId="Rodap">
    <w:name w:val="footer"/>
    <w:basedOn w:val="Normal"/>
    <w:link w:val="RodapChar"/>
    <w:uiPriority w:val="99"/>
    <w:rsid w:val="0057601C"/>
    <w:pPr>
      <w:tabs>
        <w:tab w:val="center" w:pos="4252"/>
        <w:tab w:val="right" w:pos="8504"/>
      </w:tabs>
    </w:pPr>
    <w:rPr>
      <w:lang w:val="x-none" w:eastAsia="x-none"/>
    </w:rPr>
  </w:style>
  <w:style w:type="character" w:customStyle="1" w:styleId="RodapChar">
    <w:name w:val="Rodapé Char"/>
    <w:link w:val="Rodap"/>
    <w:uiPriority w:val="99"/>
    <w:locked/>
    <w:rsid w:val="00AE4865"/>
    <w:rPr>
      <w:sz w:val="24"/>
      <w:szCs w:val="24"/>
    </w:rPr>
  </w:style>
  <w:style w:type="character" w:styleId="Hyperlink">
    <w:name w:val="Hyperlink"/>
    <w:rsid w:val="0057601C"/>
    <w:rPr>
      <w:color w:val="0000FF"/>
      <w:u w:val="single"/>
    </w:rPr>
  </w:style>
  <w:style w:type="paragraph" w:styleId="Textodebalo">
    <w:name w:val="Balloon Text"/>
    <w:basedOn w:val="Normal"/>
    <w:link w:val="TextodebaloChar"/>
    <w:uiPriority w:val="99"/>
    <w:semiHidden/>
    <w:rsid w:val="0068594F"/>
    <w:rPr>
      <w:rFonts w:ascii="Tahoma" w:hAnsi="Tahoma"/>
      <w:sz w:val="16"/>
      <w:szCs w:val="16"/>
      <w:lang w:val="x-none" w:eastAsia="x-none"/>
    </w:rPr>
  </w:style>
  <w:style w:type="character" w:customStyle="1" w:styleId="TextodebaloChar">
    <w:name w:val="Texto de balão Char"/>
    <w:link w:val="Textodebalo"/>
    <w:uiPriority w:val="99"/>
    <w:locked/>
    <w:rsid w:val="0068594F"/>
    <w:rPr>
      <w:rFonts w:ascii="Tahoma" w:hAnsi="Tahoma" w:cs="Tahoma"/>
      <w:sz w:val="16"/>
      <w:szCs w:val="16"/>
    </w:rPr>
  </w:style>
  <w:style w:type="paragraph" w:customStyle="1" w:styleId="IDpaper-Title">
    <w:name w:val="IDpaper-Title"/>
    <w:basedOn w:val="Normal"/>
    <w:rsid w:val="006A00E2"/>
    <w:pPr>
      <w:widowControl w:val="0"/>
      <w:tabs>
        <w:tab w:val="left" w:pos="567"/>
      </w:tabs>
      <w:ind w:left="-397"/>
      <w:outlineLvl w:val="0"/>
    </w:pPr>
    <w:rPr>
      <w:b/>
      <w:kern w:val="16"/>
      <w:szCs w:val="20"/>
      <w:lang w:val="en-GB" w:eastAsia="en-US"/>
    </w:rPr>
  </w:style>
  <w:style w:type="paragraph" w:customStyle="1" w:styleId="IDpaper-Autor">
    <w:name w:val="IDpaper- Autor"/>
    <w:basedOn w:val="IDpaper-Title"/>
    <w:rsid w:val="006A00E2"/>
    <w:pPr>
      <w:spacing w:after="240"/>
    </w:pPr>
    <w:rPr>
      <w:b w:val="0"/>
      <w:bCs/>
      <w:sz w:val="22"/>
      <w:lang w:val="pt-BR"/>
    </w:rPr>
  </w:style>
  <w:style w:type="paragraph" w:customStyle="1" w:styleId="IDpaper-Abstract">
    <w:name w:val="IDpaper-Abstract"/>
    <w:basedOn w:val="IDpaper-Text"/>
    <w:rsid w:val="006A00E2"/>
    <w:pPr>
      <w:spacing w:after="0"/>
    </w:pPr>
    <w:rPr>
      <w:i/>
      <w:iCs/>
      <w:sz w:val="18"/>
    </w:rPr>
  </w:style>
  <w:style w:type="paragraph" w:customStyle="1" w:styleId="IDpaper-Text">
    <w:name w:val="IDpaper-Text"/>
    <w:basedOn w:val="Normal"/>
    <w:rsid w:val="006A00E2"/>
    <w:pPr>
      <w:widowControl w:val="0"/>
      <w:tabs>
        <w:tab w:val="left" w:pos="284"/>
      </w:tabs>
      <w:spacing w:after="120"/>
    </w:pPr>
    <w:rPr>
      <w:kern w:val="16"/>
      <w:sz w:val="20"/>
      <w:szCs w:val="20"/>
      <w:lang w:val="en-GB" w:eastAsia="en-US"/>
    </w:rPr>
  </w:style>
  <w:style w:type="paragraph" w:customStyle="1" w:styleId="IDpaper-heading1">
    <w:name w:val="IDpaper-heading1"/>
    <w:basedOn w:val="Normal"/>
    <w:rsid w:val="006A00E2"/>
    <w:pPr>
      <w:keepNext/>
      <w:widowControl w:val="0"/>
      <w:tabs>
        <w:tab w:val="left" w:pos="397"/>
      </w:tabs>
      <w:spacing w:before="480" w:after="120"/>
      <w:ind w:left="-397"/>
    </w:pPr>
    <w:rPr>
      <w:b/>
      <w:kern w:val="16"/>
      <w:sz w:val="22"/>
      <w:szCs w:val="20"/>
      <w:lang w:val="en-GB" w:eastAsia="en-US"/>
    </w:rPr>
  </w:style>
  <w:style w:type="paragraph" w:customStyle="1" w:styleId="IDpaper-figureCaption">
    <w:name w:val="IDpaper-figureCaption"/>
    <w:basedOn w:val="Normal"/>
    <w:rsid w:val="006A00E2"/>
    <w:pPr>
      <w:widowControl w:val="0"/>
      <w:tabs>
        <w:tab w:val="left" w:pos="397"/>
      </w:tabs>
      <w:spacing w:before="360" w:after="120"/>
    </w:pPr>
    <w:rPr>
      <w:kern w:val="16"/>
      <w:sz w:val="16"/>
      <w:szCs w:val="20"/>
      <w:lang w:val="en-GB" w:eastAsia="en-US"/>
    </w:rPr>
  </w:style>
  <w:style w:type="paragraph" w:customStyle="1" w:styleId="IDpaper-Tabletext">
    <w:name w:val="IDpaper-Table text"/>
    <w:basedOn w:val="Normal"/>
    <w:rsid w:val="006A00E2"/>
    <w:pPr>
      <w:widowControl w:val="0"/>
      <w:tabs>
        <w:tab w:val="left" w:pos="397"/>
      </w:tabs>
    </w:pPr>
    <w:rPr>
      <w:kern w:val="18"/>
      <w:sz w:val="18"/>
      <w:szCs w:val="20"/>
      <w:lang w:val="en-GB" w:eastAsia="en-US"/>
    </w:rPr>
  </w:style>
  <w:style w:type="paragraph" w:customStyle="1" w:styleId="Idpaper-tableheading">
    <w:name w:val="Idpaper-table heading"/>
    <w:basedOn w:val="Normal"/>
    <w:rsid w:val="006A00E2"/>
    <w:rPr>
      <w:sz w:val="18"/>
      <w:szCs w:val="20"/>
      <w:lang w:eastAsia="en-US"/>
    </w:rPr>
  </w:style>
  <w:style w:type="paragraph" w:customStyle="1" w:styleId="IDpaper-heading2">
    <w:name w:val="IDpaper-heading2"/>
    <w:basedOn w:val="IDpaper-Text"/>
    <w:rsid w:val="006A00E2"/>
    <w:pPr>
      <w:spacing w:before="240"/>
    </w:pPr>
    <w:rPr>
      <w:b/>
      <w:bCs/>
    </w:rPr>
  </w:style>
  <w:style w:type="paragraph" w:customStyle="1" w:styleId="IDpaper-Reference">
    <w:name w:val="IDpaper-Reference"/>
    <w:basedOn w:val="IDpaper-Text"/>
    <w:rsid w:val="006A00E2"/>
    <w:pPr>
      <w:ind w:left="284" w:hanging="284"/>
    </w:pPr>
  </w:style>
  <w:style w:type="paragraph" w:customStyle="1" w:styleId="IDpaper-heading3">
    <w:name w:val="IDpaper-heading3"/>
    <w:basedOn w:val="IDpaper-heading2"/>
    <w:next w:val="IDpaper-Text"/>
    <w:rsid w:val="006A00E2"/>
    <w:rPr>
      <w:b w:val="0"/>
      <w:bCs w:val="0"/>
      <w:i/>
      <w:iCs/>
    </w:rPr>
  </w:style>
  <w:style w:type="paragraph" w:customStyle="1" w:styleId="IDpaper-Quotation">
    <w:name w:val="IDpaper-Quotation"/>
    <w:basedOn w:val="IDpaper-Text"/>
    <w:rsid w:val="006A00E2"/>
    <w:pPr>
      <w:ind w:left="284"/>
    </w:pPr>
    <w:rPr>
      <w:sz w:val="18"/>
      <w:szCs w:val="18"/>
    </w:rPr>
  </w:style>
  <w:style w:type="paragraph" w:customStyle="1" w:styleId="IDpaper-Footnotetext">
    <w:name w:val="IDpaper-Footnote text"/>
    <w:basedOn w:val="Textodenotaderodap"/>
    <w:rsid w:val="006A00E2"/>
    <w:pPr>
      <w:ind w:left="284" w:hanging="284"/>
    </w:pPr>
    <w:rPr>
      <w:kern w:val="16"/>
      <w:sz w:val="18"/>
      <w:lang w:eastAsia="en-US"/>
    </w:rPr>
  </w:style>
  <w:style w:type="paragraph" w:customStyle="1" w:styleId="IDpaper-TitleEnglish">
    <w:name w:val="IDpaper-TitleEnglish"/>
    <w:basedOn w:val="IDpaper-Title"/>
    <w:rsid w:val="006A00E2"/>
    <w:pPr>
      <w:spacing w:after="1200"/>
    </w:pPr>
    <w:rPr>
      <w:b w:val="0"/>
      <w:bCs/>
      <w:i/>
      <w:iCs/>
    </w:rPr>
  </w:style>
  <w:style w:type="paragraph" w:customStyle="1" w:styleId="IDpaper-Resumo">
    <w:name w:val="IDpaper-Resumo"/>
    <w:basedOn w:val="IDpaper-Abstract"/>
    <w:rsid w:val="006A00E2"/>
    <w:rPr>
      <w:i w:val="0"/>
      <w:iCs w:val="0"/>
      <w:lang w:val="pt-BR"/>
    </w:rPr>
  </w:style>
  <w:style w:type="paragraph" w:styleId="Textodenotadefim">
    <w:name w:val="endnote text"/>
    <w:basedOn w:val="Normal"/>
    <w:link w:val="TextodenotadefimChar"/>
    <w:rsid w:val="006A00E2"/>
    <w:rPr>
      <w:sz w:val="16"/>
      <w:szCs w:val="20"/>
      <w:lang w:val="en-US" w:eastAsia="en-US"/>
    </w:rPr>
  </w:style>
  <w:style w:type="character" w:customStyle="1" w:styleId="TextodenotadefimChar">
    <w:name w:val="Texto de nota de fim Char"/>
    <w:link w:val="Textodenotadefim"/>
    <w:rsid w:val="006A00E2"/>
    <w:rPr>
      <w:rFonts w:ascii="Arial" w:hAnsi="Arial"/>
      <w:sz w:val="16"/>
      <w:lang w:val="en-US" w:eastAsia="en-US"/>
    </w:rPr>
  </w:style>
  <w:style w:type="character" w:styleId="Refdenotadefim">
    <w:name w:val="endnote reference"/>
    <w:rsid w:val="006A00E2"/>
    <w:rPr>
      <w:rFonts w:ascii="Arial" w:hAnsi="Arial"/>
      <w:sz w:val="22"/>
      <w:vertAlign w:val="superscript"/>
    </w:rPr>
  </w:style>
  <w:style w:type="paragraph" w:styleId="NormalWeb">
    <w:name w:val="Normal (Web)"/>
    <w:basedOn w:val="Normal"/>
    <w:uiPriority w:val="99"/>
    <w:rsid w:val="006A00E2"/>
    <w:pPr>
      <w:spacing w:before="100" w:beforeAutospacing="1" w:after="100" w:afterAutospacing="1"/>
    </w:pPr>
  </w:style>
  <w:style w:type="character" w:customStyle="1" w:styleId="notetext">
    <w:name w:val="note_text"/>
    <w:basedOn w:val="Fontepargpadro"/>
    <w:rsid w:val="006A00E2"/>
  </w:style>
  <w:style w:type="character" w:customStyle="1" w:styleId="hps">
    <w:name w:val="hps"/>
    <w:basedOn w:val="Fontepargpadro"/>
    <w:rsid w:val="006A00E2"/>
  </w:style>
  <w:style w:type="character" w:customStyle="1" w:styleId="shorttext">
    <w:name w:val="short_text"/>
    <w:basedOn w:val="Fontepargpadro"/>
    <w:rsid w:val="006A00E2"/>
  </w:style>
  <w:style w:type="paragraph" w:styleId="Textodenotaderodap">
    <w:name w:val="footnote text"/>
    <w:basedOn w:val="Normal"/>
    <w:link w:val="TextodenotaderodapChar"/>
    <w:uiPriority w:val="99"/>
    <w:semiHidden/>
    <w:unhideWhenUsed/>
    <w:rsid w:val="006A00E2"/>
    <w:rPr>
      <w:sz w:val="20"/>
      <w:szCs w:val="20"/>
    </w:rPr>
  </w:style>
  <w:style w:type="character" w:customStyle="1" w:styleId="TextodenotaderodapChar">
    <w:name w:val="Texto de nota de rodapé Char"/>
    <w:basedOn w:val="Fontepargpadro"/>
    <w:link w:val="Textodenotaderodap"/>
    <w:uiPriority w:val="99"/>
    <w:semiHidden/>
    <w:rsid w:val="006A00E2"/>
  </w:style>
  <w:style w:type="paragraph" w:styleId="PargrafodaLista">
    <w:name w:val="List Paragraph"/>
    <w:basedOn w:val="Normal"/>
    <w:uiPriority w:val="34"/>
    <w:qFormat/>
    <w:rsid w:val="0083315B"/>
    <w:pPr>
      <w:spacing w:after="200" w:line="240" w:lineRule="auto"/>
      <w:ind w:left="720"/>
      <w:contextualSpacing/>
    </w:pPr>
    <w:rPr>
      <w:rFonts w:eastAsia="Calibri"/>
      <w:szCs w:val="22"/>
      <w:lang w:eastAsia="en-US"/>
    </w:rPr>
  </w:style>
  <w:style w:type="paragraph" w:customStyle="1" w:styleId="Default">
    <w:name w:val="Default"/>
    <w:rsid w:val="00DD5885"/>
    <w:pPr>
      <w:autoSpaceDE w:val="0"/>
      <w:autoSpaceDN w:val="0"/>
      <w:adjustRightInd w:val="0"/>
    </w:pPr>
    <w:rPr>
      <w:rFonts w:ascii="Arial" w:eastAsia="Calibri" w:hAnsi="Arial" w:cs="Arial"/>
      <w:color w:val="000000"/>
      <w:sz w:val="24"/>
      <w:szCs w:val="24"/>
      <w:lang w:eastAsia="en-US"/>
    </w:rPr>
  </w:style>
  <w:style w:type="table" w:styleId="Tabelacomgrade">
    <w:name w:val="Table Grid"/>
    <w:basedOn w:val="Tabelanormal"/>
    <w:locked/>
    <w:rsid w:val="00F80D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uiPriority w:val="99"/>
    <w:semiHidden/>
    <w:unhideWhenUsed/>
    <w:rsid w:val="00F73A38"/>
    <w:rPr>
      <w:sz w:val="16"/>
      <w:szCs w:val="16"/>
    </w:rPr>
  </w:style>
  <w:style w:type="paragraph" w:styleId="Textodecomentrio">
    <w:name w:val="annotation text"/>
    <w:basedOn w:val="Normal"/>
    <w:link w:val="TextodecomentrioChar"/>
    <w:uiPriority w:val="99"/>
    <w:semiHidden/>
    <w:unhideWhenUsed/>
    <w:rsid w:val="00F73A38"/>
    <w:rPr>
      <w:sz w:val="20"/>
      <w:szCs w:val="20"/>
    </w:rPr>
  </w:style>
  <w:style w:type="character" w:customStyle="1" w:styleId="TextodecomentrioChar">
    <w:name w:val="Texto de comentário Char"/>
    <w:basedOn w:val="Fontepargpadro"/>
    <w:link w:val="Textodecomentrio"/>
    <w:uiPriority w:val="99"/>
    <w:semiHidden/>
    <w:rsid w:val="00F73A38"/>
  </w:style>
  <w:style w:type="paragraph" w:styleId="Assuntodocomentrio">
    <w:name w:val="annotation subject"/>
    <w:basedOn w:val="Textodecomentrio"/>
    <w:next w:val="Textodecomentrio"/>
    <w:link w:val="AssuntodocomentrioChar"/>
    <w:uiPriority w:val="99"/>
    <w:semiHidden/>
    <w:unhideWhenUsed/>
    <w:rsid w:val="00F73A38"/>
    <w:rPr>
      <w:b/>
      <w:bCs/>
    </w:rPr>
  </w:style>
  <w:style w:type="character" w:customStyle="1" w:styleId="AssuntodocomentrioChar">
    <w:name w:val="Assunto do comentário Char"/>
    <w:basedOn w:val="TextodecomentrioChar"/>
    <w:link w:val="Assuntodocomentrio"/>
    <w:uiPriority w:val="99"/>
    <w:semiHidden/>
    <w:rsid w:val="00F73A38"/>
    <w:rPr>
      <w:b/>
      <w:bCs/>
    </w:rPr>
  </w:style>
  <w:style w:type="character" w:styleId="Refdenotaderodap">
    <w:name w:val="footnote reference"/>
    <w:basedOn w:val="Fontepargpadro"/>
    <w:uiPriority w:val="99"/>
    <w:semiHidden/>
    <w:unhideWhenUsed/>
    <w:rsid w:val="00D12011"/>
    <w:rPr>
      <w:vertAlign w:val="superscript"/>
    </w:rPr>
  </w:style>
  <w:style w:type="paragraph" w:styleId="Reviso">
    <w:name w:val="Revision"/>
    <w:hidden/>
    <w:uiPriority w:val="99"/>
    <w:semiHidden/>
    <w:rsid w:val="00AE2288"/>
    <w:rPr>
      <w:sz w:val="24"/>
      <w:szCs w:val="24"/>
    </w:rPr>
  </w:style>
  <w:style w:type="character" w:customStyle="1" w:styleId="Ttulo1Char">
    <w:name w:val="Título 1 Char"/>
    <w:basedOn w:val="Fontepargpadro"/>
    <w:link w:val="Ttulo1"/>
    <w:rsid w:val="00336DD3"/>
    <w:rPr>
      <w:rFonts w:ascii="Arial" w:hAnsi="Arial" w:cs="Arial"/>
      <w:b/>
      <w:sz w:val="24"/>
      <w:szCs w:val="24"/>
    </w:rPr>
  </w:style>
  <w:style w:type="character" w:customStyle="1" w:styleId="Ttulo2Char">
    <w:name w:val="Título 2 Char"/>
    <w:basedOn w:val="Fontepargpadro"/>
    <w:link w:val="Ttulo2"/>
    <w:rsid w:val="00060BC6"/>
    <w:rPr>
      <w:rFonts w:ascii="Arial" w:eastAsia="Calibri" w:hAnsi="Arial" w:cs="Arial"/>
      <w:sz w:val="24"/>
      <w:szCs w:val="24"/>
      <w:lang w:eastAsia="en-US"/>
    </w:rPr>
  </w:style>
  <w:style w:type="character" w:customStyle="1" w:styleId="Ttulo3Char">
    <w:name w:val="Título 3 Char"/>
    <w:basedOn w:val="Fontepargpadro"/>
    <w:link w:val="Ttulo3"/>
    <w:rsid w:val="00F75E2E"/>
    <w:rPr>
      <w:rFonts w:ascii="Arial" w:hAnsi="Arial" w:cs="Arial"/>
      <w:b/>
      <w:sz w:val="24"/>
      <w:szCs w:val="24"/>
    </w:rPr>
  </w:style>
  <w:style w:type="character" w:customStyle="1" w:styleId="Ttulo4Char">
    <w:name w:val="Título 4 Char"/>
    <w:basedOn w:val="Fontepargpadro"/>
    <w:link w:val="Ttulo4"/>
    <w:rsid w:val="00956ED2"/>
    <w:rPr>
      <w:rFonts w:ascii="Arial" w:hAnsi="Arial" w:cs="Arial"/>
      <w:sz w:val="24"/>
      <w:szCs w:val="24"/>
    </w:rPr>
  </w:style>
  <w:style w:type="paragraph" w:styleId="Citao">
    <w:name w:val="Quote"/>
    <w:basedOn w:val="Normal"/>
    <w:next w:val="Normal"/>
    <w:link w:val="CitaoChar"/>
    <w:uiPriority w:val="29"/>
    <w:qFormat/>
    <w:rsid w:val="004A70FB"/>
    <w:pPr>
      <w:spacing w:before="200" w:after="200" w:line="240" w:lineRule="auto"/>
      <w:ind w:left="2268" w:firstLine="0"/>
    </w:pPr>
    <w:rPr>
      <w:iCs/>
      <w:sz w:val="20"/>
    </w:rPr>
  </w:style>
  <w:style w:type="character" w:customStyle="1" w:styleId="CitaoChar">
    <w:name w:val="Citação Char"/>
    <w:basedOn w:val="Fontepargpadro"/>
    <w:link w:val="Citao"/>
    <w:uiPriority w:val="29"/>
    <w:rsid w:val="004A70FB"/>
    <w:rPr>
      <w:rFonts w:ascii="Arial" w:hAnsi="Arial"/>
      <w:iCs/>
      <w:szCs w:val="24"/>
    </w:rPr>
  </w:style>
  <w:style w:type="paragraph" w:styleId="SemEspaamento">
    <w:name w:val="No Spacing"/>
    <w:link w:val="SemEspaamentoChar"/>
    <w:uiPriority w:val="1"/>
    <w:qFormat/>
    <w:rsid w:val="009F32D5"/>
    <w:pPr>
      <w:spacing w:after="120"/>
      <w:jc w:val="both"/>
    </w:pPr>
    <w:rPr>
      <w:rFonts w:ascii="Arial" w:hAnsi="Arial"/>
      <w:sz w:val="24"/>
      <w:szCs w:val="24"/>
    </w:rPr>
  </w:style>
  <w:style w:type="character" w:styleId="MenoPendente">
    <w:name w:val="Unresolved Mention"/>
    <w:basedOn w:val="Fontepargpadro"/>
    <w:uiPriority w:val="99"/>
    <w:semiHidden/>
    <w:unhideWhenUsed/>
    <w:rsid w:val="00874902"/>
    <w:rPr>
      <w:color w:val="605E5C"/>
      <w:shd w:val="clear" w:color="auto" w:fill="E1DFDD"/>
    </w:rPr>
  </w:style>
  <w:style w:type="paragraph" w:styleId="Legenda">
    <w:name w:val="caption"/>
    <w:basedOn w:val="Normal"/>
    <w:next w:val="Normal"/>
    <w:link w:val="LegendaChar"/>
    <w:unhideWhenUsed/>
    <w:qFormat/>
    <w:locked/>
    <w:rsid w:val="00513917"/>
    <w:pPr>
      <w:spacing w:after="200" w:line="240" w:lineRule="auto"/>
    </w:pPr>
    <w:rPr>
      <w:i/>
      <w:iCs/>
      <w:color w:val="1F497D" w:themeColor="text2"/>
      <w:sz w:val="18"/>
      <w:szCs w:val="18"/>
    </w:rPr>
  </w:style>
  <w:style w:type="paragraph" w:customStyle="1" w:styleId="FIGURA">
    <w:name w:val="FIGURA"/>
    <w:basedOn w:val="Legenda"/>
    <w:link w:val="FIGURAChar"/>
    <w:qFormat/>
    <w:rsid w:val="009A7C15"/>
    <w:pPr>
      <w:keepNext/>
      <w:spacing w:after="240"/>
      <w:ind w:firstLine="0"/>
      <w:contextualSpacing/>
      <w:jc w:val="center"/>
    </w:pPr>
    <w:rPr>
      <w:i w:val="0"/>
      <w:iCs w:val="0"/>
      <w:color w:val="auto"/>
      <w:sz w:val="20"/>
      <w:szCs w:val="20"/>
    </w:rPr>
  </w:style>
  <w:style w:type="character" w:customStyle="1" w:styleId="LegendaChar">
    <w:name w:val="Legenda Char"/>
    <w:basedOn w:val="Fontepargpadro"/>
    <w:link w:val="Legenda"/>
    <w:rsid w:val="009A7C15"/>
    <w:rPr>
      <w:rFonts w:ascii="Arial" w:hAnsi="Arial"/>
      <w:i/>
      <w:iCs/>
      <w:color w:val="1F497D" w:themeColor="text2"/>
      <w:sz w:val="18"/>
      <w:szCs w:val="18"/>
    </w:rPr>
  </w:style>
  <w:style w:type="character" w:customStyle="1" w:styleId="FIGURAChar">
    <w:name w:val="FIGURA Char"/>
    <w:basedOn w:val="LegendaChar"/>
    <w:link w:val="FIGURA"/>
    <w:rsid w:val="009A7C15"/>
    <w:rPr>
      <w:rFonts w:ascii="Arial" w:hAnsi="Arial"/>
      <w:i w:val="0"/>
      <w:iCs w:val="0"/>
      <w:color w:val="1F497D" w:themeColor="text2"/>
      <w:sz w:val="18"/>
      <w:szCs w:val="18"/>
    </w:rPr>
  </w:style>
  <w:style w:type="paragraph" w:customStyle="1" w:styleId="REFERNCIAS">
    <w:name w:val="REFERÊNCIAS"/>
    <w:basedOn w:val="SemEspaamento"/>
    <w:link w:val="REFERNCIASChar"/>
    <w:qFormat/>
    <w:rsid w:val="00320E36"/>
    <w:pPr>
      <w:spacing w:after="240"/>
    </w:pPr>
  </w:style>
  <w:style w:type="character" w:customStyle="1" w:styleId="SemEspaamentoChar">
    <w:name w:val="Sem Espaçamento Char"/>
    <w:basedOn w:val="Fontepargpadro"/>
    <w:link w:val="SemEspaamento"/>
    <w:uiPriority w:val="1"/>
    <w:rsid w:val="00320E36"/>
    <w:rPr>
      <w:rFonts w:ascii="Arial" w:hAnsi="Arial"/>
      <w:sz w:val="24"/>
      <w:szCs w:val="24"/>
    </w:rPr>
  </w:style>
  <w:style w:type="character" w:customStyle="1" w:styleId="REFERNCIASChar">
    <w:name w:val="REFERÊNCIAS Char"/>
    <w:basedOn w:val="SemEspaamentoChar"/>
    <w:link w:val="REFERNCIAS"/>
    <w:rsid w:val="00320E36"/>
    <w:rPr>
      <w:rFonts w:ascii="Arial" w:hAnsi="Arial"/>
      <w:sz w:val="24"/>
      <w:szCs w:val="24"/>
    </w:rPr>
  </w:style>
  <w:style w:type="paragraph" w:customStyle="1" w:styleId="Figura0">
    <w:name w:val="Figura"/>
    <w:basedOn w:val="Normal"/>
    <w:link w:val="FiguraChar0"/>
    <w:rsid w:val="007E1742"/>
    <w:pPr>
      <w:spacing w:after="160" w:line="240" w:lineRule="auto"/>
      <w:ind w:firstLine="0"/>
      <w:contextualSpacing/>
      <w:jc w:val="center"/>
    </w:pPr>
    <w:rPr>
      <w:rFonts w:ascii="Times New Roman" w:eastAsia="Calibri" w:hAnsi="Times New Roman"/>
      <w:bCs/>
      <w:color w:val="000000"/>
      <w:kern w:val="2"/>
      <w:sz w:val="22"/>
      <w:szCs w:val="22"/>
      <w:lang w:eastAsia="en-US"/>
    </w:rPr>
  </w:style>
  <w:style w:type="character" w:customStyle="1" w:styleId="FiguraChar0">
    <w:name w:val="Figura Char"/>
    <w:link w:val="Figura0"/>
    <w:rsid w:val="007E1742"/>
    <w:rPr>
      <w:rFonts w:eastAsia="Calibri"/>
      <w:bCs/>
      <w:color w:val="000000"/>
      <w:kern w:val="2"/>
      <w:sz w:val="22"/>
      <w:szCs w:val="22"/>
      <w:lang w:eastAsia="en-US"/>
    </w:rPr>
  </w:style>
  <w:style w:type="paragraph" w:styleId="Corpodetexto">
    <w:name w:val="Body Text"/>
    <w:basedOn w:val="Normal"/>
    <w:link w:val="CorpodetextoChar"/>
    <w:uiPriority w:val="1"/>
    <w:qFormat/>
    <w:rsid w:val="002533AE"/>
    <w:pPr>
      <w:widowControl w:val="0"/>
      <w:autoSpaceDE w:val="0"/>
      <w:autoSpaceDN w:val="0"/>
      <w:spacing w:after="120"/>
      <w:ind w:firstLine="709"/>
    </w:pPr>
    <w:rPr>
      <w:rFonts w:ascii="Times New Roman" w:eastAsiaTheme="minorHAnsi" w:hAnsi="Times New Roman"/>
      <w:lang w:eastAsia="en-US"/>
    </w:rPr>
  </w:style>
  <w:style w:type="character" w:customStyle="1" w:styleId="CorpodetextoChar">
    <w:name w:val="Corpo de texto Char"/>
    <w:basedOn w:val="Fontepargpadro"/>
    <w:link w:val="Corpodetexto"/>
    <w:uiPriority w:val="1"/>
    <w:rsid w:val="002533AE"/>
    <w:rPr>
      <w:rFonts w:eastAsiaTheme="minorHAns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666558">
      <w:bodyDiv w:val="1"/>
      <w:marLeft w:val="0"/>
      <w:marRight w:val="0"/>
      <w:marTop w:val="0"/>
      <w:marBottom w:val="0"/>
      <w:divBdr>
        <w:top w:val="none" w:sz="0" w:space="0" w:color="auto"/>
        <w:left w:val="none" w:sz="0" w:space="0" w:color="auto"/>
        <w:bottom w:val="none" w:sz="0" w:space="0" w:color="auto"/>
        <w:right w:val="none" w:sz="0" w:space="0" w:color="auto"/>
      </w:divBdr>
    </w:div>
    <w:div w:id="168060643">
      <w:bodyDiv w:val="1"/>
      <w:marLeft w:val="0"/>
      <w:marRight w:val="0"/>
      <w:marTop w:val="0"/>
      <w:marBottom w:val="0"/>
      <w:divBdr>
        <w:top w:val="none" w:sz="0" w:space="0" w:color="auto"/>
        <w:left w:val="none" w:sz="0" w:space="0" w:color="auto"/>
        <w:bottom w:val="none" w:sz="0" w:space="0" w:color="auto"/>
        <w:right w:val="none" w:sz="0" w:space="0" w:color="auto"/>
      </w:divBdr>
    </w:div>
    <w:div w:id="221212274">
      <w:bodyDiv w:val="1"/>
      <w:marLeft w:val="0"/>
      <w:marRight w:val="0"/>
      <w:marTop w:val="0"/>
      <w:marBottom w:val="0"/>
      <w:divBdr>
        <w:top w:val="none" w:sz="0" w:space="0" w:color="auto"/>
        <w:left w:val="none" w:sz="0" w:space="0" w:color="auto"/>
        <w:bottom w:val="none" w:sz="0" w:space="0" w:color="auto"/>
        <w:right w:val="none" w:sz="0" w:space="0" w:color="auto"/>
      </w:divBdr>
    </w:div>
    <w:div w:id="511604861">
      <w:bodyDiv w:val="1"/>
      <w:marLeft w:val="0"/>
      <w:marRight w:val="0"/>
      <w:marTop w:val="0"/>
      <w:marBottom w:val="0"/>
      <w:divBdr>
        <w:top w:val="none" w:sz="0" w:space="0" w:color="auto"/>
        <w:left w:val="none" w:sz="0" w:space="0" w:color="auto"/>
        <w:bottom w:val="none" w:sz="0" w:space="0" w:color="auto"/>
        <w:right w:val="none" w:sz="0" w:space="0" w:color="auto"/>
      </w:divBdr>
    </w:div>
    <w:div w:id="663974716">
      <w:bodyDiv w:val="1"/>
      <w:marLeft w:val="0"/>
      <w:marRight w:val="0"/>
      <w:marTop w:val="0"/>
      <w:marBottom w:val="0"/>
      <w:divBdr>
        <w:top w:val="none" w:sz="0" w:space="0" w:color="auto"/>
        <w:left w:val="none" w:sz="0" w:space="0" w:color="auto"/>
        <w:bottom w:val="none" w:sz="0" w:space="0" w:color="auto"/>
        <w:right w:val="none" w:sz="0" w:space="0" w:color="auto"/>
      </w:divBdr>
    </w:div>
    <w:div w:id="705834064">
      <w:bodyDiv w:val="1"/>
      <w:marLeft w:val="0"/>
      <w:marRight w:val="0"/>
      <w:marTop w:val="0"/>
      <w:marBottom w:val="0"/>
      <w:divBdr>
        <w:top w:val="none" w:sz="0" w:space="0" w:color="auto"/>
        <w:left w:val="none" w:sz="0" w:space="0" w:color="auto"/>
        <w:bottom w:val="none" w:sz="0" w:space="0" w:color="auto"/>
        <w:right w:val="none" w:sz="0" w:space="0" w:color="auto"/>
      </w:divBdr>
    </w:div>
    <w:div w:id="1005589798">
      <w:bodyDiv w:val="1"/>
      <w:marLeft w:val="0"/>
      <w:marRight w:val="0"/>
      <w:marTop w:val="0"/>
      <w:marBottom w:val="0"/>
      <w:divBdr>
        <w:top w:val="none" w:sz="0" w:space="0" w:color="auto"/>
        <w:left w:val="none" w:sz="0" w:space="0" w:color="auto"/>
        <w:bottom w:val="none" w:sz="0" w:space="0" w:color="auto"/>
        <w:right w:val="none" w:sz="0" w:space="0" w:color="auto"/>
      </w:divBdr>
    </w:div>
    <w:div w:id="1028406616">
      <w:bodyDiv w:val="1"/>
      <w:marLeft w:val="0"/>
      <w:marRight w:val="0"/>
      <w:marTop w:val="0"/>
      <w:marBottom w:val="0"/>
      <w:divBdr>
        <w:top w:val="none" w:sz="0" w:space="0" w:color="auto"/>
        <w:left w:val="none" w:sz="0" w:space="0" w:color="auto"/>
        <w:bottom w:val="none" w:sz="0" w:space="0" w:color="auto"/>
        <w:right w:val="none" w:sz="0" w:space="0" w:color="auto"/>
      </w:divBdr>
    </w:div>
    <w:div w:id="1125537868">
      <w:bodyDiv w:val="1"/>
      <w:marLeft w:val="0"/>
      <w:marRight w:val="0"/>
      <w:marTop w:val="0"/>
      <w:marBottom w:val="0"/>
      <w:divBdr>
        <w:top w:val="none" w:sz="0" w:space="0" w:color="auto"/>
        <w:left w:val="none" w:sz="0" w:space="0" w:color="auto"/>
        <w:bottom w:val="none" w:sz="0" w:space="0" w:color="auto"/>
        <w:right w:val="none" w:sz="0" w:space="0" w:color="auto"/>
      </w:divBdr>
    </w:div>
    <w:div w:id="1531525674">
      <w:bodyDiv w:val="1"/>
      <w:marLeft w:val="0"/>
      <w:marRight w:val="0"/>
      <w:marTop w:val="0"/>
      <w:marBottom w:val="0"/>
      <w:divBdr>
        <w:top w:val="none" w:sz="0" w:space="0" w:color="auto"/>
        <w:left w:val="none" w:sz="0" w:space="0" w:color="auto"/>
        <w:bottom w:val="none" w:sz="0" w:space="0" w:color="auto"/>
        <w:right w:val="none" w:sz="0" w:space="0" w:color="auto"/>
      </w:divBdr>
    </w:div>
    <w:div w:id="1575512692">
      <w:bodyDiv w:val="1"/>
      <w:marLeft w:val="0"/>
      <w:marRight w:val="0"/>
      <w:marTop w:val="0"/>
      <w:marBottom w:val="0"/>
      <w:divBdr>
        <w:top w:val="none" w:sz="0" w:space="0" w:color="auto"/>
        <w:left w:val="none" w:sz="0" w:space="0" w:color="auto"/>
        <w:bottom w:val="none" w:sz="0" w:space="0" w:color="auto"/>
        <w:right w:val="none" w:sz="0" w:space="0" w:color="auto"/>
      </w:divBdr>
    </w:div>
    <w:div w:id="1589197807">
      <w:bodyDiv w:val="1"/>
      <w:marLeft w:val="0"/>
      <w:marRight w:val="0"/>
      <w:marTop w:val="0"/>
      <w:marBottom w:val="0"/>
      <w:divBdr>
        <w:top w:val="none" w:sz="0" w:space="0" w:color="auto"/>
        <w:left w:val="none" w:sz="0" w:space="0" w:color="auto"/>
        <w:bottom w:val="none" w:sz="0" w:space="0" w:color="auto"/>
        <w:right w:val="none" w:sz="0" w:space="0" w:color="auto"/>
      </w:divBdr>
    </w:div>
    <w:div w:id="1620332413">
      <w:bodyDiv w:val="1"/>
      <w:marLeft w:val="0"/>
      <w:marRight w:val="0"/>
      <w:marTop w:val="0"/>
      <w:marBottom w:val="0"/>
      <w:divBdr>
        <w:top w:val="none" w:sz="0" w:space="0" w:color="auto"/>
        <w:left w:val="none" w:sz="0" w:space="0" w:color="auto"/>
        <w:bottom w:val="none" w:sz="0" w:space="0" w:color="auto"/>
        <w:right w:val="none" w:sz="0" w:space="0" w:color="auto"/>
      </w:divBdr>
    </w:div>
    <w:div w:id="1664818482">
      <w:bodyDiv w:val="1"/>
      <w:marLeft w:val="0"/>
      <w:marRight w:val="0"/>
      <w:marTop w:val="0"/>
      <w:marBottom w:val="0"/>
      <w:divBdr>
        <w:top w:val="none" w:sz="0" w:space="0" w:color="auto"/>
        <w:left w:val="none" w:sz="0" w:space="0" w:color="auto"/>
        <w:bottom w:val="none" w:sz="0" w:space="0" w:color="auto"/>
        <w:right w:val="none" w:sz="0" w:space="0" w:color="auto"/>
      </w:divBdr>
    </w:div>
    <w:div w:id="1703943789">
      <w:bodyDiv w:val="1"/>
      <w:marLeft w:val="0"/>
      <w:marRight w:val="0"/>
      <w:marTop w:val="0"/>
      <w:marBottom w:val="0"/>
      <w:divBdr>
        <w:top w:val="none" w:sz="0" w:space="0" w:color="auto"/>
        <w:left w:val="none" w:sz="0" w:space="0" w:color="auto"/>
        <w:bottom w:val="none" w:sz="0" w:space="0" w:color="auto"/>
        <w:right w:val="none" w:sz="0" w:space="0" w:color="auto"/>
      </w:divBdr>
    </w:div>
    <w:div w:id="1724324705">
      <w:bodyDiv w:val="1"/>
      <w:marLeft w:val="0"/>
      <w:marRight w:val="0"/>
      <w:marTop w:val="0"/>
      <w:marBottom w:val="0"/>
      <w:divBdr>
        <w:top w:val="none" w:sz="0" w:space="0" w:color="auto"/>
        <w:left w:val="none" w:sz="0" w:space="0" w:color="auto"/>
        <w:bottom w:val="none" w:sz="0" w:space="0" w:color="auto"/>
        <w:right w:val="none" w:sz="0" w:space="0" w:color="auto"/>
      </w:divBdr>
    </w:div>
    <w:div w:id="1742484542">
      <w:bodyDiv w:val="1"/>
      <w:marLeft w:val="0"/>
      <w:marRight w:val="0"/>
      <w:marTop w:val="0"/>
      <w:marBottom w:val="0"/>
      <w:divBdr>
        <w:top w:val="none" w:sz="0" w:space="0" w:color="auto"/>
        <w:left w:val="none" w:sz="0" w:space="0" w:color="auto"/>
        <w:bottom w:val="none" w:sz="0" w:space="0" w:color="auto"/>
        <w:right w:val="none" w:sz="0" w:space="0" w:color="auto"/>
      </w:divBdr>
    </w:div>
    <w:div w:id="1797675539">
      <w:marLeft w:val="0"/>
      <w:marRight w:val="0"/>
      <w:marTop w:val="0"/>
      <w:marBottom w:val="0"/>
      <w:divBdr>
        <w:top w:val="none" w:sz="0" w:space="0" w:color="auto"/>
        <w:left w:val="none" w:sz="0" w:space="0" w:color="auto"/>
        <w:bottom w:val="none" w:sz="0" w:space="0" w:color="auto"/>
        <w:right w:val="none" w:sz="0" w:space="0" w:color="auto"/>
      </w:divBdr>
    </w:div>
    <w:div w:id="2062826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enf.br/posgraduacao/sociologia-politica/wp-content/uploads/sites/9/2013/03/Tese-Ana-Paula-Serpa-Nogueira-de-Arruda.pdf" TargetMode="External"/><Relationship Id="rId18" Type="http://schemas.openxmlformats.org/officeDocument/2006/relationships/hyperlink" Target="https://campos.rj.gov.br/plano-diretor.php" TargetMode="External"/><Relationship Id="rId26" Type="http://schemas.openxmlformats.org/officeDocument/2006/relationships/hyperlink" Target="https://j3news.com/2025/01/17/prefeitura-diz-que-renovacao-da-frota-do-transporte-publico-de-campos-esta-em-risco/" TargetMode="External"/><Relationship Id="rId21" Type="http://schemas.openxmlformats.org/officeDocument/2006/relationships/hyperlink" Target="https://www.campos.rj.gov.br/exibirNoticia.php?id_noticia=90735"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uenf.br/posgraduacao/politicas-sociais/wp-content/uploads/sites/11/2015/06/ANA-PAULA-SERPA-NOGUEIRA-DE-ARRUDA.compressed.pdf" TargetMode="External"/><Relationship Id="rId17" Type="http://schemas.openxmlformats.org/officeDocument/2006/relationships/hyperlink" Target="https://www.campos.rj.gov.br/exibirNoticia.php?id_noticia=20397" TargetMode="External"/><Relationship Id="rId25" Type="http://schemas.openxmlformats.org/officeDocument/2006/relationships/hyperlink" Target="https://royaltiesdopetroleo.ucam-campos.br/wp-content/uploads/2018/08/Ucam-Boletim-Artigo-4.pdf"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2.senado.leg.br/bdsf/bitstream/handle/id/518231/CF88_Livro_EC91_2016.pdf" TargetMode="External"/><Relationship Id="rId20" Type="http://schemas.openxmlformats.org/officeDocument/2006/relationships/hyperlink" Target="https://www.preventionweb.net/applications/hfa/lgsat/en/image/href/6114" TargetMode="External"/><Relationship Id="rId29" Type="http://schemas.openxmlformats.org/officeDocument/2006/relationships/hyperlink" Target="https://brasil.un.org/pt-br/sdgs/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revistes.ub.edu/index.php/ScriptaNova/article/view/942" TargetMode="External"/><Relationship Id="rId32" Type="http://schemas.openxmlformats.org/officeDocument/2006/relationships/hyperlink" Target="https://uenf.br/posgraduacao/politicas-sociais/wp-content/uploads/sites/11/2015/06/RAQUEL-CALLEGARIO-ZACCHI.compressed.pdf"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revistaarqurb.com.br/arqurb/article/view/81" TargetMode="External"/><Relationship Id="rId23" Type="http://schemas.openxmlformats.org/officeDocument/2006/relationships/hyperlink" Target="https://uenf.br/posgraduacao/sociologia-politica/wp-content/uploads/sites/9/2013/03/DISSERTA%c3%87%c3%83O-POLLYANA-LOPES-DUTRA-SOCIOLOGIA-POL%c3%8dTICA-PPGSP-CCH-UENF.pdf" TargetMode="External"/><Relationship Id="rId28" Type="http://schemas.openxmlformats.org/officeDocument/2006/relationships/hyperlink" Target="http://bd.centro.iff.edu.br/jspui/handle/123456789/3230" TargetMode="External"/><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fazenda.campos.rj.gov.br/wp-content/uploads/2022/03/Lei-Complementar-16-2020-de-Campos-dos-Goytacazes-RJ.pdf" TargetMode="External"/><Relationship Id="rId31" Type="http://schemas.openxmlformats.org/officeDocument/2006/relationships/hyperlink" Target="https://editoraessentia.iff.edu.br/index.php/livros/issue/view/14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nalisesocial.ics.ul.pt/documentos/1223377539C9uKS3pp5Cc74XT8.pdf" TargetMode="External"/><Relationship Id="rId22" Type="http://schemas.openxmlformats.org/officeDocument/2006/relationships/hyperlink" Target="https://www.campos.rj.gov.br/exibirNoticia.php?id_noticia=18647" TargetMode="External"/><Relationship Id="rId27" Type="http://schemas.openxmlformats.org/officeDocument/2006/relationships/hyperlink" Target="http://labhab.fau.usp.br/biblioteca/textos/maricato_politicaurbanafhc.pdf" TargetMode="External"/><Relationship Id="rId30" Type="http://schemas.openxmlformats.org/officeDocument/2006/relationships/hyperlink" Target="https://diplomatique.org.br/as-estrategias-discursivas-do-planejamento-neolibera/"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968AB2-C8F2-43A5-876B-395F27AAC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15</Pages>
  <Words>4717</Words>
  <Characters>28775</Characters>
  <Application>Microsoft Office Word</Application>
  <DocSecurity>0</DocSecurity>
  <Lines>587</Lines>
  <Paragraphs>209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Ofício 01/11- Hotel Rifoles                                                         Natal, 10 de maio de 2011</vt:lpstr>
    </vt:vector>
  </TitlesOfParts>
  <Company>Hewlett-Packard</Company>
  <LinksUpToDate>false</LinksUpToDate>
  <CharactersWithSpaces>33283</CharactersWithSpaces>
  <SharedDoc>false</SharedDoc>
  <HLinks>
    <vt:vector size="24" baseType="variant">
      <vt:variant>
        <vt:i4>2359340</vt:i4>
      </vt:variant>
      <vt:variant>
        <vt:i4>9</vt:i4>
      </vt:variant>
      <vt:variant>
        <vt:i4>0</vt:i4>
      </vt:variant>
      <vt:variant>
        <vt:i4>5</vt:i4>
      </vt:variant>
      <vt:variant>
        <vt:lpwstr>http://www.abnt.org.br/</vt:lpwstr>
      </vt:variant>
      <vt:variant>
        <vt:lpwstr/>
      </vt:variant>
      <vt:variant>
        <vt:i4>2490484</vt:i4>
      </vt:variant>
      <vt:variant>
        <vt:i4>6</vt:i4>
      </vt:variant>
      <vt:variant>
        <vt:i4>0</vt:i4>
      </vt:variant>
      <vt:variant>
        <vt:i4>5</vt:i4>
      </vt:variant>
      <vt:variant>
        <vt:lpwstr>http://loja.ibge.gov.br/informacoes-gerais/normas/normas-de-apresentac-o-tabular-3-edic-o.html</vt:lpwstr>
      </vt:variant>
      <vt:variant>
        <vt:lpwstr/>
      </vt:variant>
      <vt:variant>
        <vt:i4>1179649</vt:i4>
      </vt:variant>
      <vt:variant>
        <vt:i4>3</vt:i4>
      </vt:variant>
      <vt:variant>
        <vt:i4>0</vt:i4>
      </vt:variant>
      <vt:variant>
        <vt:i4>5</vt:i4>
      </vt:variant>
      <vt:variant>
        <vt:lpwstr>http://www.ibge.gov.br/home/</vt:lpwstr>
      </vt:variant>
      <vt:variant>
        <vt:lpwstr/>
      </vt:variant>
      <vt:variant>
        <vt:i4>2490484</vt:i4>
      </vt:variant>
      <vt:variant>
        <vt:i4>0</vt:i4>
      </vt:variant>
      <vt:variant>
        <vt:i4>0</vt:i4>
      </vt:variant>
      <vt:variant>
        <vt:i4>5</vt:i4>
      </vt:variant>
      <vt:variant>
        <vt:lpwstr>http://loja.ibge.gov.br/informacoes-gerais/normas/normas-de-apresentac-o-tabular-3-edic-o.html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c:creator>
  <cp:lastModifiedBy>Karina Monteiro Melo</cp:lastModifiedBy>
  <cp:revision>103</cp:revision>
  <cp:lastPrinted>2025-10-19T17:01:00Z</cp:lastPrinted>
  <dcterms:created xsi:type="dcterms:W3CDTF">2025-10-19T17:30:00Z</dcterms:created>
  <dcterms:modified xsi:type="dcterms:W3CDTF">2025-10-21T20:12:00Z</dcterms:modified>
</cp:coreProperties>
</file>