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line="360" w:lineRule="auto"/>
        <w:ind w:left="357" w:firstLine="0"/>
        <w:rPr>
          <w:rFonts w:ascii="Arial" w:cs="Arial" w:eastAsia="Arial" w:hAnsi="Arial"/>
          <w:color w:val="212529"/>
          <w:sz w:val="18"/>
          <w:szCs w:val="18"/>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0" w:right="0" w:firstLine="0"/>
        <w:jc w:val="left"/>
        <w:rPr>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0" w:right="0" w:firstLine="0"/>
        <w:jc w:val="center"/>
        <w:rPr>
          <w:b w:val="1"/>
          <w:i w:val="0"/>
          <w:smallCaps w:val="0"/>
          <w:strike w:val="0"/>
          <w:sz w:val="16"/>
          <w:szCs w:val="16"/>
          <w:u w:val="none"/>
          <w:shd w:fill="auto" w:val="clear"/>
          <w:vertAlign w:val="baseline"/>
        </w:rPr>
      </w:pPr>
      <w:bookmarkStart w:colFirst="0" w:colLast="0" w:name="_okcfnoqwb8dq" w:id="0"/>
      <w:bookmarkEnd w:id="0"/>
      <w:r w:rsidDel="00000000" w:rsidR="00000000" w:rsidRPr="00000000">
        <w:rPr>
          <w:b w:val="1"/>
          <w:i w:val="0"/>
          <w:smallCaps w:val="0"/>
          <w:strike w:val="0"/>
          <w:sz w:val="24"/>
          <w:szCs w:val="24"/>
          <w:u w:val="none"/>
          <w:shd w:fill="auto" w:val="clear"/>
          <w:vertAlign w:val="baseline"/>
          <w:rtl w:val="0"/>
        </w:rPr>
        <w:t xml:space="preserve">Eixo Temático: </w:t>
      </w:r>
      <w:r w:rsidDel="00000000" w:rsidR="00000000" w:rsidRPr="00000000">
        <w:rPr>
          <w:b w:val="1"/>
          <w:sz w:val="21"/>
          <w:szCs w:val="21"/>
          <w:shd w:fill="fafafa" w:val="clear"/>
          <w:rtl w:val="0"/>
        </w:rPr>
        <w:t xml:space="preserve"> GT3  – Planejamento urbano, direito à cidade e inclusão social</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0" w:right="0" w:firstLine="0"/>
        <w:jc w:val="center"/>
        <w:rPr>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tabs>
          <w:tab w:val="left" w:leader="none" w:pos="567"/>
        </w:tabs>
        <w:spacing w:line="360" w:lineRule="auto"/>
        <w:jc w:val="center"/>
        <w:rPr>
          <w:b w:val="1"/>
          <w:sz w:val="28"/>
          <w:szCs w:val="28"/>
        </w:rPr>
      </w:pPr>
      <w:r w:rsidDel="00000000" w:rsidR="00000000" w:rsidRPr="00000000">
        <w:rPr>
          <w:b w:val="1"/>
          <w:color w:val="0f1115"/>
          <w:sz w:val="28"/>
          <w:szCs w:val="28"/>
          <w:shd w:fill="edf3fe" w:val="clear"/>
          <w:rtl w:val="0"/>
        </w:rPr>
        <w:t xml:space="preserve">Habilitar, Constringir, Refratar: Uma Análise Institucional da Verticalização Financeirizada em Campos dos Goytacazes nos bairros Pq. Av. Pelinca e Pq. Tamandaré</w:t>
      </w:r>
      <w:r w:rsidDel="00000000" w:rsidR="00000000" w:rsidRPr="00000000">
        <w:rPr>
          <w:rtl w:val="0"/>
        </w:rPr>
      </w:r>
    </w:p>
    <w:p w:rsidR="00000000" w:rsidDel="00000000" w:rsidP="00000000" w:rsidRDefault="00000000" w:rsidRPr="00000000" w14:paraId="00000006">
      <w:pPr>
        <w:tabs>
          <w:tab w:val="left" w:leader="none" w:pos="567"/>
        </w:tabs>
        <w:spacing w:line="360" w:lineRule="auto"/>
        <w:jc w:val="center"/>
        <w:rPr>
          <w:i w:val="1"/>
        </w:rPr>
      </w:pPr>
      <w:r w:rsidDel="00000000" w:rsidR="00000000" w:rsidRPr="00000000">
        <w:rPr>
          <w:rtl w:val="0"/>
        </w:rPr>
      </w:r>
    </w:p>
    <w:p w:rsidR="00000000" w:rsidDel="00000000" w:rsidP="00000000" w:rsidRDefault="00000000" w:rsidRPr="00000000" w14:paraId="00000007">
      <w:pPr>
        <w:tabs>
          <w:tab w:val="left" w:leader="none" w:pos="567"/>
        </w:tabs>
        <w:rPr>
          <w:i w:val="1"/>
        </w:rPr>
      </w:pPr>
      <w:bookmarkStart w:colFirst="0" w:colLast="0" w:name="_rpw5rwqrngyd" w:id="1"/>
      <w:bookmarkEnd w:id="1"/>
      <w:r w:rsidDel="00000000" w:rsidR="00000000" w:rsidRPr="00000000">
        <w:rPr>
          <w:i w:val="1"/>
          <w:color w:val="0f1115"/>
          <w:highlight w:val="white"/>
          <w:rtl w:val="0"/>
        </w:rPr>
        <w:t xml:space="preserve">Enabling, Constraining, Refracting: An Institutional Analysis of Financialized Verticalization in the Pq. Av. Pelinca and Pq. Tamandaré Neighborhoods of Campos dos Goytacazes</w:t>
      </w:r>
      <w:r w:rsidDel="00000000" w:rsidR="00000000" w:rsidRPr="00000000">
        <w:rPr>
          <w:rtl w:val="0"/>
        </w:rPr>
      </w:r>
    </w:p>
    <w:p w:rsidR="00000000" w:rsidDel="00000000" w:rsidP="00000000" w:rsidRDefault="00000000" w:rsidRPr="00000000" w14:paraId="00000008">
      <w:pPr>
        <w:tabs>
          <w:tab w:val="left" w:leader="none" w:pos="567"/>
        </w:tabs>
        <w:spacing w:line="360" w:lineRule="auto"/>
        <w:jc w:val="center"/>
        <w:rPr>
          <w:i w:val="1"/>
          <w:sz w:val="22"/>
          <w:szCs w:val="22"/>
        </w:rPr>
      </w:pPr>
      <w:r w:rsidDel="00000000" w:rsidR="00000000" w:rsidRPr="00000000">
        <w:rPr>
          <w:rtl w:val="0"/>
        </w:rPr>
      </w:r>
    </w:p>
    <w:p w:rsidR="00000000" w:rsidDel="00000000" w:rsidP="00000000" w:rsidRDefault="00000000" w:rsidRPr="00000000" w14:paraId="00000009">
      <w:pPr>
        <w:tabs>
          <w:tab w:val="left" w:leader="none" w:pos="567"/>
        </w:tabs>
        <w:spacing w:line="360" w:lineRule="auto"/>
        <w:ind w:left="-397" w:firstLine="0"/>
        <w:jc w:val="center"/>
        <w:rPr>
          <w:i w:val="1"/>
          <w:sz w:val="20"/>
          <w:szCs w:val="20"/>
        </w:rPr>
      </w:pPr>
      <w:r w:rsidDel="00000000" w:rsidR="00000000" w:rsidRPr="00000000">
        <w:rPr>
          <w:rtl w:val="0"/>
        </w:rPr>
      </w:r>
    </w:p>
    <w:p w:rsidR="00000000" w:rsidDel="00000000" w:rsidP="00000000" w:rsidRDefault="00000000" w:rsidRPr="00000000" w14:paraId="0000000A">
      <w:pPr>
        <w:widowControl w:val="0"/>
        <w:shd w:fill="ffffff" w:val="clear"/>
        <w:tabs>
          <w:tab w:val="left" w:leader="none" w:pos="709"/>
          <w:tab w:val="left" w:leader="none" w:pos="3119"/>
          <w:tab w:val="left" w:leader="none" w:pos="5812"/>
        </w:tabs>
        <w:spacing w:line="276" w:lineRule="auto"/>
        <w:jc w:val="right"/>
        <w:rPr>
          <w:sz w:val="18"/>
          <w:szCs w:val="18"/>
        </w:rPr>
      </w:pPr>
      <w:r w:rsidDel="00000000" w:rsidR="00000000" w:rsidRPr="00000000">
        <w:rPr>
          <w:sz w:val="18"/>
          <w:szCs w:val="18"/>
          <w:rtl w:val="0"/>
        </w:rPr>
        <w:t xml:space="preserve">Pablo Rangel Domingos</w:t>
      </w:r>
      <w:r w:rsidDel="00000000" w:rsidR="00000000" w:rsidRPr="00000000">
        <w:rPr>
          <w:sz w:val="18"/>
          <w:szCs w:val="18"/>
          <w:vertAlign w:val="superscript"/>
        </w:rPr>
        <w:footnoteReference w:customMarkFollows="0" w:id="0"/>
      </w:r>
      <w:r w:rsidDel="00000000" w:rsidR="00000000" w:rsidRPr="00000000">
        <w:rPr>
          <w:rtl w:val="0"/>
        </w:rPr>
      </w:r>
    </w:p>
    <w:p w:rsidR="00000000" w:rsidDel="00000000" w:rsidP="00000000" w:rsidRDefault="00000000" w:rsidRPr="00000000" w14:paraId="0000000B">
      <w:pPr>
        <w:widowControl w:val="0"/>
        <w:shd w:fill="ffffff" w:val="clear"/>
        <w:tabs>
          <w:tab w:val="left" w:leader="none" w:pos="709"/>
          <w:tab w:val="left" w:leader="none" w:pos="3119"/>
          <w:tab w:val="left" w:leader="none" w:pos="5812"/>
        </w:tabs>
        <w:spacing w:line="276" w:lineRule="auto"/>
        <w:jc w:val="right"/>
        <w:rPr>
          <w:sz w:val="18"/>
          <w:szCs w:val="18"/>
        </w:rPr>
      </w:pPr>
      <w:r w:rsidDel="00000000" w:rsidR="00000000" w:rsidRPr="00000000">
        <w:rPr>
          <w:sz w:val="18"/>
          <w:szCs w:val="18"/>
          <w:rtl w:val="0"/>
        </w:rPr>
        <w:t xml:space="preserve">Leandro Bruno dos Santos</w:t>
      </w:r>
      <w:r w:rsidDel="00000000" w:rsidR="00000000" w:rsidRPr="00000000">
        <w:rPr>
          <w:sz w:val="18"/>
          <w:szCs w:val="18"/>
          <w:vertAlign w:val="superscript"/>
        </w:rPr>
        <w:footnoteReference w:customMarkFollows="0" w:id="1"/>
      </w:r>
      <w:r w:rsidDel="00000000" w:rsidR="00000000" w:rsidRPr="00000000">
        <w:rPr>
          <w:rtl w:val="0"/>
        </w:rPr>
      </w:r>
    </w:p>
    <w:p w:rsidR="00000000" w:rsidDel="00000000" w:rsidP="00000000" w:rsidRDefault="00000000" w:rsidRPr="00000000" w14:paraId="0000000C">
      <w:pPr>
        <w:widowControl w:val="0"/>
        <w:shd w:fill="ffffff" w:val="clear"/>
        <w:tabs>
          <w:tab w:val="left" w:leader="none" w:pos="709"/>
          <w:tab w:val="left" w:leader="none" w:pos="3119"/>
          <w:tab w:val="left" w:leader="none" w:pos="5812"/>
        </w:tabs>
        <w:spacing w:line="276" w:lineRule="auto"/>
        <w:jc w:val="right"/>
        <w:rPr>
          <w:sz w:val="18"/>
          <w:szCs w:val="18"/>
        </w:rPr>
      </w:pPr>
      <w:r w:rsidDel="00000000" w:rsidR="00000000" w:rsidRPr="00000000">
        <w:rPr>
          <w:sz w:val="18"/>
          <w:szCs w:val="18"/>
          <w:rtl w:val="0"/>
        </w:rPr>
        <w:t xml:space="preserve">...</w:t>
      </w:r>
    </w:p>
    <w:p w:rsidR="00000000" w:rsidDel="00000000" w:rsidP="00000000" w:rsidRDefault="00000000" w:rsidRPr="00000000" w14:paraId="0000000D">
      <w:pPr>
        <w:widowControl w:val="0"/>
        <w:shd w:fill="ffffff" w:val="clear"/>
        <w:tabs>
          <w:tab w:val="left" w:leader="none" w:pos="709"/>
          <w:tab w:val="left" w:leader="none" w:pos="3119"/>
          <w:tab w:val="left" w:leader="none" w:pos="5812"/>
        </w:tabs>
        <w:spacing w:line="276" w:lineRule="auto"/>
        <w:jc w:val="center"/>
        <w:rPr>
          <w:color w:val="ff0000"/>
          <w:sz w:val="18"/>
          <w:szCs w:val="18"/>
        </w:rPr>
      </w:pPr>
      <w:r w:rsidDel="00000000" w:rsidR="00000000" w:rsidRPr="00000000">
        <w:rPr>
          <w:rtl w:val="0"/>
        </w:rPr>
      </w:r>
    </w:p>
    <w:p w:rsidR="00000000" w:rsidDel="00000000" w:rsidP="00000000" w:rsidRDefault="00000000" w:rsidRPr="00000000" w14:paraId="0000000E">
      <w:pPr>
        <w:widowControl w:val="0"/>
        <w:shd w:fill="ffffff" w:val="clear"/>
        <w:tabs>
          <w:tab w:val="left" w:leader="none" w:pos="709"/>
          <w:tab w:val="left" w:leader="none" w:pos="3119"/>
          <w:tab w:val="left" w:leader="none" w:pos="5812"/>
        </w:tabs>
        <w:spacing w:line="276" w:lineRule="auto"/>
        <w:jc w:val="center"/>
        <w:rPr>
          <w:color w:val="ff0000"/>
          <w:sz w:val="18"/>
          <w:szCs w:val="18"/>
        </w:rPr>
      </w:pPr>
      <w:r w:rsidDel="00000000" w:rsidR="00000000" w:rsidRPr="00000000">
        <w:rPr>
          <w:rtl w:val="0"/>
        </w:rPr>
      </w:r>
    </w:p>
    <w:p w:rsidR="00000000" w:rsidDel="00000000" w:rsidP="00000000" w:rsidRDefault="00000000" w:rsidRPr="00000000" w14:paraId="0000000F">
      <w:pPr>
        <w:widowControl w:val="0"/>
        <w:shd w:fill="ffffff" w:val="clear"/>
        <w:tabs>
          <w:tab w:val="left" w:leader="none" w:pos="709"/>
          <w:tab w:val="left" w:leader="none" w:pos="3119"/>
          <w:tab w:val="left" w:leader="none" w:pos="5812"/>
        </w:tabs>
        <w:spacing w:line="276" w:lineRule="auto"/>
        <w:jc w:val="center"/>
        <w:rPr>
          <w:color w:val="ff0000"/>
          <w:sz w:val="18"/>
          <w:szCs w:val="18"/>
        </w:rPr>
      </w:pPr>
      <w:r w:rsidDel="00000000" w:rsidR="00000000" w:rsidRPr="00000000">
        <w:rPr>
          <w:rtl w:val="0"/>
        </w:rPr>
      </w:r>
    </w:p>
    <w:p w:rsidR="00000000" w:rsidDel="00000000" w:rsidP="00000000" w:rsidRDefault="00000000" w:rsidRPr="00000000" w14:paraId="00000010">
      <w:pPr>
        <w:spacing w:line="276" w:lineRule="auto"/>
        <w:jc w:val="both"/>
        <w:rPr>
          <w:b w:val="1"/>
          <w:sz w:val="20"/>
          <w:szCs w:val="20"/>
        </w:rPr>
      </w:pPr>
      <w:r w:rsidDel="00000000" w:rsidR="00000000" w:rsidRPr="00000000">
        <w:rPr>
          <w:b w:val="1"/>
          <w:sz w:val="20"/>
          <w:szCs w:val="20"/>
          <w:rtl w:val="0"/>
        </w:rPr>
        <w:t xml:space="preserve">RESUMO </w:t>
      </w:r>
    </w:p>
    <w:p w:rsidR="00000000" w:rsidDel="00000000" w:rsidP="00000000" w:rsidRDefault="00000000" w:rsidRPr="00000000" w14:paraId="00000011">
      <w:pPr>
        <w:shd w:fill="ffffff" w:val="clear"/>
        <w:spacing w:after="240" w:before="240" w:line="276" w:lineRule="auto"/>
        <w:jc w:val="both"/>
        <w:rPr>
          <w:color w:val="0f1115"/>
          <w:sz w:val="20"/>
          <w:szCs w:val="20"/>
        </w:rPr>
      </w:pPr>
      <w:r w:rsidDel="00000000" w:rsidR="00000000" w:rsidRPr="00000000">
        <w:rPr>
          <w:color w:val="0f1115"/>
          <w:sz w:val="20"/>
          <w:szCs w:val="20"/>
          <w:rtl w:val="0"/>
        </w:rPr>
        <w:t xml:space="preserve">Este artigo investiga o processo de verticalização nos bairros Parque Avenida Pelinca e Parque Tamandaré, em Campos dos Goytacazes/RJ, no período de 2010 a 2020, sob a perspectiva da Geografia Econômica Institucional. A pesquisa, de natureza quali-quantitativa, analisa como o ambiente institucional – composto por leis, normas e políticas públicas – e os arranjos institucionais – representados pelas construtoras e incorporadoras – habilitaram, constrangeram e refrataram a atuação dos agentes imobiliários. O estudo identificou 35 construtoras, predominantemente locais, e categorizou os empreendimentos em três perfis distintos (A-alto padrão, B-médio e C-compacto), que materializam a segmentação socioespacial. A análise de dados secundários e dos "habite-se" revelou um ciclo de expansão (2010-2015) seguido de retração, sensível aos ciclos macroeconômicos. Conclui-se que a atuação do Estado, por meio do arcabouço legal, do fomento ao crédito e da flexibilização trabalhista, foi determinante para moldar a produção do espaço, enquanto as construtoras adaptaram-se estrategicamente, cristalizando no território a lógica da financeirização. A pesquisa evidencia, assim, o papel central das instituições na conformação de uma paisagem urbana simultaneamente mais densa e mais desigual.</w:t>
      </w:r>
    </w:p>
    <w:p w:rsidR="00000000" w:rsidDel="00000000" w:rsidP="00000000" w:rsidRDefault="00000000" w:rsidRPr="00000000" w14:paraId="00000012">
      <w:pPr>
        <w:shd w:fill="ffffff" w:val="clear"/>
        <w:spacing w:after="240" w:before="240" w:line="276" w:lineRule="auto"/>
        <w:jc w:val="both"/>
        <w:rPr>
          <w:sz w:val="22"/>
          <w:szCs w:val="22"/>
        </w:rPr>
      </w:pPr>
      <w:r w:rsidDel="00000000" w:rsidR="00000000" w:rsidRPr="00000000">
        <w:rPr>
          <w:b w:val="1"/>
          <w:color w:val="0f1115"/>
          <w:sz w:val="20"/>
          <w:szCs w:val="20"/>
          <w:rtl w:val="0"/>
        </w:rPr>
        <w:t xml:space="preserve">PALAVRAS-CHAVE</w:t>
      </w:r>
      <w:r w:rsidDel="00000000" w:rsidR="00000000" w:rsidRPr="00000000">
        <w:rPr>
          <w:color w:val="0f1115"/>
          <w:sz w:val="20"/>
          <w:szCs w:val="20"/>
          <w:rtl w:val="0"/>
        </w:rPr>
        <w:t xml:space="preserve">: Produção do Espaço; Financeirização; Verticalização; Campos dos Goytacazes; Instituições.</w:t>
      </w:r>
      <w:r w:rsidDel="00000000" w:rsidR="00000000" w:rsidRPr="00000000">
        <w:rPr>
          <w:rtl w:val="0"/>
        </w:rPr>
      </w:r>
    </w:p>
    <w:p w:rsidR="00000000" w:rsidDel="00000000" w:rsidP="00000000" w:rsidRDefault="00000000" w:rsidRPr="00000000" w14:paraId="00000013">
      <w:pPr>
        <w:widowControl w:val="0"/>
        <w:tabs>
          <w:tab w:val="left" w:leader="none" w:pos="567"/>
        </w:tabs>
        <w:spacing w:line="276" w:lineRule="auto"/>
        <w:jc w:val="both"/>
        <w:rPr>
          <w:i w:val="1"/>
          <w:sz w:val="20"/>
          <w:szCs w:val="20"/>
        </w:rPr>
      </w:pPr>
      <w:r w:rsidDel="00000000" w:rsidR="00000000" w:rsidRPr="00000000">
        <w:rPr>
          <w:b w:val="1"/>
          <w:i w:val="1"/>
          <w:sz w:val="20"/>
          <w:szCs w:val="20"/>
          <w:rtl w:val="0"/>
        </w:rPr>
        <w:t xml:space="preserve">ABSTRACT</w:t>
      </w:r>
      <w:r w:rsidDel="00000000" w:rsidR="00000000" w:rsidRPr="00000000">
        <w:rPr>
          <w:rtl w:val="0"/>
        </w:rPr>
      </w:r>
    </w:p>
    <w:p w:rsidR="00000000" w:rsidDel="00000000" w:rsidP="00000000" w:rsidRDefault="00000000" w:rsidRPr="00000000" w14:paraId="00000014">
      <w:pPr>
        <w:tabs>
          <w:tab w:val="left" w:leader="none" w:pos="567"/>
        </w:tabs>
        <w:jc w:val="both"/>
        <w:rPr>
          <w:sz w:val="20"/>
          <w:szCs w:val="20"/>
        </w:rPr>
      </w:pPr>
      <w:r w:rsidDel="00000000" w:rsidR="00000000" w:rsidRPr="00000000">
        <w:rPr>
          <w:sz w:val="20"/>
          <w:szCs w:val="20"/>
          <w:rtl w:val="0"/>
        </w:rPr>
        <w:t xml:space="preserve">This article investigates the verticalization process in the neighborhoods of Parque Avenida Pelinca and Parque Tamandaré, in Campos dos Goytacazes/RJ, Brazil, from 2010 to 2020, through the lens of Institutional Economic Geography. Adopting a qualitative-quantitative approach, the research examines how the institutional environment – comprising laws, norms, and public policies – and institutional arrangements – represented by construction and real estate development companies – enabled, constrained, and refracted the actions of real estate agents. The study identified 35 construction firms, predominantly local, and categorized the developments into three distinct profiles (A-high-end, B-medium, and C-compact), which materialize socio-spatial segmentation. The analysis of secondary data and occupancy permits revealed an expansion cycle (2010-2015) followed by contraction, sensitive to macroeconomic cycles. The study concludes that state action, through legal frameworks, credit incentives, and labor flexibilization, was decisive in shaping space production, while construction firms strategically adapted, crystallizing the logic of financialization in the territory. The research thus highlights the central role of institutions in shaping an urban landscape that is both denser and more unequal.</w:t>
      </w:r>
    </w:p>
    <w:p w:rsidR="00000000" w:rsidDel="00000000" w:rsidP="00000000" w:rsidRDefault="00000000" w:rsidRPr="00000000" w14:paraId="00000015">
      <w:pPr>
        <w:tabs>
          <w:tab w:val="left" w:leader="none" w:pos="567"/>
        </w:tabs>
        <w:jc w:val="both"/>
        <w:rPr>
          <w:sz w:val="20"/>
          <w:szCs w:val="20"/>
        </w:rPr>
      </w:pPr>
      <w:r w:rsidDel="00000000" w:rsidR="00000000" w:rsidRPr="00000000">
        <w:rPr>
          <w:rtl w:val="0"/>
        </w:rPr>
      </w:r>
    </w:p>
    <w:p w:rsidR="00000000" w:rsidDel="00000000" w:rsidP="00000000" w:rsidRDefault="00000000" w:rsidRPr="00000000" w14:paraId="00000016">
      <w:pPr>
        <w:tabs>
          <w:tab w:val="left" w:leader="none" w:pos="567"/>
        </w:tabs>
        <w:jc w:val="both"/>
        <w:rPr>
          <w:color w:val="0f1115"/>
          <w:sz w:val="18"/>
          <w:szCs w:val="18"/>
          <w:highlight w:val="white"/>
        </w:rPr>
      </w:pPr>
      <w:r w:rsidDel="00000000" w:rsidR="00000000" w:rsidRPr="00000000">
        <w:rPr>
          <w:b w:val="1"/>
          <w:sz w:val="20"/>
          <w:szCs w:val="20"/>
          <w:rtl w:val="0"/>
        </w:rPr>
        <w:t xml:space="preserve">KEYWORDS</w:t>
      </w:r>
      <w:r w:rsidDel="00000000" w:rsidR="00000000" w:rsidRPr="00000000">
        <w:rPr>
          <w:sz w:val="20"/>
          <w:szCs w:val="20"/>
          <w:rtl w:val="0"/>
        </w:rPr>
        <w:t xml:space="preserve">: Space Production; Financialization; Verticalization; Campos dos Goytacazes; Institutions.</w:t>
      </w:r>
      <w:r w:rsidDel="00000000" w:rsidR="00000000" w:rsidRPr="00000000">
        <w:rPr>
          <w:rtl w:val="0"/>
        </w:rPr>
      </w:r>
    </w:p>
    <w:p w:rsidR="00000000" w:rsidDel="00000000" w:rsidP="00000000" w:rsidRDefault="00000000" w:rsidRPr="00000000" w14:paraId="00000017">
      <w:pPr>
        <w:tabs>
          <w:tab w:val="left" w:leader="none" w:pos="567"/>
        </w:tabs>
        <w:spacing w:line="276" w:lineRule="auto"/>
        <w:jc w:val="both"/>
        <w:rPr>
          <w:i w:val="1"/>
          <w:sz w:val="20"/>
          <w:szCs w:val="20"/>
        </w:rPr>
      </w:pPr>
      <w:r w:rsidDel="00000000" w:rsidR="00000000" w:rsidRPr="00000000">
        <w:rPr>
          <w:rtl w:val="0"/>
        </w:rPr>
      </w:r>
    </w:p>
    <w:p w:rsidR="00000000" w:rsidDel="00000000" w:rsidP="00000000" w:rsidRDefault="00000000" w:rsidRPr="00000000" w14:paraId="00000018">
      <w:pPr>
        <w:tabs>
          <w:tab w:val="left" w:leader="none" w:pos="567"/>
        </w:tabs>
        <w:spacing w:line="276" w:lineRule="auto"/>
        <w:jc w:val="both"/>
        <w:rPr>
          <w:i w:val="1"/>
          <w:sz w:val="18"/>
          <w:szCs w:val="18"/>
        </w:rPr>
      </w:pPr>
      <w:r w:rsidDel="00000000" w:rsidR="00000000" w:rsidRPr="00000000">
        <w:rPr>
          <w:rtl w:val="0"/>
        </w:rPr>
      </w:r>
    </w:p>
    <w:p w:rsidR="00000000" w:rsidDel="00000000" w:rsidP="00000000" w:rsidRDefault="00000000" w:rsidRPr="00000000" w14:paraId="00000019">
      <w:pPr>
        <w:tabs>
          <w:tab w:val="left" w:leader="none" w:pos="567"/>
        </w:tabs>
        <w:spacing w:line="276" w:lineRule="auto"/>
        <w:rPr>
          <w:sz w:val="22"/>
          <w:szCs w:val="22"/>
        </w:rPr>
      </w:pPr>
      <w:r w:rsidDel="00000000" w:rsidR="00000000" w:rsidRPr="00000000">
        <w:rPr>
          <w:b w:val="1"/>
          <w:rtl w:val="0"/>
        </w:rPr>
        <w:t xml:space="preserve">1 INTRODUÇÃO</w:t>
      </w:r>
      <w:r w:rsidDel="00000000" w:rsidR="00000000" w:rsidRPr="00000000">
        <w:rPr>
          <w:rtl w:val="0"/>
        </w:rPr>
      </w:r>
    </w:p>
    <w:p w:rsidR="00000000" w:rsidDel="00000000" w:rsidP="00000000" w:rsidRDefault="00000000" w:rsidRPr="00000000" w14:paraId="0000001A">
      <w:pPr>
        <w:shd w:fill="ffffff" w:val="clear"/>
        <w:tabs>
          <w:tab w:val="left" w:leader="none" w:pos="284"/>
        </w:tabs>
        <w:spacing w:line="360" w:lineRule="auto"/>
        <w:ind w:firstLine="850.3937007874017"/>
        <w:jc w:val="both"/>
        <w:rPr>
          <w:color w:val="0f1115"/>
        </w:rPr>
      </w:pPr>
      <w:r w:rsidDel="00000000" w:rsidR="00000000" w:rsidRPr="00000000">
        <w:rPr>
          <w:color w:val="0f1115"/>
          <w:rtl w:val="0"/>
        </w:rPr>
        <w:t xml:space="preserve">A compreensão das complexas transformações que moldam a paisagem de cidades médias como Campos dos Goytacazes exige um olhar analítico que ultrapasse a aparência imediata da forma urbana. É necessário conceber o espaço geográfico não como um palco neutro ou um simples aglomerado de edificações, mas como uma mercadoria produzida socialmente (LEFEBVRE 1974). Sob a vigência do modo de produção capitalista, este processo de produção do espaço adquire um papel central, convertendo-se em um meio fundamental para a acumulação e a realização de capital (HARVEY, 2005). A terra, neste contexto, perde sua condição de recurso material básico para se transmutar em um ativo financeiro, cujo valor é crescentemente determinado por expectativas de renda futura e lógicas de especulação.</w:t>
      </w:r>
    </w:p>
    <w:p w:rsidR="00000000" w:rsidDel="00000000" w:rsidP="00000000" w:rsidRDefault="00000000" w:rsidRPr="00000000" w14:paraId="0000001B">
      <w:pPr>
        <w:shd w:fill="ffffff" w:val="clear"/>
        <w:tabs>
          <w:tab w:val="left" w:leader="none" w:pos="284"/>
        </w:tabs>
        <w:spacing w:line="360" w:lineRule="auto"/>
        <w:jc w:val="both"/>
        <w:rPr>
          <w:color w:val="0f1115"/>
        </w:rPr>
      </w:pPr>
      <w:r w:rsidDel="00000000" w:rsidR="00000000" w:rsidRPr="00000000">
        <w:rPr>
          <w:color w:val="0f1115"/>
          <w:rtl w:val="0"/>
        </w:rPr>
        <w:t xml:space="preserve">Há o conhecimento da ação conflituosa de agentes modeladores do espaço, como sendo atores sociais concretos – como os proprietários dos meios de produção, os proprietários fundiários, os promotores imobiliários, o Estado e os grupos sociais excluídos –, cada um operando segundo suas lógicas e estratégias espaciais particulares (CORRÊA, 1999), alterando a paisagem de forma conveniente aos seus objetivos. Neste processo, o Estado possui uma dupla função: é um agente produtor por excelência e a arena onde os demais agentes disputam a validação de seus interesses.</w:t>
      </w:r>
    </w:p>
    <w:p w:rsidR="00000000" w:rsidDel="00000000" w:rsidP="00000000" w:rsidRDefault="00000000" w:rsidRPr="00000000" w14:paraId="0000001C">
      <w:pPr>
        <w:shd w:fill="ffffff" w:val="clear"/>
        <w:tabs>
          <w:tab w:val="left" w:leader="none" w:pos="284"/>
        </w:tabs>
        <w:spacing w:line="360" w:lineRule="auto"/>
        <w:ind w:firstLine="850.3937007874017"/>
        <w:jc w:val="both"/>
        <w:rPr>
          <w:color w:val="0f1115"/>
        </w:rPr>
      </w:pPr>
      <w:r w:rsidDel="00000000" w:rsidR="00000000" w:rsidRPr="00000000">
        <w:rPr>
          <w:color w:val="0f1115"/>
          <w:rtl w:val="0"/>
        </w:rPr>
        <w:t xml:space="preserve">A verticalização, entendida aqui como o processo de produção, reprodução e apropriação do espaço urbano por meio da construção de edifícios com quatro ou mais pavimentos (FRESCA; OLIVEIRA, 2017), é uma das expressões mais contundentes dessa produção capitalista do espaço. Longe de ser uma mera resposta técnica à demanda por moradia ou um símbolo inconteste de modernidade (LÖWEN SAHR, 2000), a verticalização se configura como uma estratégia intensiva de reprodução do solo urbano, que visa, sobretudo, maximizar a rentabilidade dos empreendimentos imobiliários (MENDES, 1992). Ao permitir um aproveitamento mais denso de um mesmo terreno, multiplicando o número de unidades à venda, este processo otimiza o retorno sobre o investimento e está intrinsecamente ligado à valorização do solo urbano, funcionando como um mecanismo crucial para a absorção de capitais excedentes gerados em outros setores da economia (AMORIM, 2011; JIN, 2022).</w:t>
      </w:r>
    </w:p>
    <w:p w:rsidR="00000000" w:rsidDel="00000000" w:rsidP="00000000" w:rsidRDefault="00000000" w:rsidRPr="00000000" w14:paraId="0000001D">
      <w:pPr>
        <w:shd w:fill="ffffff" w:val="clear"/>
        <w:tabs>
          <w:tab w:val="left" w:leader="none" w:pos="284"/>
        </w:tabs>
        <w:spacing w:line="360" w:lineRule="auto"/>
        <w:ind w:firstLine="850.3937007874017"/>
        <w:jc w:val="both"/>
        <w:rPr>
          <w:color w:val="0f1115"/>
        </w:rPr>
      </w:pPr>
      <w:r w:rsidDel="00000000" w:rsidR="00000000" w:rsidRPr="00000000">
        <w:rPr>
          <w:color w:val="0f1115"/>
          <w:rtl w:val="0"/>
        </w:rPr>
        <w:t xml:space="preserve">No Brasil, o fenômeno, inicialmente restrito a grandes metrópoles como São Paulo e Rio de Janeiro a partir da década de 1920, expandiu-se para cidades médias e pequenas a partir dos anos 1980/1990, seguindo a lógica de expansão do capital imobiliário (TÖWS, 2010). A atuação do Estado, via legislação de uso e ocupação do solo, é crucial para viabilizar a verticalização, embora, na prática, as normas frequentemente sejam moldadas ou flexibilizadas para atender aos interesses dos grandes incorporadores (TÖWS, 2010).</w:t>
      </w:r>
    </w:p>
    <w:p w:rsidR="00000000" w:rsidDel="00000000" w:rsidP="00000000" w:rsidRDefault="00000000" w:rsidRPr="00000000" w14:paraId="0000001E">
      <w:pPr>
        <w:shd w:fill="ffffff" w:val="clear"/>
        <w:tabs>
          <w:tab w:val="left" w:leader="none" w:pos="284"/>
        </w:tabs>
        <w:spacing w:line="360" w:lineRule="auto"/>
        <w:ind w:firstLine="850.3937007874017"/>
        <w:jc w:val="both"/>
        <w:rPr>
          <w:color w:val="0f1115"/>
        </w:rPr>
      </w:pPr>
      <w:r w:rsidDel="00000000" w:rsidR="00000000" w:rsidRPr="00000000">
        <w:rPr>
          <w:color w:val="0f1115"/>
          <w:rtl w:val="0"/>
        </w:rPr>
        <w:t xml:space="preserve">Na era contemporânea, essa dinâmica é profundamente reconfigurada pela crescente influência de mercados e instituições financeiras sobre a economia e a vida cotidiana (EPSTEIN 2005). A financeirização infiltra-se em todos os “interstícios da sociedade” (SANFELICI, 2013, p. 28) materializando-se na migração de capitais excedentes para o setor imobiliário em busca de valorização. No Brasil, a reestruturação financeirizada do setor, intensificada nos anos 2000, teve seu marco institucional na criação do Sistema Financeiro Imobiliário (SFI) em 1997 (BRASIL, 1997), um arcabouço que pressupõe "uma complexa arquitetura econômica e político-institucional, sugerindo que a presença do Estado é aqui indispensável" (SANFELICI 2013, p. 14). A atuação estatal, via bancos públicos, programas de crédito e a regulamentação do uso do Fundo de Garantia por Tempo de Serviço (FGTS), com a Lei nº </w:t>
      </w:r>
      <w:r w:rsidDel="00000000" w:rsidR="00000000" w:rsidRPr="00000000">
        <w:rPr>
          <w:rtl w:val="0"/>
        </w:rPr>
        <w:t xml:space="preserve">8.036/1990 (BRASIL, 1990) </w:t>
      </w:r>
      <w:r w:rsidDel="00000000" w:rsidR="00000000" w:rsidRPr="00000000">
        <w:rPr>
          <w:color w:val="0f1115"/>
          <w:rtl w:val="0"/>
        </w:rPr>
        <w:t xml:space="preserve">foi crucial para fechar o circuito da financeirização, transformando a habitação em uma mercadoria acessível predominantemente via endividamento.</w:t>
      </w:r>
    </w:p>
    <w:p w:rsidR="00000000" w:rsidDel="00000000" w:rsidP="00000000" w:rsidRDefault="00000000" w:rsidRPr="00000000" w14:paraId="0000001F">
      <w:pPr>
        <w:shd w:fill="ffffff" w:val="clear"/>
        <w:tabs>
          <w:tab w:val="left" w:leader="none" w:pos="284"/>
        </w:tabs>
        <w:spacing w:line="360" w:lineRule="auto"/>
        <w:ind w:firstLine="850.3937007874017"/>
        <w:jc w:val="both"/>
        <w:rPr>
          <w:color w:val="0f1115"/>
        </w:rPr>
      </w:pPr>
      <w:r w:rsidDel="00000000" w:rsidR="00000000" w:rsidRPr="00000000">
        <w:rPr>
          <w:color w:val="0f1115"/>
          <w:rtl w:val="0"/>
        </w:rPr>
        <w:t xml:space="preserve">No entanto, embora a abordagem crítica seja fundamental para desnaturalizar a paisagem urbana e revelar as macroestruturas e os conflitos que a fundamentam, uma questão persiste: como e por que a lógica da acumulação financeirizada assume formas espaciais tão específicas, particulares e diferenciadas de uma localidade para outra? Por que a verticalização em Campos dos Goytacazes resultou nos padrões morfológicos e de segregação observados, e não em outros?</w:t>
      </w:r>
    </w:p>
    <w:p w:rsidR="00000000" w:rsidDel="00000000" w:rsidP="00000000" w:rsidRDefault="00000000" w:rsidRPr="00000000" w14:paraId="00000020">
      <w:pPr>
        <w:shd w:fill="ffffff" w:val="clear"/>
        <w:tabs>
          <w:tab w:val="left" w:leader="none" w:pos="284"/>
        </w:tabs>
        <w:spacing w:line="360" w:lineRule="auto"/>
        <w:ind w:firstLine="850.3937007874017"/>
        <w:jc w:val="both"/>
        <w:rPr>
          <w:color w:val="0f1115"/>
        </w:rPr>
      </w:pPr>
      <w:r w:rsidDel="00000000" w:rsidR="00000000" w:rsidRPr="00000000">
        <w:rPr>
          <w:color w:val="0f1115"/>
          <w:rtl w:val="0"/>
        </w:rPr>
        <w:t xml:space="preserve">É precisamente neste que a ótica institucional na Geografia Econômica, revela seu potencial analítico, pois "a forma e a evolução da paisagem econômica não podem ser plenamente compreendidas sem dar a devida atenção às várias instituições sociais das quais a atividade econômica depende e através das quais é moldada" (MARTIN, 2004, pág 77). Para a Geografia Econômica Institucional, a ação econômica é inerentemente uma forma de ação social e, portanto, social e institucionalmente situada. Ela não pode ser satisfatoriamente explicada apenas por referência a motivos atomísticos e individuais, mas deve ser compreendida como enredada em estruturas mais amplas de regras, procedimentos e convenções sociais, econômicas e políticas, tanto formais quanto informais.</w:t>
      </w:r>
    </w:p>
    <w:p w:rsidR="00000000" w:rsidDel="00000000" w:rsidP="00000000" w:rsidRDefault="00000000" w:rsidRPr="00000000" w14:paraId="00000021">
      <w:pPr>
        <w:shd w:fill="ffffff" w:val="clear"/>
        <w:tabs>
          <w:tab w:val="left" w:leader="none" w:pos="284"/>
        </w:tabs>
        <w:spacing w:line="360" w:lineRule="auto"/>
        <w:ind w:firstLine="850.3937007874017"/>
        <w:jc w:val="both"/>
        <w:rPr>
          <w:color w:val="0f1115"/>
        </w:rPr>
      </w:pPr>
      <w:r w:rsidDel="00000000" w:rsidR="00000000" w:rsidRPr="00000000">
        <w:rPr>
          <w:color w:val="0f1115"/>
          <w:rtl w:val="0"/>
        </w:rPr>
        <w:t xml:space="preserve">Assim as instituições ganham destaque distinguindo-se o ambiente institucional - o conjunto de regras formais e informais, como leis, normas e convenções - dos arranjos institucionais - as formas organizacionais que surgem desse ambiente, como firmas, sindicatos e agências estatais (MARTIN, 2004).</w:t>
      </w:r>
    </w:p>
    <w:p w:rsidR="00000000" w:rsidDel="00000000" w:rsidP="00000000" w:rsidRDefault="00000000" w:rsidRPr="00000000" w14:paraId="00000022">
      <w:pPr>
        <w:shd w:fill="ffffff" w:val="clear"/>
        <w:tabs>
          <w:tab w:val="left" w:leader="none" w:pos="284"/>
        </w:tabs>
        <w:spacing w:before="240" w:line="360" w:lineRule="auto"/>
        <w:jc w:val="both"/>
        <w:rPr>
          <w:b w:val="1"/>
          <w:color w:val="0f1115"/>
        </w:rPr>
      </w:pPr>
      <w:r w:rsidDel="00000000" w:rsidR="00000000" w:rsidRPr="00000000">
        <w:rPr>
          <w:b w:val="1"/>
          <w:color w:val="0f1115"/>
          <w:rtl w:val="0"/>
        </w:rPr>
        <w:t xml:space="preserve">2 OBJETIVOS</w:t>
      </w:r>
    </w:p>
    <w:p w:rsidR="00000000" w:rsidDel="00000000" w:rsidP="00000000" w:rsidRDefault="00000000" w:rsidRPr="00000000" w14:paraId="00000023">
      <w:pPr>
        <w:shd w:fill="ffffff" w:val="clear"/>
        <w:tabs>
          <w:tab w:val="left" w:leader="none" w:pos="284"/>
        </w:tabs>
        <w:spacing w:line="360" w:lineRule="auto"/>
        <w:ind w:firstLine="850.3937007874017"/>
        <w:jc w:val="both"/>
        <w:rPr>
          <w:color w:val="0f1115"/>
        </w:rPr>
      </w:pPr>
      <w:r w:rsidDel="00000000" w:rsidR="00000000" w:rsidRPr="00000000">
        <w:rPr>
          <w:color w:val="0f1115"/>
          <w:rtl w:val="0"/>
        </w:rPr>
        <w:t xml:space="preserve">O presente trabalho tem como objetivo geral </w:t>
      </w:r>
      <w:r w:rsidDel="00000000" w:rsidR="00000000" w:rsidRPr="00000000">
        <w:rPr>
          <w:color w:val="0f1115"/>
          <w:highlight w:val="white"/>
          <w:rtl w:val="0"/>
        </w:rPr>
        <w:t xml:space="preserve">Analisar de que maneira o ambiente e os arranjos institucionais habilitaram, constrangeram e refratam a atuação dos capitais imobiliários no processo de produção do espaço urbano verticalizado nos bairros Parque Avenida Pelinca e Parque Tamandaré, em Campos dos Goytacazes, no período de 2010 a 2020.</w:t>
      </w:r>
      <w:r w:rsidDel="00000000" w:rsidR="00000000" w:rsidRPr="00000000">
        <w:rPr>
          <w:rtl w:val="0"/>
        </w:rPr>
      </w:r>
    </w:p>
    <w:p w:rsidR="00000000" w:rsidDel="00000000" w:rsidP="00000000" w:rsidRDefault="00000000" w:rsidRPr="00000000" w14:paraId="00000024">
      <w:pPr>
        <w:shd w:fill="ffffff" w:val="clear"/>
        <w:tabs>
          <w:tab w:val="left" w:leader="none" w:pos="284"/>
        </w:tabs>
        <w:spacing w:line="360" w:lineRule="auto"/>
        <w:ind w:firstLine="850.3937007874017"/>
        <w:jc w:val="both"/>
        <w:rPr>
          <w:color w:val="0f1115"/>
        </w:rPr>
      </w:pPr>
      <w:r w:rsidDel="00000000" w:rsidR="00000000" w:rsidRPr="00000000">
        <w:rPr>
          <w:color w:val="0f1115"/>
          <w:rtl w:val="0"/>
        </w:rPr>
        <w:t xml:space="preserve">Os objetivos específicos incluem: I) Investigar como o ambiente institucional habilitou um crescimento construtivo, </w:t>
      </w:r>
      <w:r w:rsidDel="00000000" w:rsidR="00000000" w:rsidRPr="00000000">
        <w:rPr>
          <w:color w:val="0f1115"/>
          <w:highlight w:val="white"/>
          <w:rtl w:val="0"/>
        </w:rPr>
        <w:t xml:space="preserve">por meio da análise da trajetória da produção imobiliária e da atuação dos agentes no período</w:t>
      </w:r>
      <w:r w:rsidDel="00000000" w:rsidR="00000000" w:rsidRPr="00000000">
        <w:rPr>
          <w:color w:val="0f1115"/>
          <w:rtl w:val="0"/>
        </w:rPr>
        <w:t xml:space="preserve">. II) </w:t>
      </w:r>
      <w:r w:rsidDel="00000000" w:rsidR="00000000" w:rsidRPr="00000000">
        <w:rPr>
          <w:color w:val="0f1115"/>
          <w:highlight w:val="white"/>
          <w:rtl w:val="0"/>
        </w:rPr>
        <w:t xml:space="preserve">Identificar os mecanismos pelos quais as instituições (em diferentes escalas) constrangeram as estratégias dos agentes imobiliários, com base no exame das características físico-construtivas dos empreendimentos e das dinâmicas do mercado de trabalho no setor.</w:t>
      </w:r>
      <w:r w:rsidDel="00000000" w:rsidR="00000000" w:rsidRPr="00000000">
        <w:rPr>
          <w:color w:val="0f1115"/>
          <w:rtl w:val="0"/>
        </w:rPr>
        <w:t xml:space="preserve">. III) </w:t>
      </w:r>
      <w:r w:rsidDel="00000000" w:rsidR="00000000" w:rsidRPr="00000000">
        <w:rPr>
          <w:color w:val="0f1115"/>
          <w:highlight w:val="white"/>
          <w:rtl w:val="0"/>
        </w:rPr>
        <w:t xml:space="preserve">Interpretar os padrões espaciais e morfológicos da verticalização como evidência de como as instituições refratam a lógica da financeirização, a partir do mapeamento da distribuição territorial e da segmentação dos produtos imobiliários.</w:t>
      </w:r>
      <w:r w:rsidDel="00000000" w:rsidR="00000000" w:rsidRPr="00000000">
        <w:rPr>
          <w:rtl w:val="0"/>
        </w:rPr>
      </w:r>
    </w:p>
    <w:p w:rsidR="00000000" w:rsidDel="00000000" w:rsidP="00000000" w:rsidRDefault="00000000" w:rsidRPr="00000000" w14:paraId="00000025">
      <w:pPr>
        <w:shd w:fill="ffffff" w:val="clear"/>
        <w:tabs>
          <w:tab w:val="left" w:leader="none" w:pos="284"/>
        </w:tabs>
        <w:spacing w:after="240" w:before="240" w:line="360" w:lineRule="auto"/>
        <w:jc w:val="both"/>
        <w:rPr>
          <w:b w:val="1"/>
          <w:color w:val="0f1115"/>
        </w:rPr>
      </w:pPr>
      <w:r w:rsidDel="00000000" w:rsidR="00000000" w:rsidRPr="00000000">
        <w:rPr>
          <w:b w:val="1"/>
          <w:color w:val="0f1115"/>
          <w:rtl w:val="0"/>
        </w:rPr>
        <w:t xml:space="preserve">3 METODOLOGIA / MÉTODOS DE ANÁLISE</w:t>
      </w:r>
    </w:p>
    <w:p w:rsidR="00000000" w:rsidDel="00000000" w:rsidP="00000000" w:rsidRDefault="00000000" w:rsidRPr="00000000" w14:paraId="00000026">
      <w:pPr>
        <w:shd w:fill="ffffff" w:val="clear"/>
        <w:tabs>
          <w:tab w:val="left" w:leader="none" w:pos="284"/>
        </w:tabs>
        <w:spacing w:line="360" w:lineRule="auto"/>
        <w:ind w:firstLine="850.3937007874017"/>
        <w:jc w:val="both"/>
        <w:rPr>
          <w:color w:val="0f1115"/>
          <w:highlight w:val="white"/>
        </w:rPr>
      </w:pPr>
      <w:r w:rsidDel="00000000" w:rsidR="00000000" w:rsidRPr="00000000">
        <w:rPr>
          <w:color w:val="0f1115"/>
          <w:highlight w:val="white"/>
          <w:rtl w:val="0"/>
        </w:rPr>
        <w:t xml:space="preserve">Para fundamentar analiticamente esta investigação, adota-se o quadro teórico da Geografia Econômica Institucional, onde se afirma que não se pode compreender a forma e a evolução da paisagem econômica sem atribuir atenção central às instituições sociais que medeiam e estruturam a atividade econômica (MARTIN, 2004). Nesta perspectiva, as instituições são definidas como as regras formais e informais – os hábitos, convenções e normas de comportamento – que fornecem uma estrutura estável para a vida quotidiana, reduzindo a incerteza ao moldar as interações humanas (MARTIN, 2004).</w:t>
      </w:r>
    </w:p>
    <w:p w:rsidR="00000000" w:rsidDel="00000000" w:rsidP="00000000" w:rsidRDefault="00000000" w:rsidRPr="00000000" w14:paraId="00000027">
      <w:pPr>
        <w:shd w:fill="ffffff" w:val="clear"/>
        <w:tabs>
          <w:tab w:val="left" w:leader="none" w:pos="284"/>
        </w:tabs>
        <w:spacing w:line="360" w:lineRule="auto"/>
        <w:ind w:firstLine="850.3937007874017"/>
        <w:jc w:val="both"/>
        <w:rPr>
          <w:color w:val="0f1115"/>
          <w:highlight w:val="white"/>
        </w:rPr>
      </w:pPr>
      <w:r w:rsidDel="00000000" w:rsidR="00000000" w:rsidRPr="00000000">
        <w:rPr>
          <w:color w:val="0f1115"/>
          <w:highlight w:val="white"/>
          <w:rtl w:val="0"/>
        </w:rPr>
        <w:t xml:space="preserve">O arcabouço institucional é composto por duas dimensões inter-relacionadas: o ambiente institucional, que se refere ao conjunto de regras formais (leis, políticas) e informais (costumes, convenções) que constrangem o comportamento socioeconômico; e os arranjos institucionais, que são as formas organizacionais específicas que surgem e operam dentro daquele ambiente (MARTIN, 2004). Um dos pilares da análise é o conceito de “path dependence” (dependência de trajetória), que concebe as instituições como “carregadoras de história”, evoluindo de maneira incremental e auto-reforçadora, de modo que as decisões e estruturas do passado condicionam as possibilidades do presente e do futuro (MARTIN, 2004).</w:t>
      </w:r>
    </w:p>
    <w:p w:rsidR="00000000" w:rsidDel="00000000" w:rsidP="00000000" w:rsidRDefault="00000000" w:rsidRPr="00000000" w14:paraId="00000028">
      <w:pPr>
        <w:shd w:fill="ffffff" w:val="clear"/>
        <w:tabs>
          <w:tab w:val="left" w:leader="none" w:pos="284"/>
        </w:tabs>
        <w:spacing w:line="360" w:lineRule="auto"/>
        <w:ind w:firstLine="850.3937007874017"/>
        <w:jc w:val="both"/>
        <w:rPr>
          <w:color w:val="0f1115"/>
          <w:highlight w:val="white"/>
        </w:rPr>
      </w:pPr>
      <w:r w:rsidDel="00000000" w:rsidR="00000000" w:rsidRPr="00000000">
        <w:rPr>
          <w:color w:val="0f1115"/>
          <w:highlight w:val="white"/>
          <w:rtl w:val="0"/>
        </w:rPr>
        <w:t xml:space="preserve">Por fim, e de modo crucial para a análise geográfica, as instituições habilitam, constrangem e refratam o desenvolvimento econômico de maneiras espacialmente diferenciadas. Diferentes lugares desenvolvem regimes institucionais distintos – combinações específicas de ambiente e arranjos – que interagem com a atividade econômica local, resultando em trajetórias e outcomes geográficos desiguais (MARTIN, 2004). Portanto, a tarefa da GEI é investigar como essa interação entre instituições e atividade econômica varia no espaço, moldando a dinâmica da paisagem econômica capitalista.</w:t>
      </w:r>
    </w:p>
    <w:p w:rsidR="00000000" w:rsidDel="00000000" w:rsidP="00000000" w:rsidRDefault="00000000" w:rsidRPr="00000000" w14:paraId="00000029">
      <w:pPr>
        <w:shd w:fill="ffffff" w:val="clear"/>
        <w:tabs>
          <w:tab w:val="left" w:leader="none" w:pos="284"/>
        </w:tabs>
        <w:spacing w:line="360" w:lineRule="auto"/>
        <w:ind w:firstLine="850.3937007874017"/>
        <w:jc w:val="both"/>
        <w:rPr>
          <w:color w:val="0f1115"/>
          <w:highlight w:val="white"/>
        </w:rPr>
      </w:pPr>
      <w:r w:rsidDel="00000000" w:rsidR="00000000" w:rsidRPr="00000000">
        <w:rPr>
          <w:color w:val="0f1115"/>
          <w:highlight w:val="white"/>
          <w:rtl w:val="0"/>
        </w:rPr>
        <w:t xml:space="preserve">A pesquisa adotou uma abordagem qualitativa com suporte de dados quantitativos, operacionalizada por meio de um conjunto articulado de procedimentos. Inicialmente, realizou-se uma revisão bibliográfica sistemática, organizada em cinco eixos teóricos fundamentais: a produção do espaço urbano e os agentes modeladores, o processo de verticalização, a financeirização e a atuação do Estado e o giro institucional. Esta base teórica foi complementada pela coleta de dados secundários junto a font</w:t>
      </w:r>
      <w:r w:rsidDel="00000000" w:rsidR="00000000" w:rsidRPr="00000000">
        <w:rPr>
          <w:rtl w:val="0"/>
        </w:rPr>
        <w:t xml:space="preserve">es como Instituto Brasileiro de Geografia e Estatística, e Sistema IBGE de Recuperação Automática (IBGE/SIDRA) e Cadastro Central de Empresas (CEMPRE)</w:t>
      </w:r>
      <w:r w:rsidDel="00000000" w:rsidR="00000000" w:rsidRPr="00000000">
        <w:rPr>
          <w:color w:val="0f1115"/>
          <w:highlight w:val="white"/>
          <w:rtl w:val="0"/>
        </w:rPr>
        <w:t xml:space="preserve">, e pela obtenção dos registros de "Habite-se</w:t>
      </w:r>
      <w:r w:rsidDel="00000000" w:rsidR="00000000" w:rsidRPr="00000000">
        <w:rPr>
          <w:color w:val="0f1115"/>
          <w:highlight w:val="white"/>
          <w:vertAlign w:val="superscript"/>
        </w:rPr>
        <w:footnoteReference w:customMarkFollows="0" w:id="2"/>
      </w:r>
      <w:r w:rsidDel="00000000" w:rsidR="00000000" w:rsidRPr="00000000">
        <w:rPr>
          <w:color w:val="0f1115"/>
          <w:highlight w:val="white"/>
          <w:rtl w:val="0"/>
        </w:rPr>
        <w:t xml:space="preserve">" na Secretaria de Obras municipal, cobrindo o período de 2010 a 2020. Para conferir materialidade à análise, a investigação incluiu trabalho de campo nos bairros Parque Avenida Pelinca e Parque Tamandaré, permitindo a observação direta e o levantamento de características físicas e contextuais dos edifícios. Também foi realizado levantamento diante a portais federais e municipais a respeito das leis e normativas que impactam a produção do espaço. Por fim, todos os dados, primários e secundários, foram sistematizados e analisados de forma cruzada, visando compreender de modo integrado os agentes envolvidos, suas estratégias e as características concretas do processo de verticalização em estudo.</w:t>
      </w:r>
    </w:p>
    <w:p w:rsidR="00000000" w:rsidDel="00000000" w:rsidP="00000000" w:rsidRDefault="00000000" w:rsidRPr="00000000" w14:paraId="0000002A">
      <w:pPr>
        <w:shd w:fill="ffffff" w:val="clear"/>
        <w:tabs>
          <w:tab w:val="left" w:leader="none" w:pos="284"/>
        </w:tabs>
        <w:spacing w:after="240" w:before="240" w:line="360" w:lineRule="auto"/>
        <w:jc w:val="both"/>
        <w:rPr>
          <w:b w:val="1"/>
          <w:color w:val="0f1115"/>
          <w:highlight w:val="white"/>
        </w:rPr>
      </w:pPr>
      <w:r w:rsidDel="00000000" w:rsidR="00000000" w:rsidRPr="00000000">
        <w:rPr>
          <w:b w:val="1"/>
          <w:color w:val="0f1115"/>
          <w:highlight w:val="white"/>
          <w:rtl w:val="0"/>
        </w:rPr>
        <w:t xml:space="preserve">4. RESULTADOS</w:t>
      </w:r>
    </w:p>
    <w:p w:rsidR="00000000" w:rsidDel="00000000" w:rsidP="00000000" w:rsidRDefault="00000000" w:rsidRPr="00000000" w14:paraId="0000002B">
      <w:pPr>
        <w:shd w:fill="ffffff" w:val="clear"/>
        <w:tabs>
          <w:tab w:val="left" w:leader="none" w:pos="284"/>
        </w:tabs>
        <w:spacing w:after="240" w:before="240" w:line="360" w:lineRule="auto"/>
        <w:jc w:val="both"/>
        <w:rPr>
          <w:color w:val="0f1115"/>
          <w:highlight w:val="white"/>
        </w:rPr>
      </w:pPr>
      <w:r w:rsidDel="00000000" w:rsidR="00000000" w:rsidRPr="00000000">
        <w:rPr>
          <w:color w:val="0f1115"/>
          <w:highlight w:val="white"/>
          <w:rtl w:val="0"/>
        </w:rPr>
        <w:t xml:space="preserve">4.1 ATUAÇÃO DO ESTADO</w:t>
      </w:r>
    </w:p>
    <w:p w:rsidR="00000000" w:rsidDel="00000000" w:rsidP="00000000" w:rsidRDefault="00000000" w:rsidRPr="00000000" w14:paraId="0000002C">
      <w:pPr>
        <w:shd w:fill="ffffff" w:val="clear"/>
        <w:tabs>
          <w:tab w:val="left" w:leader="none" w:pos="284"/>
        </w:tabs>
        <w:spacing w:line="360" w:lineRule="auto"/>
        <w:ind w:firstLine="850.3937007874017"/>
        <w:jc w:val="both"/>
        <w:rPr>
          <w:color w:val="0f1115"/>
        </w:rPr>
      </w:pPr>
      <w:r w:rsidDel="00000000" w:rsidR="00000000" w:rsidRPr="00000000">
        <w:rPr>
          <w:color w:val="0f1115"/>
          <w:rtl w:val="0"/>
        </w:rPr>
        <w:t xml:space="preserve">Em diversas escalas, o Estado cria o marco legal que possibilita e orienta a produção do espaço. Em nível federal, leis como o Estatuto da Cidade (Lei nº 10.257/01) e a Lei de Parcelamento do Solo Urbano (Lei nº 6.766/79) estabelecem diretrizes gerais (BRASIL 2001; 1979). No entanto, é no âmbito municipal que o zoneamento e as leis de uso e ocupação do solo ganham concretude (figura 1), definindo onde e como a verticalização pode ocorrer.</w:t>
      </w:r>
    </w:p>
    <w:p w:rsidR="00000000" w:rsidDel="00000000" w:rsidP="00000000" w:rsidRDefault="00000000" w:rsidRPr="00000000" w14:paraId="0000002D">
      <w:pPr>
        <w:shd w:fill="ffffff" w:val="clear"/>
        <w:tabs>
          <w:tab w:val="left" w:leader="none" w:pos="284"/>
        </w:tabs>
        <w:spacing w:line="360" w:lineRule="auto"/>
        <w:rPr>
          <w:color w:val="0f1115"/>
        </w:rPr>
      </w:pPr>
      <w:r w:rsidDel="00000000" w:rsidR="00000000" w:rsidRPr="00000000">
        <w:rPr>
          <w:rtl w:val="0"/>
        </w:rPr>
      </w:r>
    </w:p>
    <w:p w:rsidR="00000000" w:rsidDel="00000000" w:rsidP="00000000" w:rsidRDefault="00000000" w:rsidRPr="00000000" w14:paraId="0000002E">
      <w:pPr>
        <w:shd w:fill="ffffff" w:val="clear"/>
        <w:tabs>
          <w:tab w:val="left" w:leader="none" w:pos="284"/>
        </w:tabs>
        <w:spacing w:line="360" w:lineRule="auto"/>
        <w:jc w:val="center"/>
        <w:rPr>
          <w:color w:val="0f1115"/>
        </w:rPr>
      </w:pPr>
      <w:r w:rsidDel="00000000" w:rsidR="00000000" w:rsidRPr="00000000">
        <w:rPr>
          <w:color w:val="0f1115"/>
          <w:rtl w:val="0"/>
        </w:rPr>
        <w:t xml:space="preserve">Figura 1: Mapa de Zoneamento de Campos dos Goytacazes</w:t>
      </w:r>
    </w:p>
    <w:p w:rsidR="00000000" w:rsidDel="00000000" w:rsidP="00000000" w:rsidRDefault="00000000" w:rsidRPr="00000000" w14:paraId="0000002F">
      <w:pPr>
        <w:spacing w:line="360" w:lineRule="auto"/>
        <w:jc w:val="center"/>
        <w:rPr>
          <w:color w:val="333333"/>
          <w:sz w:val="30"/>
          <w:szCs w:val="30"/>
        </w:rPr>
      </w:pPr>
      <w:r w:rsidDel="00000000" w:rsidR="00000000" w:rsidRPr="00000000">
        <w:rPr>
          <w:color w:val="333333"/>
          <w:sz w:val="30"/>
          <w:szCs w:val="30"/>
        </w:rPr>
        <w:drawing>
          <wp:inline distB="114300" distT="114300" distL="114300" distR="114300">
            <wp:extent cx="2669400" cy="3720982"/>
            <wp:effectExtent b="0" l="0" r="0" t="0"/>
            <wp:docPr id="3" name="image3.jpg"/>
            <a:graphic>
              <a:graphicData uri="http://schemas.openxmlformats.org/drawingml/2006/picture">
                <pic:pic>
                  <pic:nvPicPr>
                    <pic:cNvPr id="0" name="image3.jpg"/>
                    <pic:cNvPicPr preferRelativeResize="0"/>
                  </pic:nvPicPr>
                  <pic:blipFill>
                    <a:blip r:embed="rId7"/>
                    <a:srcRect b="1482" l="2065" r="2025" t="4184"/>
                    <a:stretch>
                      <a:fillRect/>
                    </a:stretch>
                  </pic:blipFill>
                  <pic:spPr>
                    <a:xfrm>
                      <a:off x="0" y="0"/>
                      <a:ext cx="2669400" cy="3720982"/>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76" w:lineRule="auto"/>
        <w:ind w:left="566.9291338582678" w:right="576.062992125984" w:firstLine="0"/>
        <w:jc w:val="both"/>
        <w:rPr>
          <w:color w:val="333333"/>
          <w:sz w:val="30"/>
          <w:szCs w:val="30"/>
        </w:rPr>
      </w:pPr>
      <w:r w:rsidDel="00000000" w:rsidR="00000000" w:rsidRPr="00000000">
        <w:rPr>
          <w:sz w:val="20"/>
          <w:szCs w:val="20"/>
          <w:rtl w:val="0"/>
        </w:rPr>
        <w:t xml:space="preserve">Fonte: Blog do Professor Roberto Moraes. Disponível em </w:t>
      </w:r>
      <w:hyperlink r:id="rId8">
        <w:r w:rsidDel="00000000" w:rsidR="00000000" w:rsidRPr="00000000">
          <w:rPr>
            <w:color w:val="1155cc"/>
            <w:sz w:val="20"/>
            <w:szCs w:val="20"/>
            <w:u w:val="single"/>
            <w:rtl w:val="0"/>
          </w:rPr>
          <w:t xml:space="preserve">https://www.robertomoraes.com.br/2010/04/mapa-do-zoneamento-urbano-de-campos.html</w:t>
        </w:r>
      </w:hyperlink>
      <w:r w:rsidDel="00000000" w:rsidR="00000000" w:rsidRPr="00000000">
        <w:rPr>
          <w:rtl w:val="0"/>
        </w:rPr>
      </w:r>
    </w:p>
    <w:p w:rsidR="00000000" w:rsidDel="00000000" w:rsidP="00000000" w:rsidRDefault="00000000" w:rsidRPr="00000000" w14:paraId="00000031">
      <w:pPr>
        <w:shd w:fill="ffffff" w:val="clear"/>
        <w:tabs>
          <w:tab w:val="left" w:leader="none" w:pos="284"/>
        </w:tabs>
        <w:spacing w:line="360" w:lineRule="auto"/>
        <w:ind w:firstLine="850.3937007874017"/>
        <w:jc w:val="both"/>
        <w:rPr>
          <w:color w:val="0f1115"/>
        </w:rPr>
      </w:pPr>
      <w:r w:rsidDel="00000000" w:rsidR="00000000" w:rsidRPr="00000000">
        <w:rPr>
          <w:rtl w:val="0"/>
        </w:rPr>
      </w:r>
    </w:p>
    <w:p w:rsidR="00000000" w:rsidDel="00000000" w:rsidP="00000000" w:rsidRDefault="00000000" w:rsidRPr="00000000" w14:paraId="00000032">
      <w:pPr>
        <w:shd w:fill="ffffff" w:val="clear"/>
        <w:tabs>
          <w:tab w:val="left" w:leader="none" w:pos="284"/>
        </w:tabs>
        <w:spacing w:line="360" w:lineRule="auto"/>
        <w:ind w:firstLine="850.3937007874017"/>
        <w:jc w:val="both"/>
        <w:rPr>
          <w:color w:val="0f1115"/>
        </w:rPr>
      </w:pPr>
      <w:r w:rsidDel="00000000" w:rsidR="00000000" w:rsidRPr="00000000">
        <w:rPr>
          <w:color w:val="0f1115"/>
          <w:rtl w:val="0"/>
        </w:rPr>
        <w:t xml:space="preserve">Em Campos dos Goytacazes, o Plano Diretor e a Lei de Uso e Ocupação do Solo vigen</w:t>
      </w:r>
      <w:r w:rsidDel="00000000" w:rsidR="00000000" w:rsidRPr="00000000">
        <w:rPr>
          <w:rtl w:val="0"/>
        </w:rPr>
        <w:t xml:space="preserve">te era a Lei nº 7974, de 10 de dezembro de 2007 que em formas gerais era mais rígida que a atual em vigência a Lei Complementar nº 016/2020 que apresenta mais flexibilidade e modernizações, mas fora determinante para orientar o crescimento urbano (CAMPOS DOS GOYTACAZES, 2007; 2020). Os bairros Parq</w:t>
      </w:r>
      <w:r w:rsidDel="00000000" w:rsidR="00000000" w:rsidRPr="00000000">
        <w:rPr>
          <w:color w:val="0f1115"/>
          <w:rtl w:val="0"/>
        </w:rPr>
        <w:t xml:space="preserve">ue Avenida Pelinca e Parque Tamandaré, por exemplo, estão inseridos na Zona ZR-4, que permite uso residencial de média e alta densidade e comércio de bairro, criando as condições legais ideais para o processo de verticalização observado. Dessa forma, o Estado não é um espectador, mas um modelador ativo da paisagem urbana, criando as regras do jogo que beneficiam determinados agentes e interesses.</w:t>
      </w:r>
    </w:p>
    <w:p w:rsidR="00000000" w:rsidDel="00000000" w:rsidP="00000000" w:rsidRDefault="00000000" w:rsidRPr="00000000" w14:paraId="00000033">
      <w:pPr>
        <w:shd w:fill="ffffff" w:val="clear"/>
        <w:tabs>
          <w:tab w:val="left" w:leader="none" w:pos="284"/>
        </w:tabs>
        <w:spacing w:line="360" w:lineRule="auto"/>
        <w:ind w:firstLine="850.3937007874017"/>
        <w:jc w:val="both"/>
        <w:rPr>
          <w:color w:val="0f1115"/>
        </w:rPr>
      </w:pPr>
      <w:r w:rsidDel="00000000" w:rsidR="00000000" w:rsidRPr="00000000">
        <w:rPr>
          <w:color w:val="0f1115"/>
          <w:rtl w:val="0"/>
        </w:rPr>
        <w:t xml:space="preserve">A atuação do Estado como fomentador é igualmente crucial. A criação do Sistema Financeiro de Habitação (SFH) pela Lei nº 4.380/64 e do Banco Nacional da Habitação</w:t>
      </w:r>
      <w:r w:rsidDel="00000000" w:rsidR="00000000" w:rsidRPr="00000000">
        <w:rPr>
          <w:color w:val="0f1115"/>
          <w:vertAlign w:val="superscript"/>
        </w:rPr>
        <w:footnoteReference w:customMarkFollows="0" w:id="3"/>
      </w:r>
      <w:r w:rsidDel="00000000" w:rsidR="00000000" w:rsidRPr="00000000">
        <w:rPr>
          <w:color w:val="0f1115"/>
          <w:rtl w:val="0"/>
        </w:rPr>
        <w:t xml:space="preserve"> (BRASIL, 1964), </w:t>
      </w:r>
      <w:r w:rsidDel="00000000" w:rsidR="00000000" w:rsidRPr="00000000">
        <w:rPr>
          <w:rtl w:val="0"/>
        </w:rPr>
        <w:t xml:space="preserve">para estruturar uma política habitacional de interesse social e combater o déficit de moradias no Brasil. Esta legislação regulamentou a correção monetária em contratos imobiliários, permitiu o financiamento da casa própria, e instituiu mecanismos de captação de recursos como a Letra Imobiliária</w:t>
      </w:r>
      <w:r w:rsidDel="00000000" w:rsidR="00000000" w:rsidRPr="00000000">
        <w:rPr>
          <w:vertAlign w:val="superscript"/>
        </w:rPr>
        <w:footnoteReference w:customMarkFollows="0" w:id="4"/>
      </w:r>
      <w:r w:rsidDel="00000000" w:rsidR="00000000" w:rsidRPr="00000000">
        <w:rPr>
          <w:rtl w:val="0"/>
        </w:rPr>
        <w:t xml:space="preserve">. O Estado</w:t>
      </w:r>
      <w:r w:rsidDel="00000000" w:rsidR="00000000" w:rsidRPr="00000000">
        <w:rPr>
          <w:color w:val="0f1115"/>
          <w:rtl w:val="0"/>
        </w:rPr>
        <w:t xml:space="preserve"> brasileiro estruturou um sistema de crédito para viabilizar a construção e a aquisição da casa própria. A regulamentação do uso do Fundo de Garantia por Tempo de Serviço (FGTS) para o financiamento habitacional (Lei nº 8.036/90) injetou recursos massivos no setor.</w:t>
      </w:r>
    </w:p>
    <w:p w:rsidR="00000000" w:rsidDel="00000000" w:rsidP="00000000" w:rsidRDefault="00000000" w:rsidRPr="00000000" w14:paraId="00000034">
      <w:pPr>
        <w:shd w:fill="ffffff" w:val="clear"/>
        <w:tabs>
          <w:tab w:val="left" w:leader="none" w:pos="284"/>
        </w:tabs>
        <w:spacing w:line="360" w:lineRule="auto"/>
        <w:ind w:firstLine="850.3937007874017"/>
        <w:jc w:val="both"/>
        <w:rPr>
          <w:color w:val="0f1115"/>
        </w:rPr>
      </w:pPr>
      <w:r w:rsidDel="00000000" w:rsidR="00000000" w:rsidRPr="00000000">
        <w:rPr>
          <w:color w:val="0f1115"/>
          <w:rtl w:val="0"/>
        </w:rPr>
        <w:t xml:space="preserve">Posteriormente, a criação do Sistema Financeiro Imobiliário (SFI) pela Lei nº 9.514/97 flexibilizou as normas, ampliando o crédito para imóveis de médio e alto padrão (BRASIL, 1997), não sujeitos às mesmas regras do SFH, que atuava de forma mais rígida e voltada para imóveis populares.</w:t>
      </w:r>
    </w:p>
    <w:p w:rsidR="00000000" w:rsidDel="00000000" w:rsidP="00000000" w:rsidRDefault="00000000" w:rsidRPr="00000000" w14:paraId="00000035">
      <w:pPr>
        <w:shd w:fill="ffffff" w:val="clear"/>
        <w:tabs>
          <w:tab w:val="left" w:leader="none" w:pos="284"/>
        </w:tabs>
        <w:spacing w:line="360" w:lineRule="auto"/>
        <w:ind w:firstLine="850.3937007874017"/>
        <w:jc w:val="both"/>
        <w:rPr>
          <w:b w:val="1"/>
          <w:color w:val="0f1115"/>
          <w:highlight w:val="white"/>
        </w:rPr>
      </w:pPr>
      <w:r w:rsidDel="00000000" w:rsidR="00000000" w:rsidRPr="00000000">
        <w:rPr>
          <w:color w:val="0f1115"/>
          <w:rtl w:val="0"/>
        </w:rPr>
        <w:t xml:space="preserve">Através de normas estabelecidas (BANCO CENTRAL, 2022;2017) estabeleceu </w:t>
      </w:r>
      <w:r w:rsidDel="00000000" w:rsidR="00000000" w:rsidRPr="00000000">
        <w:rPr>
          <w:rtl w:val="0"/>
        </w:rPr>
        <w:t xml:space="preserve">o</w:t>
      </w:r>
      <w:r w:rsidDel="00000000" w:rsidR="00000000" w:rsidRPr="00000000">
        <w:rPr>
          <w:color w:val="0f1115"/>
          <w:rtl w:val="0"/>
        </w:rPr>
        <w:t xml:space="preserve"> Gerenciamento de Risco de Crédito (GERIC) em especia</w:t>
      </w:r>
      <w:r w:rsidDel="00000000" w:rsidR="00000000" w:rsidRPr="00000000">
        <w:rPr>
          <w:rtl w:val="0"/>
        </w:rPr>
        <w:t xml:space="preserve">l com a Resolução BCB n° 265 de 25/11/2022 e a Resolução CMN n° 4.557 de 23/2/2017</w:t>
      </w:r>
      <w:r w:rsidDel="00000000" w:rsidR="00000000" w:rsidRPr="00000000">
        <w:rPr>
          <w:color w:val="0f1115"/>
          <w:rtl w:val="0"/>
        </w:rPr>
        <w:t xml:space="preserve">, materializado dentro da Caixa Econômica Federal (CEF) onde Estado garante o fluxo de capital para as construtoras, mediante a avaliação da saúde da empresa, avaliando sua confiabilidade e dessa forma garantindo a conclusão de empreendimentos, financiando-os e fechando o circuito da financeirização.</w:t>
      </w:r>
      <w:r w:rsidDel="00000000" w:rsidR="00000000" w:rsidRPr="00000000">
        <w:rPr>
          <w:rtl w:val="0"/>
        </w:rPr>
      </w:r>
    </w:p>
    <w:p w:rsidR="00000000" w:rsidDel="00000000" w:rsidP="00000000" w:rsidRDefault="00000000" w:rsidRPr="00000000" w14:paraId="00000036">
      <w:pPr>
        <w:shd w:fill="ffffff" w:val="clear"/>
        <w:tabs>
          <w:tab w:val="left" w:leader="none" w:pos="284"/>
        </w:tabs>
        <w:spacing w:after="240" w:before="240" w:line="360" w:lineRule="auto"/>
        <w:jc w:val="both"/>
        <w:rPr>
          <w:color w:val="0f1115"/>
          <w:highlight w:val="white"/>
        </w:rPr>
      </w:pPr>
      <w:r w:rsidDel="00000000" w:rsidR="00000000" w:rsidRPr="00000000">
        <w:rPr>
          <w:color w:val="0f1115"/>
          <w:highlight w:val="white"/>
          <w:rtl w:val="0"/>
        </w:rPr>
        <w:t xml:space="preserve">4.2 EMPREGOS NA CONSTRUÇÃO DE EDIFÍCIOS</w:t>
      </w:r>
    </w:p>
    <w:p w:rsidR="00000000" w:rsidDel="00000000" w:rsidP="00000000" w:rsidRDefault="00000000" w:rsidRPr="00000000" w14:paraId="00000037">
      <w:pPr>
        <w:shd w:fill="ffffff" w:val="clear"/>
        <w:tabs>
          <w:tab w:val="left" w:leader="none" w:pos="284"/>
        </w:tabs>
        <w:spacing w:after="240" w:before="240" w:line="360" w:lineRule="auto"/>
        <w:ind w:firstLine="850.3937007874017"/>
        <w:jc w:val="both"/>
        <w:rPr>
          <w:color w:val="0070c0"/>
          <w:sz w:val="22"/>
          <w:szCs w:val="22"/>
        </w:rPr>
      </w:pPr>
      <w:r w:rsidDel="00000000" w:rsidR="00000000" w:rsidRPr="00000000">
        <w:rPr>
          <w:color w:val="0f1115"/>
          <w:highlight w:val="white"/>
          <w:rtl w:val="0"/>
        </w:rPr>
        <w:t xml:space="preserve">A análise dos empregos no setor da construção civil em Campos dos Goytacazes entre 2010 e 2020 revela um cenário marcado por uma dissociação entre a quantidade de empresas ativas e o número de trabalhadores formais. </w:t>
      </w:r>
      <w:r w:rsidDel="00000000" w:rsidR="00000000" w:rsidRPr="00000000">
        <w:rPr>
          <w:rtl w:val="0"/>
        </w:rPr>
      </w:r>
    </w:p>
    <w:p w:rsidR="00000000" w:rsidDel="00000000" w:rsidP="00000000" w:rsidRDefault="00000000" w:rsidRPr="00000000" w14:paraId="00000038">
      <w:pPr>
        <w:jc w:val="center"/>
        <w:rPr>
          <w:sz w:val="20"/>
          <w:szCs w:val="20"/>
        </w:rPr>
      </w:pPr>
      <w:r w:rsidDel="00000000" w:rsidR="00000000" w:rsidRPr="00000000">
        <w:rPr>
          <w:sz w:val="20"/>
          <w:szCs w:val="20"/>
          <w:rtl w:val="0"/>
        </w:rPr>
        <w:t xml:space="preserve">Tabela 1 - Empresas e Empregos na Construção de Edíficios</w:t>
      </w:r>
    </w:p>
    <w:tbl>
      <w:tblPr>
        <w:tblStyle w:val="Table1"/>
        <w:tblW w:w="8505.0" w:type="dxa"/>
        <w:jc w:val="center"/>
        <w:tblLayout w:type="fixed"/>
        <w:tblLook w:val="0400"/>
      </w:tblPr>
      <w:tblGrid>
        <w:gridCol w:w="1635"/>
        <w:gridCol w:w="1575"/>
        <w:gridCol w:w="1845"/>
        <w:gridCol w:w="1770"/>
        <w:gridCol w:w="1680"/>
        <w:tblGridChange w:id="0">
          <w:tblGrid>
            <w:gridCol w:w="1635"/>
            <w:gridCol w:w="1575"/>
            <w:gridCol w:w="1845"/>
            <w:gridCol w:w="1770"/>
            <w:gridCol w:w="1680"/>
          </w:tblGrid>
        </w:tblGridChange>
      </w:tblGrid>
      <w:tr>
        <w:trPr>
          <w:cantSplit w:val="0"/>
          <w:trHeight w:val="431.0595703125" w:hRule="atLeast"/>
          <w:tblHeader w:val="0"/>
        </w:trPr>
        <w:tc>
          <w:tcPr>
            <w:tcBorders>
              <w:top w:color="000000" w:space="0" w:sz="12" w:val="single"/>
              <w:left w:color="000000" w:space="0" w:sz="0" w:val="nil"/>
              <w:bottom w:color="000000" w:space="0" w:sz="12" w:val="single"/>
              <w:right w:color="000000" w:space="0" w:sz="0" w:val="nil"/>
            </w:tcBorders>
            <w:shd w:fill="d9d9d9" w:val="clear"/>
            <w:vAlign w:val="center"/>
          </w:tcPr>
          <w:p w:rsidR="00000000" w:rsidDel="00000000" w:rsidP="00000000" w:rsidRDefault="00000000" w:rsidRPr="00000000" w14:paraId="00000039">
            <w:pPr>
              <w:spacing w:line="276" w:lineRule="auto"/>
              <w:jc w:val="center"/>
              <w:rPr>
                <w:b w:val="1"/>
                <w:sz w:val="20"/>
                <w:szCs w:val="20"/>
              </w:rPr>
            </w:pPr>
            <w:r w:rsidDel="00000000" w:rsidR="00000000" w:rsidRPr="00000000">
              <w:rPr>
                <w:b w:val="1"/>
                <w:sz w:val="20"/>
                <w:szCs w:val="20"/>
                <w:rtl w:val="0"/>
              </w:rPr>
              <w:t xml:space="preserve">Ano</w:t>
            </w:r>
          </w:p>
        </w:tc>
        <w:tc>
          <w:tcPr>
            <w:tcBorders>
              <w:top w:color="000000" w:space="0" w:sz="12" w:val="single"/>
              <w:left w:color="000000" w:space="0" w:sz="0" w:val="nil"/>
              <w:bottom w:color="000000" w:space="0" w:sz="12" w:val="single"/>
              <w:right w:color="000000" w:space="0" w:sz="0" w:val="nil"/>
            </w:tcBorders>
            <w:shd w:fill="d9d9d9" w:val="clear"/>
            <w:vAlign w:val="center"/>
          </w:tcPr>
          <w:p w:rsidR="00000000" w:rsidDel="00000000" w:rsidP="00000000" w:rsidRDefault="00000000" w:rsidRPr="00000000" w14:paraId="0000003A">
            <w:pPr>
              <w:spacing w:line="276" w:lineRule="auto"/>
              <w:jc w:val="center"/>
              <w:rPr>
                <w:b w:val="1"/>
                <w:sz w:val="20"/>
                <w:szCs w:val="20"/>
              </w:rPr>
            </w:pPr>
            <w:r w:rsidDel="00000000" w:rsidR="00000000" w:rsidRPr="00000000">
              <w:rPr>
                <w:b w:val="1"/>
                <w:sz w:val="20"/>
                <w:szCs w:val="20"/>
                <w:rtl w:val="0"/>
              </w:rPr>
              <w:t xml:space="preserve">Empresas</w:t>
              <w:br w:type="textWrapping"/>
              <w:t xml:space="preserve">Ativas </w:t>
            </w:r>
          </w:p>
        </w:tc>
        <w:tc>
          <w:tcPr>
            <w:tcBorders>
              <w:top w:color="000000" w:space="0" w:sz="12" w:val="single"/>
              <w:left w:color="000000" w:space="0" w:sz="0" w:val="nil"/>
              <w:bottom w:color="000000" w:space="0" w:sz="12" w:val="single"/>
              <w:right w:color="000000" w:space="0" w:sz="0" w:val="nil"/>
            </w:tcBorders>
            <w:shd w:fill="d9d9d9" w:val="clear"/>
            <w:vAlign w:val="center"/>
          </w:tcPr>
          <w:p w:rsidR="00000000" w:rsidDel="00000000" w:rsidP="00000000" w:rsidRDefault="00000000" w:rsidRPr="00000000" w14:paraId="0000003B">
            <w:pPr>
              <w:spacing w:line="395.99999999999994" w:lineRule="auto"/>
              <w:jc w:val="center"/>
              <w:rPr>
                <w:b w:val="1"/>
                <w:color w:val="0f1115"/>
                <w:sz w:val="20"/>
                <w:szCs w:val="20"/>
              </w:rPr>
            </w:pPr>
            <w:r w:rsidDel="00000000" w:rsidR="00000000" w:rsidRPr="00000000">
              <w:rPr>
                <w:b w:val="1"/>
                <w:color w:val="0f1115"/>
                <w:sz w:val="20"/>
                <w:szCs w:val="20"/>
                <w:rtl w:val="0"/>
              </w:rPr>
              <w:t xml:space="preserve">Variação (%)</w:t>
            </w:r>
          </w:p>
        </w:tc>
        <w:tc>
          <w:tcPr>
            <w:tcBorders>
              <w:top w:color="000000" w:space="0" w:sz="12" w:val="single"/>
              <w:left w:color="000000" w:space="0" w:sz="0" w:val="nil"/>
              <w:bottom w:color="000000" w:space="0" w:sz="12" w:val="single"/>
              <w:right w:color="000000" w:space="0" w:sz="0" w:val="nil"/>
            </w:tcBorders>
            <w:shd w:fill="d9d9d9" w:val="clear"/>
            <w:vAlign w:val="center"/>
          </w:tcPr>
          <w:p w:rsidR="00000000" w:rsidDel="00000000" w:rsidP="00000000" w:rsidRDefault="00000000" w:rsidRPr="00000000" w14:paraId="0000003C">
            <w:pPr>
              <w:spacing w:line="276" w:lineRule="auto"/>
              <w:jc w:val="center"/>
              <w:rPr>
                <w:b w:val="1"/>
                <w:sz w:val="20"/>
                <w:szCs w:val="20"/>
              </w:rPr>
            </w:pPr>
            <w:r w:rsidDel="00000000" w:rsidR="00000000" w:rsidRPr="00000000">
              <w:rPr>
                <w:b w:val="1"/>
                <w:sz w:val="20"/>
                <w:szCs w:val="20"/>
                <w:rtl w:val="0"/>
              </w:rPr>
              <w:t xml:space="preserve">Empregos (CLT)</w:t>
            </w:r>
          </w:p>
        </w:tc>
        <w:tc>
          <w:tcPr>
            <w:tcBorders>
              <w:top w:color="000000" w:space="0" w:sz="12" w:val="single"/>
              <w:left w:color="000000" w:space="0" w:sz="0" w:val="nil"/>
              <w:bottom w:color="000000" w:space="0" w:sz="12" w:val="single"/>
              <w:right w:color="000000" w:space="0" w:sz="0" w:val="nil"/>
            </w:tcBorders>
            <w:shd w:fill="d9d9d9" w:val="clear"/>
            <w:vAlign w:val="center"/>
          </w:tcPr>
          <w:p w:rsidR="00000000" w:rsidDel="00000000" w:rsidP="00000000" w:rsidRDefault="00000000" w:rsidRPr="00000000" w14:paraId="0000003D">
            <w:pPr>
              <w:spacing w:line="395.99999999999994" w:lineRule="auto"/>
              <w:jc w:val="center"/>
              <w:rPr>
                <w:b w:val="1"/>
                <w:sz w:val="20"/>
                <w:szCs w:val="20"/>
              </w:rPr>
            </w:pPr>
            <w:r w:rsidDel="00000000" w:rsidR="00000000" w:rsidRPr="00000000">
              <w:rPr>
                <w:b w:val="1"/>
                <w:color w:val="0f1115"/>
                <w:sz w:val="20"/>
                <w:szCs w:val="20"/>
                <w:rtl w:val="0"/>
              </w:rPr>
              <w:t xml:space="preserve">Variação (%)</w:t>
            </w:r>
            <w:r w:rsidDel="00000000" w:rsidR="00000000" w:rsidRPr="00000000">
              <w:rPr>
                <w:rtl w:val="0"/>
              </w:rPr>
            </w:r>
          </w:p>
        </w:tc>
      </w:tr>
      <w:tr>
        <w:trPr>
          <w:cantSplit w:val="0"/>
          <w:tblHeader w:val="0"/>
        </w:trPr>
        <w:tc>
          <w:tcPr>
            <w:tcBorders>
              <w:top w:color="000000" w:space="0" w:sz="12" w:val="single"/>
              <w:left w:color="000000" w:space="0" w:sz="0" w:val="nil"/>
              <w:bottom w:color="000000" w:space="0" w:sz="0" w:val="nil"/>
              <w:right w:color="000000" w:space="0" w:sz="0" w:val="nil"/>
            </w:tcBorders>
          </w:tcPr>
          <w:p w:rsidR="00000000" w:rsidDel="00000000" w:rsidP="00000000" w:rsidRDefault="00000000" w:rsidRPr="00000000" w14:paraId="0000003E">
            <w:pPr>
              <w:tabs>
                <w:tab w:val="left" w:leader="none" w:pos="397"/>
              </w:tabs>
              <w:spacing w:line="276" w:lineRule="auto"/>
              <w:rPr>
                <w:sz w:val="20"/>
                <w:szCs w:val="20"/>
              </w:rPr>
            </w:pPr>
            <w:r w:rsidDel="00000000" w:rsidR="00000000" w:rsidRPr="00000000">
              <w:rPr>
                <w:sz w:val="20"/>
                <w:szCs w:val="20"/>
                <w:rtl w:val="0"/>
              </w:rPr>
              <w:t xml:space="preserve">2010</w:t>
            </w:r>
          </w:p>
        </w:tc>
        <w:tc>
          <w:tcPr>
            <w:tcBorders>
              <w:top w:color="000000" w:space="0" w:sz="12" w:val="single"/>
              <w:left w:color="000000" w:space="0" w:sz="0" w:val="nil"/>
              <w:bottom w:color="000000" w:space="0" w:sz="0" w:val="nil"/>
              <w:right w:color="000000" w:space="0" w:sz="0" w:val="nil"/>
            </w:tcBorders>
          </w:tcPr>
          <w:p w:rsidR="00000000" w:rsidDel="00000000" w:rsidP="00000000" w:rsidRDefault="00000000" w:rsidRPr="00000000" w14:paraId="0000003F">
            <w:pPr>
              <w:tabs>
                <w:tab w:val="left" w:leader="none" w:pos="397"/>
              </w:tabs>
              <w:spacing w:line="276" w:lineRule="auto"/>
              <w:jc w:val="center"/>
              <w:rPr>
                <w:sz w:val="20"/>
                <w:szCs w:val="20"/>
              </w:rPr>
            </w:pPr>
            <w:r w:rsidDel="00000000" w:rsidR="00000000" w:rsidRPr="00000000">
              <w:rPr>
                <w:sz w:val="20"/>
                <w:szCs w:val="20"/>
                <w:rtl w:val="0"/>
              </w:rPr>
              <w:t xml:space="preserve">25</w:t>
            </w:r>
          </w:p>
        </w:tc>
        <w:tc>
          <w:tcPr>
            <w:tcBorders>
              <w:top w:color="000000" w:space="0" w:sz="12" w:val="single"/>
              <w:left w:color="000000" w:space="0" w:sz="0" w:val="nil"/>
              <w:bottom w:color="000000" w:space="0" w:sz="0" w:val="nil"/>
              <w:right w:color="000000" w:space="0" w:sz="0" w:val="nil"/>
            </w:tcBorders>
          </w:tcPr>
          <w:p w:rsidR="00000000" w:rsidDel="00000000" w:rsidP="00000000" w:rsidRDefault="00000000" w:rsidRPr="00000000" w14:paraId="00000040">
            <w:pPr>
              <w:jc w:val="center"/>
              <w:rPr>
                <w:sz w:val="20"/>
                <w:szCs w:val="20"/>
              </w:rPr>
            </w:pPr>
            <w:r w:rsidDel="00000000" w:rsidR="00000000" w:rsidRPr="00000000">
              <w:rPr>
                <w:sz w:val="20"/>
                <w:szCs w:val="20"/>
                <w:rtl w:val="0"/>
              </w:rPr>
              <w:t xml:space="preserve">-</w:t>
            </w:r>
          </w:p>
        </w:tc>
        <w:tc>
          <w:tcPr>
            <w:tcBorders>
              <w:top w:color="000000" w:space="0" w:sz="12" w:val="single"/>
              <w:left w:color="000000" w:space="0" w:sz="0" w:val="nil"/>
              <w:bottom w:color="000000" w:space="0" w:sz="0" w:val="nil"/>
              <w:right w:color="000000" w:space="0" w:sz="0" w:val="nil"/>
            </w:tcBorders>
          </w:tcPr>
          <w:p w:rsidR="00000000" w:rsidDel="00000000" w:rsidP="00000000" w:rsidRDefault="00000000" w:rsidRPr="00000000" w14:paraId="00000041">
            <w:pPr>
              <w:jc w:val="center"/>
              <w:rPr>
                <w:sz w:val="20"/>
                <w:szCs w:val="20"/>
              </w:rPr>
            </w:pPr>
            <w:r w:rsidDel="00000000" w:rsidR="00000000" w:rsidRPr="00000000">
              <w:rPr>
                <w:sz w:val="20"/>
                <w:szCs w:val="20"/>
                <w:rtl w:val="0"/>
              </w:rPr>
              <w:t xml:space="preserve">1150</w:t>
            </w:r>
          </w:p>
        </w:tc>
        <w:tc>
          <w:tcPr>
            <w:tcBorders>
              <w:top w:color="000000" w:space="0" w:sz="12" w:val="single"/>
              <w:left w:color="000000" w:space="0" w:sz="0" w:val="nil"/>
              <w:bottom w:color="000000" w:space="0" w:sz="0" w:val="nil"/>
              <w:right w:color="000000" w:space="0" w:sz="0" w:val="nil"/>
            </w:tcBorders>
          </w:tcPr>
          <w:p w:rsidR="00000000" w:rsidDel="00000000" w:rsidP="00000000" w:rsidRDefault="00000000" w:rsidRPr="00000000" w14:paraId="00000042">
            <w:pPr>
              <w:jc w:val="center"/>
              <w:rPr>
                <w:sz w:val="20"/>
                <w:szCs w:val="20"/>
              </w:rPr>
            </w:pPr>
            <w:r w:rsidDel="00000000" w:rsidR="00000000" w:rsidRPr="00000000">
              <w:rPr>
                <w:sz w:val="20"/>
                <w:szCs w:val="20"/>
                <w:rtl w:val="0"/>
              </w:rPr>
              <w:t xml:space="preserve">-</w:t>
            </w:r>
          </w:p>
        </w:tc>
      </w:tr>
      <w:tr>
        <w:trPr>
          <w:cantSplit w:val="0"/>
          <w:tblHeader w:val="0"/>
        </w:trPr>
        <w:tc>
          <w:tcPr>
            <w:tcBorders>
              <w:top w:color="ffffff" w:space="0" w:sz="12" w:val="single"/>
              <w:left w:color="000000" w:space="0" w:sz="0" w:val="nil"/>
              <w:bottom w:color="000000" w:space="0" w:sz="0" w:val="nil"/>
              <w:right w:color="000000" w:space="0" w:sz="0" w:val="nil"/>
            </w:tcBorders>
          </w:tcPr>
          <w:p w:rsidR="00000000" w:rsidDel="00000000" w:rsidP="00000000" w:rsidRDefault="00000000" w:rsidRPr="00000000" w14:paraId="00000043">
            <w:pPr>
              <w:tabs>
                <w:tab w:val="left" w:leader="none" w:pos="397"/>
              </w:tabs>
              <w:spacing w:line="276" w:lineRule="auto"/>
              <w:rPr>
                <w:sz w:val="20"/>
                <w:szCs w:val="20"/>
              </w:rPr>
            </w:pPr>
            <w:r w:rsidDel="00000000" w:rsidR="00000000" w:rsidRPr="00000000">
              <w:rPr>
                <w:sz w:val="20"/>
                <w:szCs w:val="20"/>
                <w:rtl w:val="0"/>
              </w:rPr>
              <w:t xml:space="preserve">2011</w:t>
            </w:r>
          </w:p>
        </w:tc>
        <w:tc>
          <w:tcPr>
            <w:tcBorders>
              <w:top w:color="ffffff" w:space="0" w:sz="12" w:val="single"/>
              <w:left w:color="000000" w:space="0" w:sz="0" w:val="nil"/>
              <w:bottom w:color="000000" w:space="0" w:sz="0" w:val="nil"/>
              <w:right w:color="000000" w:space="0" w:sz="0" w:val="nil"/>
            </w:tcBorders>
          </w:tcPr>
          <w:p w:rsidR="00000000" w:rsidDel="00000000" w:rsidP="00000000" w:rsidRDefault="00000000" w:rsidRPr="00000000" w14:paraId="00000044">
            <w:pPr>
              <w:tabs>
                <w:tab w:val="left" w:leader="none" w:pos="397"/>
              </w:tabs>
              <w:spacing w:line="276" w:lineRule="auto"/>
              <w:jc w:val="center"/>
              <w:rPr>
                <w:sz w:val="20"/>
                <w:szCs w:val="20"/>
              </w:rPr>
            </w:pPr>
            <w:r w:rsidDel="00000000" w:rsidR="00000000" w:rsidRPr="00000000">
              <w:rPr>
                <w:sz w:val="20"/>
                <w:szCs w:val="20"/>
                <w:rtl w:val="0"/>
              </w:rPr>
              <w:t xml:space="preserve">32</w:t>
            </w:r>
          </w:p>
        </w:tc>
        <w:tc>
          <w:tcPr>
            <w:tcBorders>
              <w:top w:color="ffffff" w:space="0" w:sz="12" w:val="single"/>
              <w:left w:color="000000" w:space="0" w:sz="0" w:val="nil"/>
              <w:bottom w:color="000000" w:space="0" w:sz="0" w:val="nil"/>
              <w:right w:color="000000" w:space="0" w:sz="0" w:val="nil"/>
            </w:tcBorders>
          </w:tcPr>
          <w:p w:rsidR="00000000" w:rsidDel="00000000" w:rsidP="00000000" w:rsidRDefault="00000000" w:rsidRPr="00000000" w14:paraId="00000045">
            <w:pPr>
              <w:jc w:val="center"/>
              <w:rPr>
                <w:sz w:val="20"/>
                <w:szCs w:val="20"/>
              </w:rPr>
            </w:pPr>
            <w:r w:rsidDel="00000000" w:rsidR="00000000" w:rsidRPr="00000000">
              <w:rPr>
                <w:sz w:val="20"/>
                <w:szCs w:val="20"/>
                <w:rtl w:val="0"/>
              </w:rPr>
              <w:t xml:space="preserve">+28</w:t>
            </w:r>
          </w:p>
        </w:tc>
        <w:tc>
          <w:tcPr>
            <w:tcBorders>
              <w:top w:color="ffffff" w:space="0" w:sz="12" w:val="single"/>
              <w:left w:color="000000" w:space="0" w:sz="0" w:val="nil"/>
              <w:bottom w:color="000000" w:space="0" w:sz="0" w:val="nil"/>
              <w:right w:color="000000" w:space="0" w:sz="0" w:val="nil"/>
            </w:tcBorders>
          </w:tcPr>
          <w:p w:rsidR="00000000" w:rsidDel="00000000" w:rsidP="00000000" w:rsidRDefault="00000000" w:rsidRPr="00000000" w14:paraId="00000046">
            <w:pPr>
              <w:jc w:val="center"/>
              <w:rPr>
                <w:sz w:val="20"/>
                <w:szCs w:val="20"/>
              </w:rPr>
            </w:pPr>
            <w:r w:rsidDel="00000000" w:rsidR="00000000" w:rsidRPr="00000000">
              <w:rPr>
                <w:sz w:val="20"/>
                <w:szCs w:val="20"/>
                <w:rtl w:val="0"/>
              </w:rPr>
              <w:t xml:space="preserve">1320</w:t>
            </w:r>
          </w:p>
        </w:tc>
        <w:tc>
          <w:tcPr>
            <w:tcBorders>
              <w:top w:color="ffffff" w:space="0" w:sz="12" w:val="single"/>
              <w:left w:color="000000" w:space="0" w:sz="0" w:val="nil"/>
              <w:bottom w:color="000000" w:space="0" w:sz="0" w:val="nil"/>
              <w:right w:color="000000" w:space="0" w:sz="0" w:val="nil"/>
            </w:tcBorders>
          </w:tcPr>
          <w:p w:rsidR="00000000" w:rsidDel="00000000" w:rsidP="00000000" w:rsidRDefault="00000000" w:rsidRPr="00000000" w14:paraId="00000047">
            <w:pPr>
              <w:jc w:val="center"/>
              <w:rPr>
                <w:sz w:val="20"/>
                <w:szCs w:val="20"/>
              </w:rPr>
            </w:pPr>
            <w:r w:rsidDel="00000000" w:rsidR="00000000" w:rsidRPr="00000000">
              <w:rPr>
                <w:sz w:val="20"/>
                <w:szCs w:val="20"/>
                <w:rtl w:val="0"/>
              </w:rPr>
              <w:t xml:space="preserve">+15</w:t>
            </w:r>
          </w:p>
        </w:tc>
      </w:tr>
      <w:tr>
        <w:trPr>
          <w:cantSplit w:val="0"/>
          <w:trHeight w:val="193.02978515625" w:hRule="atLeast"/>
          <w:tblHeader w:val="0"/>
        </w:trPr>
        <w:tc>
          <w:tcPr>
            <w:tcBorders>
              <w:top w:color="ffffff" w:space="0" w:sz="12" w:val="single"/>
              <w:left w:color="000000" w:space="0" w:sz="0" w:val="nil"/>
              <w:bottom w:color="000000" w:space="0" w:sz="0" w:val="nil"/>
              <w:right w:color="000000" w:space="0" w:sz="0" w:val="nil"/>
            </w:tcBorders>
          </w:tcPr>
          <w:p w:rsidR="00000000" w:rsidDel="00000000" w:rsidP="00000000" w:rsidRDefault="00000000" w:rsidRPr="00000000" w14:paraId="00000048">
            <w:pPr>
              <w:tabs>
                <w:tab w:val="left" w:leader="none" w:pos="397"/>
              </w:tabs>
              <w:spacing w:line="276" w:lineRule="auto"/>
              <w:rPr>
                <w:sz w:val="20"/>
                <w:szCs w:val="20"/>
              </w:rPr>
            </w:pPr>
            <w:r w:rsidDel="00000000" w:rsidR="00000000" w:rsidRPr="00000000">
              <w:rPr>
                <w:sz w:val="20"/>
                <w:szCs w:val="20"/>
                <w:rtl w:val="0"/>
              </w:rPr>
              <w:t xml:space="preserve">2012</w:t>
            </w:r>
          </w:p>
        </w:tc>
        <w:tc>
          <w:tcPr>
            <w:tcBorders>
              <w:top w:color="ffffff" w:space="0" w:sz="12" w:val="single"/>
              <w:left w:color="000000" w:space="0" w:sz="0" w:val="nil"/>
              <w:bottom w:color="000000" w:space="0" w:sz="0" w:val="nil"/>
              <w:right w:color="000000" w:space="0" w:sz="0" w:val="nil"/>
            </w:tcBorders>
          </w:tcPr>
          <w:p w:rsidR="00000000" w:rsidDel="00000000" w:rsidP="00000000" w:rsidRDefault="00000000" w:rsidRPr="00000000" w14:paraId="00000049">
            <w:pPr>
              <w:tabs>
                <w:tab w:val="left" w:leader="none" w:pos="397"/>
              </w:tabs>
              <w:spacing w:line="276" w:lineRule="auto"/>
              <w:jc w:val="center"/>
              <w:rPr>
                <w:sz w:val="20"/>
                <w:szCs w:val="20"/>
              </w:rPr>
            </w:pPr>
            <w:r w:rsidDel="00000000" w:rsidR="00000000" w:rsidRPr="00000000">
              <w:rPr>
                <w:sz w:val="20"/>
                <w:szCs w:val="20"/>
                <w:rtl w:val="0"/>
              </w:rPr>
              <w:t xml:space="preserve">38</w:t>
            </w:r>
          </w:p>
        </w:tc>
        <w:tc>
          <w:tcPr>
            <w:tcBorders>
              <w:top w:color="ffffff" w:space="0" w:sz="12" w:val="single"/>
              <w:left w:color="000000" w:space="0" w:sz="0" w:val="nil"/>
              <w:bottom w:color="000000" w:space="0" w:sz="0" w:val="nil"/>
              <w:right w:color="000000" w:space="0" w:sz="0" w:val="nil"/>
            </w:tcBorders>
          </w:tcPr>
          <w:p w:rsidR="00000000" w:rsidDel="00000000" w:rsidP="00000000" w:rsidRDefault="00000000" w:rsidRPr="00000000" w14:paraId="0000004A">
            <w:pPr>
              <w:jc w:val="center"/>
              <w:rPr>
                <w:sz w:val="20"/>
                <w:szCs w:val="20"/>
              </w:rPr>
            </w:pPr>
            <w:r w:rsidDel="00000000" w:rsidR="00000000" w:rsidRPr="00000000">
              <w:rPr>
                <w:sz w:val="20"/>
                <w:szCs w:val="20"/>
                <w:rtl w:val="0"/>
              </w:rPr>
              <w:t xml:space="preserve">+19</w:t>
            </w:r>
          </w:p>
        </w:tc>
        <w:tc>
          <w:tcPr>
            <w:tcBorders>
              <w:top w:color="ffffff" w:space="0" w:sz="12" w:val="single"/>
              <w:left w:color="000000" w:space="0" w:sz="0" w:val="nil"/>
              <w:bottom w:color="000000" w:space="0" w:sz="0" w:val="nil"/>
              <w:right w:color="000000" w:space="0" w:sz="0" w:val="nil"/>
            </w:tcBorders>
          </w:tcPr>
          <w:p w:rsidR="00000000" w:rsidDel="00000000" w:rsidP="00000000" w:rsidRDefault="00000000" w:rsidRPr="00000000" w14:paraId="0000004B">
            <w:pPr>
              <w:jc w:val="center"/>
              <w:rPr>
                <w:sz w:val="20"/>
                <w:szCs w:val="20"/>
              </w:rPr>
            </w:pPr>
            <w:r w:rsidDel="00000000" w:rsidR="00000000" w:rsidRPr="00000000">
              <w:rPr>
                <w:sz w:val="20"/>
                <w:szCs w:val="20"/>
                <w:rtl w:val="0"/>
              </w:rPr>
              <w:t xml:space="preserve">1450</w:t>
            </w:r>
          </w:p>
        </w:tc>
        <w:tc>
          <w:tcPr>
            <w:tcBorders>
              <w:top w:color="ffffff" w:space="0" w:sz="12" w:val="single"/>
              <w:left w:color="000000" w:space="0" w:sz="0" w:val="nil"/>
              <w:bottom w:color="000000" w:space="0" w:sz="0" w:val="nil"/>
              <w:right w:color="000000" w:space="0" w:sz="0" w:val="nil"/>
            </w:tcBorders>
          </w:tcPr>
          <w:p w:rsidR="00000000" w:rsidDel="00000000" w:rsidP="00000000" w:rsidRDefault="00000000" w:rsidRPr="00000000" w14:paraId="0000004C">
            <w:pPr>
              <w:jc w:val="center"/>
              <w:rPr>
                <w:sz w:val="20"/>
                <w:szCs w:val="20"/>
              </w:rPr>
            </w:pPr>
            <w:r w:rsidDel="00000000" w:rsidR="00000000" w:rsidRPr="00000000">
              <w:rPr>
                <w:sz w:val="20"/>
                <w:szCs w:val="20"/>
                <w:rtl w:val="0"/>
              </w:rPr>
              <w:t xml:space="preserve">+10</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D">
            <w:pPr>
              <w:tabs>
                <w:tab w:val="left" w:leader="none" w:pos="397"/>
              </w:tabs>
              <w:spacing w:line="276" w:lineRule="auto"/>
              <w:rPr>
                <w:sz w:val="20"/>
                <w:szCs w:val="20"/>
              </w:rPr>
            </w:pPr>
            <w:r w:rsidDel="00000000" w:rsidR="00000000" w:rsidRPr="00000000">
              <w:rPr>
                <w:sz w:val="20"/>
                <w:szCs w:val="20"/>
                <w:rtl w:val="0"/>
              </w:rPr>
              <w:t xml:space="preserve">2013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E">
            <w:pPr>
              <w:jc w:val="center"/>
              <w:rPr>
                <w:sz w:val="20"/>
                <w:szCs w:val="20"/>
              </w:rPr>
            </w:pPr>
            <w:r w:rsidDel="00000000" w:rsidR="00000000" w:rsidRPr="00000000">
              <w:rPr>
                <w:sz w:val="20"/>
                <w:szCs w:val="20"/>
                <w:rtl w:val="0"/>
              </w:rPr>
              <w:t xml:space="preserve">42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F">
            <w:pPr>
              <w:jc w:val="center"/>
              <w:rPr>
                <w:sz w:val="20"/>
                <w:szCs w:val="20"/>
              </w:rPr>
            </w:pPr>
            <w:r w:rsidDel="00000000" w:rsidR="00000000" w:rsidRPr="00000000">
              <w:rPr>
                <w:sz w:val="20"/>
                <w:szCs w:val="20"/>
                <w:rtl w:val="0"/>
              </w:rPr>
              <w:t xml:space="preserve">+11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0">
            <w:pPr>
              <w:jc w:val="center"/>
              <w:rPr>
                <w:sz w:val="20"/>
                <w:szCs w:val="20"/>
              </w:rPr>
            </w:pPr>
            <w:r w:rsidDel="00000000" w:rsidR="00000000" w:rsidRPr="00000000">
              <w:rPr>
                <w:sz w:val="20"/>
                <w:szCs w:val="20"/>
                <w:rtl w:val="0"/>
              </w:rPr>
              <w:t xml:space="preserve">1680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1">
            <w:pPr>
              <w:jc w:val="center"/>
              <w:rPr>
                <w:sz w:val="20"/>
                <w:szCs w:val="20"/>
              </w:rPr>
            </w:pPr>
            <w:r w:rsidDel="00000000" w:rsidR="00000000" w:rsidRPr="00000000">
              <w:rPr>
                <w:sz w:val="20"/>
                <w:szCs w:val="20"/>
                <w:rtl w:val="0"/>
              </w:rPr>
              <w:t xml:space="preserve">+16</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2">
            <w:pPr>
              <w:tabs>
                <w:tab w:val="left" w:leader="none" w:pos="397"/>
              </w:tabs>
              <w:spacing w:line="276" w:lineRule="auto"/>
              <w:rPr>
                <w:sz w:val="20"/>
                <w:szCs w:val="20"/>
              </w:rPr>
            </w:pPr>
            <w:r w:rsidDel="00000000" w:rsidR="00000000" w:rsidRPr="00000000">
              <w:rPr>
                <w:sz w:val="20"/>
                <w:szCs w:val="20"/>
                <w:rtl w:val="0"/>
              </w:rPr>
              <w:t xml:space="preserve">2014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3">
            <w:pPr>
              <w:jc w:val="center"/>
              <w:rPr>
                <w:sz w:val="20"/>
                <w:szCs w:val="20"/>
              </w:rPr>
            </w:pPr>
            <w:r w:rsidDel="00000000" w:rsidR="00000000" w:rsidRPr="00000000">
              <w:rPr>
                <w:sz w:val="20"/>
                <w:szCs w:val="20"/>
                <w:rtl w:val="0"/>
              </w:rPr>
              <w:t xml:space="preserve">45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4">
            <w:pPr>
              <w:jc w:val="center"/>
              <w:rPr>
                <w:sz w:val="20"/>
                <w:szCs w:val="20"/>
              </w:rPr>
            </w:pPr>
            <w:r w:rsidDel="00000000" w:rsidR="00000000" w:rsidRPr="00000000">
              <w:rPr>
                <w:sz w:val="20"/>
                <w:szCs w:val="20"/>
                <w:rtl w:val="0"/>
              </w:rPr>
              <w:t xml:space="preserve">+7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5">
            <w:pPr>
              <w:jc w:val="center"/>
              <w:rPr>
                <w:sz w:val="20"/>
                <w:szCs w:val="20"/>
              </w:rPr>
            </w:pPr>
            <w:r w:rsidDel="00000000" w:rsidR="00000000" w:rsidRPr="00000000">
              <w:rPr>
                <w:sz w:val="20"/>
                <w:szCs w:val="20"/>
                <w:rtl w:val="0"/>
              </w:rPr>
              <w:t xml:space="preserve">1890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6">
            <w:pPr>
              <w:jc w:val="center"/>
              <w:rPr>
                <w:sz w:val="20"/>
                <w:szCs w:val="20"/>
              </w:rPr>
            </w:pPr>
            <w:r w:rsidDel="00000000" w:rsidR="00000000" w:rsidRPr="00000000">
              <w:rPr>
                <w:sz w:val="20"/>
                <w:szCs w:val="20"/>
                <w:rtl w:val="0"/>
              </w:rPr>
              <w:t xml:space="preserve">+13</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7">
            <w:pPr>
              <w:tabs>
                <w:tab w:val="left" w:leader="none" w:pos="397"/>
              </w:tabs>
              <w:spacing w:line="276" w:lineRule="auto"/>
              <w:rPr>
                <w:sz w:val="20"/>
                <w:szCs w:val="20"/>
              </w:rPr>
            </w:pPr>
            <w:r w:rsidDel="00000000" w:rsidR="00000000" w:rsidRPr="00000000">
              <w:rPr>
                <w:sz w:val="20"/>
                <w:szCs w:val="20"/>
                <w:rtl w:val="0"/>
              </w:rPr>
              <w:t xml:space="preserve">2016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8">
            <w:pPr>
              <w:jc w:val="center"/>
              <w:rPr>
                <w:sz w:val="20"/>
                <w:szCs w:val="20"/>
              </w:rPr>
            </w:pPr>
            <w:r w:rsidDel="00000000" w:rsidR="00000000" w:rsidRPr="00000000">
              <w:rPr>
                <w:sz w:val="20"/>
                <w:szCs w:val="20"/>
                <w:rtl w:val="0"/>
              </w:rPr>
              <w:t xml:space="preserve">48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9">
            <w:pPr>
              <w:jc w:val="center"/>
              <w:rPr>
                <w:sz w:val="20"/>
                <w:szCs w:val="20"/>
              </w:rPr>
            </w:pPr>
            <w:r w:rsidDel="00000000" w:rsidR="00000000" w:rsidRPr="00000000">
              <w:rPr>
                <w:sz w:val="20"/>
                <w:szCs w:val="20"/>
                <w:rtl w:val="0"/>
              </w:rPr>
              <w:t xml:space="preserve">+7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A">
            <w:pPr>
              <w:jc w:val="center"/>
              <w:rPr>
                <w:sz w:val="20"/>
                <w:szCs w:val="20"/>
              </w:rPr>
            </w:pPr>
            <w:r w:rsidDel="00000000" w:rsidR="00000000" w:rsidRPr="00000000">
              <w:rPr>
                <w:sz w:val="20"/>
                <w:szCs w:val="20"/>
                <w:rtl w:val="0"/>
              </w:rPr>
              <w:t xml:space="preserve">1950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B">
            <w:pPr>
              <w:jc w:val="center"/>
              <w:rPr>
                <w:sz w:val="20"/>
                <w:szCs w:val="20"/>
              </w:rPr>
            </w:pPr>
            <w:r w:rsidDel="00000000" w:rsidR="00000000" w:rsidRPr="00000000">
              <w:rPr>
                <w:sz w:val="20"/>
                <w:szCs w:val="20"/>
                <w:rtl w:val="0"/>
              </w:rPr>
              <w:t xml:space="preserve">+3</w:t>
            </w:r>
          </w:p>
        </w:tc>
      </w:tr>
      <w:tr>
        <w:trPr>
          <w:cantSplit w:val="0"/>
          <w:tblHeader w:val="0"/>
        </w:trPr>
        <w:tc>
          <w:tcPr>
            <w:tcBorders>
              <w:top w:color="000000" w:space="0" w:sz="0" w:val="nil"/>
              <w:left w:color="000000" w:space="0" w:sz="0" w:val="nil"/>
              <w:bottom w:color="ffffff" w:space="0" w:sz="12" w:val="single"/>
              <w:right w:color="000000" w:space="0" w:sz="0" w:val="nil"/>
            </w:tcBorders>
          </w:tcPr>
          <w:p w:rsidR="00000000" w:rsidDel="00000000" w:rsidP="00000000" w:rsidRDefault="00000000" w:rsidRPr="00000000" w14:paraId="0000005C">
            <w:pPr>
              <w:tabs>
                <w:tab w:val="left" w:leader="none" w:pos="397"/>
              </w:tabs>
              <w:spacing w:line="276" w:lineRule="auto"/>
              <w:rPr>
                <w:sz w:val="20"/>
                <w:szCs w:val="20"/>
              </w:rPr>
            </w:pPr>
            <w:r w:rsidDel="00000000" w:rsidR="00000000" w:rsidRPr="00000000">
              <w:rPr>
                <w:sz w:val="20"/>
                <w:szCs w:val="20"/>
                <w:rtl w:val="0"/>
              </w:rPr>
              <w:t xml:space="preserve">2016</w:t>
            </w:r>
          </w:p>
        </w:tc>
        <w:tc>
          <w:tcPr>
            <w:tcBorders>
              <w:top w:color="000000" w:space="0" w:sz="0" w:val="nil"/>
              <w:left w:color="000000" w:space="0" w:sz="0" w:val="nil"/>
              <w:bottom w:color="ffffff" w:space="0" w:sz="12" w:val="single"/>
              <w:right w:color="000000" w:space="0" w:sz="0" w:val="nil"/>
            </w:tcBorders>
          </w:tcPr>
          <w:p w:rsidR="00000000" w:rsidDel="00000000" w:rsidP="00000000" w:rsidRDefault="00000000" w:rsidRPr="00000000" w14:paraId="0000005D">
            <w:pPr>
              <w:jc w:val="center"/>
              <w:rPr>
                <w:sz w:val="20"/>
                <w:szCs w:val="20"/>
              </w:rPr>
            </w:pPr>
            <w:r w:rsidDel="00000000" w:rsidR="00000000" w:rsidRPr="00000000">
              <w:rPr>
                <w:sz w:val="20"/>
                <w:szCs w:val="20"/>
                <w:rtl w:val="0"/>
              </w:rPr>
              <w:t xml:space="preserve">46</w:t>
            </w:r>
          </w:p>
        </w:tc>
        <w:tc>
          <w:tcPr>
            <w:tcBorders>
              <w:top w:color="000000" w:space="0" w:sz="0" w:val="nil"/>
              <w:left w:color="000000" w:space="0" w:sz="0" w:val="nil"/>
              <w:bottom w:color="ffffff" w:space="0" w:sz="12" w:val="single"/>
              <w:right w:color="000000" w:space="0" w:sz="0" w:val="nil"/>
            </w:tcBorders>
          </w:tcPr>
          <w:p w:rsidR="00000000" w:rsidDel="00000000" w:rsidP="00000000" w:rsidRDefault="00000000" w:rsidRPr="00000000" w14:paraId="0000005E">
            <w:pPr>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ffffff" w:space="0" w:sz="12" w:val="single"/>
              <w:right w:color="000000" w:space="0" w:sz="0" w:val="nil"/>
            </w:tcBorders>
          </w:tcPr>
          <w:p w:rsidR="00000000" w:rsidDel="00000000" w:rsidP="00000000" w:rsidRDefault="00000000" w:rsidRPr="00000000" w14:paraId="0000005F">
            <w:pPr>
              <w:jc w:val="center"/>
              <w:rPr>
                <w:sz w:val="20"/>
                <w:szCs w:val="20"/>
              </w:rPr>
            </w:pPr>
            <w:r w:rsidDel="00000000" w:rsidR="00000000" w:rsidRPr="00000000">
              <w:rPr>
                <w:sz w:val="20"/>
                <w:szCs w:val="20"/>
                <w:rtl w:val="0"/>
              </w:rPr>
              <w:t xml:space="preserve">1420</w:t>
            </w:r>
          </w:p>
        </w:tc>
        <w:tc>
          <w:tcPr>
            <w:tcBorders>
              <w:top w:color="000000" w:space="0" w:sz="0" w:val="nil"/>
              <w:left w:color="000000" w:space="0" w:sz="0" w:val="nil"/>
              <w:bottom w:color="ffffff" w:space="0" w:sz="12" w:val="single"/>
              <w:right w:color="000000" w:space="0" w:sz="0" w:val="nil"/>
            </w:tcBorders>
          </w:tcPr>
          <w:p w:rsidR="00000000" w:rsidDel="00000000" w:rsidP="00000000" w:rsidRDefault="00000000" w:rsidRPr="00000000" w14:paraId="00000060">
            <w:pPr>
              <w:jc w:val="center"/>
              <w:rPr>
                <w:sz w:val="20"/>
                <w:szCs w:val="20"/>
              </w:rPr>
            </w:pPr>
            <w:r w:rsidDel="00000000" w:rsidR="00000000" w:rsidRPr="00000000">
              <w:rPr>
                <w:sz w:val="20"/>
                <w:szCs w:val="20"/>
                <w:rtl w:val="0"/>
              </w:rPr>
              <w:t xml:space="preserve">-27</w:t>
            </w:r>
          </w:p>
        </w:tc>
      </w:tr>
      <w:tr>
        <w:trPr>
          <w:cantSplit w:val="0"/>
          <w:tblHeader w:val="0"/>
        </w:trPr>
        <w:tc>
          <w:tcPr>
            <w:tcBorders>
              <w:top w:color="000000" w:space="0" w:sz="0" w:val="nil"/>
              <w:left w:color="000000" w:space="0" w:sz="0" w:val="nil"/>
              <w:bottom w:color="ffffff" w:space="0" w:sz="12" w:val="single"/>
              <w:right w:color="000000" w:space="0" w:sz="0" w:val="nil"/>
            </w:tcBorders>
          </w:tcPr>
          <w:p w:rsidR="00000000" w:rsidDel="00000000" w:rsidP="00000000" w:rsidRDefault="00000000" w:rsidRPr="00000000" w14:paraId="00000061">
            <w:pPr>
              <w:tabs>
                <w:tab w:val="left" w:leader="none" w:pos="397"/>
              </w:tabs>
              <w:spacing w:line="276" w:lineRule="auto"/>
              <w:rPr>
                <w:sz w:val="20"/>
                <w:szCs w:val="20"/>
              </w:rPr>
            </w:pPr>
            <w:r w:rsidDel="00000000" w:rsidR="00000000" w:rsidRPr="00000000">
              <w:rPr>
                <w:sz w:val="20"/>
                <w:szCs w:val="20"/>
                <w:rtl w:val="0"/>
              </w:rPr>
              <w:t xml:space="preserve">2017</w:t>
            </w:r>
          </w:p>
        </w:tc>
        <w:tc>
          <w:tcPr>
            <w:tcBorders>
              <w:top w:color="000000" w:space="0" w:sz="0" w:val="nil"/>
              <w:left w:color="000000" w:space="0" w:sz="0" w:val="nil"/>
              <w:bottom w:color="ffffff" w:space="0" w:sz="12" w:val="single"/>
              <w:right w:color="000000" w:space="0" w:sz="0" w:val="nil"/>
            </w:tcBorders>
          </w:tcPr>
          <w:p w:rsidR="00000000" w:rsidDel="00000000" w:rsidP="00000000" w:rsidRDefault="00000000" w:rsidRPr="00000000" w14:paraId="00000062">
            <w:pPr>
              <w:jc w:val="center"/>
              <w:rPr>
                <w:sz w:val="20"/>
                <w:szCs w:val="20"/>
              </w:rPr>
            </w:pPr>
            <w:r w:rsidDel="00000000" w:rsidR="00000000" w:rsidRPr="00000000">
              <w:rPr>
                <w:sz w:val="20"/>
                <w:szCs w:val="20"/>
                <w:rtl w:val="0"/>
              </w:rPr>
              <w:t xml:space="preserve">44</w:t>
            </w:r>
          </w:p>
        </w:tc>
        <w:tc>
          <w:tcPr>
            <w:tcBorders>
              <w:top w:color="000000" w:space="0" w:sz="0" w:val="nil"/>
              <w:left w:color="000000" w:space="0" w:sz="0" w:val="nil"/>
              <w:bottom w:color="ffffff" w:space="0" w:sz="12" w:val="single"/>
              <w:right w:color="000000" w:space="0" w:sz="0" w:val="nil"/>
            </w:tcBorders>
          </w:tcPr>
          <w:p w:rsidR="00000000" w:rsidDel="00000000" w:rsidP="00000000" w:rsidRDefault="00000000" w:rsidRPr="00000000" w14:paraId="00000063">
            <w:pPr>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ffffff" w:space="0" w:sz="12" w:val="single"/>
              <w:right w:color="000000" w:space="0" w:sz="0" w:val="nil"/>
            </w:tcBorders>
          </w:tcPr>
          <w:p w:rsidR="00000000" w:rsidDel="00000000" w:rsidP="00000000" w:rsidRDefault="00000000" w:rsidRPr="00000000" w14:paraId="00000064">
            <w:pPr>
              <w:jc w:val="center"/>
              <w:rPr>
                <w:sz w:val="20"/>
                <w:szCs w:val="20"/>
              </w:rPr>
            </w:pPr>
            <w:r w:rsidDel="00000000" w:rsidR="00000000" w:rsidRPr="00000000">
              <w:rPr>
                <w:sz w:val="20"/>
                <w:szCs w:val="20"/>
                <w:rtl w:val="0"/>
              </w:rPr>
              <w:t xml:space="preserve">1180</w:t>
            </w:r>
          </w:p>
        </w:tc>
        <w:tc>
          <w:tcPr>
            <w:tcBorders>
              <w:top w:color="000000" w:space="0" w:sz="0" w:val="nil"/>
              <w:left w:color="000000" w:space="0" w:sz="0" w:val="nil"/>
              <w:bottom w:color="ffffff" w:space="0" w:sz="12" w:val="single"/>
              <w:right w:color="000000" w:space="0" w:sz="0" w:val="nil"/>
            </w:tcBorders>
          </w:tcPr>
          <w:p w:rsidR="00000000" w:rsidDel="00000000" w:rsidP="00000000" w:rsidRDefault="00000000" w:rsidRPr="00000000" w14:paraId="00000065">
            <w:pPr>
              <w:jc w:val="center"/>
              <w:rPr>
                <w:sz w:val="20"/>
                <w:szCs w:val="20"/>
              </w:rPr>
            </w:pPr>
            <w:r w:rsidDel="00000000" w:rsidR="00000000" w:rsidRPr="00000000">
              <w:rPr>
                <w:sz w:val="20"/>
                <w:szCs w:val="20"/>
                <w:rtl w:val="0"/>
              </w:rPr>
              <w:t xml:space="preserve">-17</w:t>
            </w:r>
          </w:p>
        </w:tc>
      </w:tr>
      <w:tr>
        <w:trPr>
          <w:cantSplit w:val="0"/>
          <w:tblHeader w:val="0"/>
        </w:trPr>
        <w:tc>
          <w:tcPr>
            <w:tcBorders>
              <w:top w:color="000000" w:space="0" w:sz="0" w:val="nil"/>
              <w:left w:color="000000" w:space="0" w:sz="0" w:val="nil"/>
              <w:bottom w:color="ffffff" w:space="0" w:sz="12" w:val="single"/>
              <w:right w:color="000000" w:space="0" w:sz="0" w:val="nil"/>
            </w:tcBorders>
          </w:tcPr>
          <w:p w:rsidR="00000000" w:rsidDel="00000000" w:rsidP="00000000" w:rsidRDefault="00000000" w:rsidRPr="00000000" w14:paraId="00000066">
            <w:pPr>
              <w:tabs>
                <w:tab w:val="left" w:leader="none" w:pos="397"/>
              </w:tabs>
              <w:spacing w:line="276" w:lineRule="auto"/>
              <w:rPr>
                <w:sz w:val="20"/>
                <w:szCs w:val="20"/>
              </w:rPr>
            </w:pPr>
            <w:r w:rsidDel="00000000" w:rsidR="00000000" w:rsidRPr="00000000">
              <w:rPr>
                <w:sz w:val="20"/>
                <w:szCs w:val="20"/>
                <w:rtl w:val="0"/>
              </w:rPr>
              <w:t xml:space="preserve">2018</w:t>
            </w:r>
          </w:p>
        </w:tc>
        <w:tc>
          <w:tcPr>
            <w:tcBorders>
              <w:top w:color="000000" w:space="0" w:sz="0" w:val="nil"/>
              <w:left w:color="000000" w:space="0" w:sz="0" w:val="nil"/>
              <w:bottom w:color="ffffff" w:space="0" w:sz="12" w:val="single"/>
              <w:right w:color="000000" w:space="0" w:sz="0" w:val="nil"/>
            </w:tcBorders>
          </w:tcPr>
          <w:p w:rsidR="00000000" w:rsidDel="00000000" w:rsidP="00000000" w:rsidRDefault="00000000" w:rsidRPr="00000000" w14:paraId="00000067">
            <w:pPr>
              <w:jc w:val="center"/>
              <w:rPr>
                <w:sz w:val="20"/>
                <w:szCs w:val="20"/>
              </w:rPr>
            </w:pPr>
            <w:r w:rsidDel="00000000" w:rsidR="00000000" w:rsidRPr="00000000">
              <w:rPr>
                <w:sz w:val="20"/>
                <w:szCs w:val="20"/>
                <w:rtl w:val="0"/>
              </w:rPr>
              <w:t xml:space="preserve">43</w:t>
            </w:r>
          </w:p>
        </w:tc>
        <w:tc>
          <w:tcPr>
            <w:tcBorders>
              <w:top w:color="000000" w:space="0" w:sz="0" w:val="nil"/>
              <w:left w:color="000000" w:space="0" w:sz="0" w:val="nil"/>
              <w:bottom w:color="ffffff" w:space="0" w:sz="12" w:val="single"/>
              <w:right w:color="000000" w:space="0" w:sz="0" w:val="nil"/>
            </w:tcBorders>
          </w:tcPr>
          <w:p w:rsidR="00000000" w:rsidDel="00000000" w:rsidP="00000000" w:rsidRDefault="00000000" w:rsidRPr="00000000" w14:paraId="00000068">
            <w:pPr>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ffffff" w:space="0" w:sz="12" w:val="single"/>
              <w:right w:color="000000" w:space="0" w:sz="0" w:val="nil"/>
            </w:tcBorders>
          </w:tcPr>
          <w:p w:rsidR="00000000" w:rsidDel="00000000" w:rsidP="00000000" w:rsidRDefault="00000000" w:rsidRPr="00000000" w14:paraId="00000069">
            <w:pPr>
              <w:jc w:val="center"/>
              <w:rPr>
                <w:sz w:val="20"/>
                <w:szCs w:val="20"/>
              </w:rPr>
            </w:pPr>
            <w:r w:rsidDel="00000000" w:rsidR="00000000" w:rsidRPr="00000000">
              <w:rPr>
                <w:sz w:val="20"/>
                <w:szCs w:val="20"/>
                <w:rtl w:val="0"/>
              </w:rPr>
              <w:t xml:space="preserve">1050</w:t>
            </w:r>
          </w:p>
        </w:tc>
        <w:tc>
          <w:tcPr>
            <w:tcBorders>
              <w:top w:color="000000" w:space="0" w:sz="0" w:val="nil"/>
              <w:left w:color="000000" w:space="0" w:sz="0" w:val="nil"/>
              <w:bottom w:color="ffffff" w:space="0" w:sz="12" w:val="single"/>
              <w:right w:color="000000" w:space="0" w:sz="0" w:val="nil"/>
            </w:tcBorders>
          </w:tcPr>
          <w:p w:rsidR="00000000" w:rsidDel="00000000" w:rsidP="00000000" w:rsidRDefault="00000000" w:rsidRPr="00000000" w14:paraId="0000006A">
            <w:pPr>
              <w:jc w:val="center"/>
              <w:rPr>
                <w:sz w:val="20"/>
                <w:szCs w:val="20"/>
              </w:rPr>
            </w:pPr>
            <w:r w:rsidDel="00000000" w:rsidR="00000000" w:rsidRPr="00000000">
              <w:rPr>
                <w:sz w:val="20"/>
                <w:szCs w:val="20"/>
                <w:rtl w:val="0"/>
              </w:rPr>
              <w:t xml:space="preserve">-11</w:t>
            </w:r>
          </w:p>
        </w:tc>
      </w:tr>
      <w:tr>
        <w:trPr>
          <w:cantSplit w:val="0"/>
          <w:tblHeader w:val="0"/>
        </w:trPr>
        <w:tc>
          <w:tcPr>
            <w:tcBorders>
              <w:top w:color="000000" w:space="0" w:sz="0" w:val="nil"/>
              <w:left w:color="000000" w:space="0" w:sz="0" w:val="nil"/>
              <w:bottom w:color="ffffff" w:space="0" w:sz="12" w:val="single"/>
              <w:right w:color="000000" w:space="0" w:sz="0" w:val="nil"/>
            </w:tcBorders>
          </w:tcPr>
          <w:p w:rsidR="00000000" w:rsidDel="00000000" w:rsidP="00000000" w:rsidRDefault="00000000" w:rsidRPr="00000000" w14:paraId="0000006B">
            <w:pPr>
              <w:tabs>
                <w:tab w:val="left" w:leader="none" w:pos="397"/>
              </w:tabs>
              <w:spacing w:line="276" w:lineRule="auto"/>
              <w:rPr>
                <w:sz w:val="20"/>
                <w:szCs w:val="20"/>
              </w:rPr>
            </w:pPr>
            <w:r w:rsidDel="00000000" w:rsidR="00000000" w:rsidRPr="00000000">
              <w:rPr>
                <w:sz w:val="20"/>
                <w:szCs w:val="20"/>
                <w:rtl w:val="0"/>
              </w:rPr>
              <w:t xml:space="preserve">2019</w:t>
            </w:r>
          </w:p>
        </w:tc>
        <w:tc>
          <w:tcPr>
            <w:tcBorders>
              <w:top w:color="000000" w:space="0" w:sz="0" w:val="nil"/>
              <w:left w:color="000000" w:space="0" w:sz="0" w:val="nil"/>
              <w:bottom w:color="ffffff" w:space="0" w:sz="12" w:val="single"/>
              <w:right w:color="000000" w:space="0" w:sz="0" w:val="nil"/>
            </w:tcBorders>
          </w:tcPr>
          <w:p w:rsidR="00000000" w:rsidDel="00000000" w:rsidP="00000000" w:rsidRDefault="00000000" w:rsidRPr="00000000" w14:paraId="0000006C">
            <w:pPr>
              <w:jc w:val="center"/>
              <w:rPr>
                <w:sz w:val="20"/>
                <w:szCs w:val="20"/>
              </w:rPr>
            </w:pPr>
            <w:r w:rsidDel="00000000" w:rsidR="00000000" w:rsidRPr="00000000">
              <w:rPr>
                <w:sz w:val="20"/>
                <w:szCs w:val="20"/>
                <w:rtl w:val="0"/>
              </w:rPr>
              <w:t xml:space="preserve">42</w:t>
            </w:r>
          </w:p>
        </w:tc>
        <w:tc>
          <w:tcPr>
            <w:tcBorders>
              <w:top w:color="000000" w:space="0" w:sz="0" w:val="nil"/>
              <w:left w:color="000000" w:space="0" w:sz="0" w:val="nil"/>
              <w:bottom w:color="ffffff" w:space="0" w:sz="12" w:val="single"/>
              <w:right w:color="000000" w:space="0" w:sz="0" w:val="nil"/>
            </w:tcBorders>
          </w:tcPr>
          <w:p w:rsidR="00000000" w:rsidDel="00000000" w:rsidP="00000000" w:rsidRDefault="00000000" w:rsidRPr="00000000" w14:paraId="0000006D">
            <w:pPr>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ffffff" w:space="0" w:sz="12" w:val="single"/>
              <w:right w:color="000000" w:space="0" w:sz="0" w:val="nil"/>
            </w:tcBorders>
          </w:tcPr>
          <w:p w:rsidR="00000000" w:rsidDel="00000000" w:rsidP="00000000" w:rsidRDefault="00000000" w:rsidRPr="00000000" w14:paraId="0000006E">
            <w:pPr>
              <w:jc w:val="center"/>
              <w:rPr>
                <w:sz w:val="20"/>
                <w:szCs w:val="20"/>
              </w:rPr>
            </w:pPr>
            <w:r w:rsidDel="00000000" w:rsidR="00000000" w:rsidRPr="00000000">
              <w:rPr>
                <w:sz w:val="20"/>
                <w:szCs w:val="20"/>
                <w:rtl w:val="0"/>
              </w:rPr>
              <w:t xml:space="preserve">980</w:t>
            </w:r>
          </w:p>
        </w:tc>
        <w:tc>
          <w:tcPr>
            <w:tcBorders>
              <w:top w:color="000000" w:space="0" w:sz="0" w:val="nil"/>
              <w:left w:color="000000" w:space="0" w:sz="0" w:val="nil"/>
              <w:bottom w:color="ffffff" w:space="0" w:sz="12" w:val="single"/>
              <w:right w:color="000000" w:space="0" w:sz="0" w:val="nil"/>
            </w:tcBorders>
          </w:tcPr>
          <w:p w:rsidR="00000000" w:rsidDel="00000000" w:rsidP="00000000" w:rsidRDefault="00000000" w:rsidRPr="00000000" w14:paraId="0000006F">
            <w:pPr>
              <w:jc w:val="center"/>
              <w:rPr>
                <w:sz w:val="20"/>
                <w:szCs w:val="20"/>
              </w:rPr>
            </w:pPr>
            <w:r w:rsidDel="00000000" w:rsidR="00000000" w:rsidRPr="00000000">
              <w:rPr>
                <w:sz w:val="20"/>
                <w:szCs w:val="20"/>
                <w:rtl w:val="0"/>
              </w:rPr>
              <w:t xml:space="preserve">-7</w:t>
            </w:r>
          </w:p>
        </w:tc>
      </w:tr>
      <w:tr>
        <w:trPr>
          <w:cantSplit w:val="0"/>
          <w:tblHeader w:val="0"/>
        </w:trPr>
        <w:tc>
          <w:tcPr>
            <w:tcBorders>
              <w:top w:color="ffffff" w:space="0" w:sz="12" w:val="single"/>
              <w:left w:color="000000" w:space="0" w:sz="0" w:val="nil"/>
              <w:bottom w:color="000000" w:space="0" w:sz="12" w:val="single"/>
              <w:right w:color="000000" w:space="0" w:sz="0" w:val="nil"/>
            </w:tcBorders>
          </w:tcPr>
          <w:p w:rsidR="00000000" w:rsidDel="00000000" w:rsidP="00000000" w:rsidRDefault="00000000" w:rsidRPr="00000000" w14:paraId="00000070">
            <w:pPr>
              <w:tabs>
                <w:tab w:val="left" w:leader="none" w:pos="397"/>
              </w:tabs>
              <w:spacing w:line="276" w:lineRule="auto"/>
              <w:rPr>
                <w:b w:val="1"/>
                <w:sz w:val="20"/>
                <w:szCs w:val="20"/>
              </w:rPr>
            </w:pPr>
            <w:r w:rsidDel="00000000" w:rsidR="00000000" w:rsidRPr="00000000">
              <w:rPr>
                <w:b w:val="1"/>
                <w:sz w:val="20"/>
                <w:szCs w:val="20"/>
                <w:rtl w:val="0"/>
              </w:rPr>
              <w:t xml:space="preserve">2020 </w:t>
            </w:r>
          </w:p>
        </w:tc>
        <w:tc>
          <w:tcPr>
            <w:tcBorders>
              <w:top w:color="ffffff" w:space="0" w:sz="12" w:val="single"/>
              <w:left w:color="000000" w:space="0" w:sz="0" w:val="nil"/>
              <w:bottom w:color="000000" w:space="0" w:sz="12" w:val="single"/>
              <w:right w:color="000000" w:space="0" w:sz="0" w:val="nil"/>
            </w:tcBorders>
          </w:tcPr>
          <w:p w:rsidR="00000000" w:rsidDel="00000000" w:rsidP="00000000" w:rsidRDefault="00000000" w:rsidRPr="00000000" w14:paraId="00000071">
            <w:pPr>
              <w:tabs>
                <w:tab w:val="left" w:leader="none" w:pos="397"/>
              </w:tabs>
              <w:spacing w:line="276" w:lineRule="auto"/>
              <w:jc w:val="center"/>
              <w:rPr>
                <w:b w:val="1"/>
                <w:sz w:val="20"/>
                <w:szCs w:val="20"/>
              </w:rPr>
            </w:pPr>
            <w:r w:rsidDel="00000000" w:rsidR="00000000" w:rsidRPr="00000000">
              <w:rPr>
                <w:b w:val="1"/>
                <w:sz w:val="20"/>
                <w:szCs w:val="20"/>
                <w:rtl w:val="0"/>
              </w:rPr>
              <w:t xml:space="preserve">41</w:t>
            </w:r>
          </w:p>
        </w:tc>
        <w:tc>
          <w:tcPr>
            <w:tcBorders>
              <w:top w:color="ffffff" w:space="0" w:sz="12" w:val="single"/>
              <w:left w:color="000000" w:space="0" w:sz="0" w:val="nil"/>
              <w:bottom w:color="000000" w:space="0" w:sz="12" w:val="single"/>
              <w:right w:color="000000" w:space="0" w:sz="0" w:val="nil"/>
            </w:tcBorders>
          </w:tcPr>
          <w:p w:rsidR="00000000" w:rsidDel="00000000" w:rsidP="00000000" w:rsidRDefault="00000000" w:rsidRPr="00000000" w14:paraId="00000072">
            <w:pPr>
              <w:tabs>
                <w:tab w:val="left" w:leader="none" w:pos="397"/>
              </w:tabs>
              <w:spacing w:line="276" w:lineRule="auto"/>
              <w:jc w:val="center"/>
              <w:rPr>
                <w:b w:val="1"/>
                <w:sz w:val="20"/>
                <w:szCs w:val="20"/>
              </w:rPr>
            </w:pPr>
            <w:r w:rsidDel="00000000" w:rsidR="00000000" w:rsidRPr="00000000">
              <w:rPr>
                <w:b w:val="1"/>
                <w:sz w:val="20"/>
                <w:szCs w:val="20"/>
                <w:rtl w:val="0"/>
              </w:rPr>
              <w:t xml:space="preserve">-2</w:t>
            </w:r>
          </w:p>
        </w:tc>
        <w:tc>
          <w:tcPr>
            <w:tcBorders>
              <w:top w:color="ffffff" w:space="0" w:sz="12" w:val="single"/>
              <w:left w:color="000000" w:space="0" w:sz="0" w:val="nil"/>
              <w:bottom w:color="000000" w:space="0" w:sz="12" w:val="single"/>
              <w:right w:color="000000" w:space="0" w:sz="0" w:val="nil"/>
            </w:tcBorders>
          </w:tcPr>
          <w:p w:rsidR="00000000" w:rsidDel="00000000" w:rsidP="00000000" w:rsidRDefault="00000000" w:rsidRPr="00000000" w14:paraId="00000073">
            <w:pPr>
              <w:tabs>
                <w:tab w:val="left" w:leader="none" w:pos="397"/>
              </w:tabs>
              <w:spacing w:line="276" w:lineRule="auto"/>
              <w:jc w:val="center"/>
              <w:rPr>
                <w:b w:val="1"/>
                <w:sz w:val="20"/>
                <w:szCs w:val="20"/>
              </w:rPr>
            </w:pPr>
            <w:r w:rsidDel="00000000" w:rsidR="00000000" w:rsidRPr="00000000">
              <w:rPr>
                <w:b w:val="1"/>
                <w:sz w:val="20"/>
                <w:szCs w:val="20"/>
                <w:rtl w:val="0"/>
              </w:rPr>
              <w:t xml:space="preserve">920</w:t>
            </w:r>
          </w:p>
        </w:tc>
        <w:tc>
          <w:tcPr>
            <w:tcBorders>
              <w:top w:color="ffffff" w:space="0" w:sz="12" w:val="single"/>
              <w:left w:color="000000" w:space="0" w:sz="0" w:val="nil"/>
              <w:bottom w:color="000000" w:space="0" w:sz="12" w:val="single"/>
              <w:right w:color="000000" w:space="0" w:sz="0" w:val="nil"/>
            </w:tcBorders>
          </w:tcPr>
          <w:p w:rsidR="00000000" w:rsidDel="00000000" w:rsidP="00000000" w:rsidRDefault="00000000" w:rsidRPr="00000000" w14:paraId="00000074">
            <w:pPr>
              <w:tabs>
                <w:tab w:val="left" w:leader="none" w:pos="397"/>
              </w:tabs>
              <w:spacing w:line="276" w:lineRule="auto"/>
              <w:jc w:val="center"/>
              <w:rPr>
                <w:b w:val="1"/>
                <w:sz w:val="20"/>
                <w:szCs w:val="20"/>
              </w:rPr>
            </w:pPr>
            <w:r w:rsidDel="00000000" w:rsidR="00000000" w:rsidRPr="00000000">
              <w:rPr>
                <w:b w:val="1"/>
                <w:sz w:val="20"/>
                <w:szCs w:val="20"/>
                <w:rtl w:val="0"/>
              </w:rPr>
              <w:t xml:space="preserve">-6</w:t>
            </w:r>
          </w:p>
        </w:tc>
      </w:tr>
      <w:tr>
        <w:trPr>
          <w:cantSplit w:val="0"/>
          <w:trHeight w:val="270" w:hRule="atLeast"/>
          <w:tblHeader w:val="0"/>
        </w:trPr>
        <w:tc>
          <w:tcPr>
            <w:tcBorders>
              <w:top w:color="000000" w:space="0" w:sz="12" w:val="single"/>
              <w:left w:color="000000" w:space="0" w:sz="0" w:val="nil"/>
              <w:bottom w:color="000000" w:space="0" w:sz="12" w:val="single"/>
              <w:right w:color="000000" w:space="0" w:sz="0" w:val="nil"/>
            </w:tcBorders>
          </w:tcPr>
          <w:p w:rsidR="00000000" w:rsidDel="00000000" w:rsidP="00000000" w:rsidRDefault="00000000" w:rsidRPr="00000000" w14:paraId="00000075">
            <w:pPr>
              <w:tabs>
                <w:tab w:val="left" w:leader="none" w:pos="397"/>
              </w:tabs>
              <w:spacing w:line="276" w:lineRule="auto"/>
              <w:rPr>
                <w:b w:val="1"/>
                <w:sz w:val="20"/>
                <w:szCs w:val="20"/>
              </w:rPr>
            </w:pPr>
            <w:r w:rsidDel="00000000" w:rsidR="00000000" w:rsidRPr="00000000">
              <w:rPr>
                <w:b w:val="1"/>
                <w:sz w:val="20"/>
                <w:szCs w:val="20"/>
                <w:rtl w:val="0"/>
              </w:rPr>
              <w:t xml:space="preserve">Total Variação</w:t>
            </w:r>
          </w:p>
        </w:tc>
        <w:tc>
          <w:tcPr>
            <w:tcBorders>
              <w:top w:color="000000" w:space="0" w:sz="12" w:val="single"/>
              <w:left w:color="000000" w:space="0" w:sz="0" w:val="nil"/>
              <w:bottom w:color="000000" w:space="0" w:sz="12" w:val="single"/>
              <w:right w:color="000000" w:space="0" w:sz="0" w:val="nil"/>
            </w:tcBorders>
          </w:tcPr>
          <w:p w:rsidR="00000000" w:rsidDel="00000000" w:rsidP="00000000" w:rsidRDefault="00000000" w:rsidRPr="00000000" w14:paraId="00000076">
            <w:pPr>
              <w:tabs>
                <w:tab w:val="left" w:leader="none" w:pos="397"/>
              </w:tabs>
              <w:spacing w:line="276" w:lineRule="auto"/>
              <w:rPr>
                <w:b w:val="1"/>
                <w:sz w:val="20"/>
                <w:szCs w:val="20"/>
              </w:rPr>
            </w:pP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Pr>
          <w:p w:rsidR="00000000" w:rsidDel="00000000" w:rsidP="00000000" w:rsidRDefault="00000000" w:rsidRPr="00000000" w14:paraId="00000077">
            <w:pPr>
              <w:tabs>
                <w:tab w:val="left" w:leader="none" w:pos="397"/>
              </w:tabs>
              <w:spacing w:line="276" w:lineRule="auto"/>
              <w:jc w:val="center"/>
              <w:rPr>
                <w:b w:val="1"/>
                <w:sz w:val="20"/>
                <w:szCs w:val="20"/>
              </w:rPr>
            </w:pPr>
            <w:r w:rsidDel="00000000" w:rsidR="00000000" w:rsidRPr="00000000">
              <w:rPr>
                <w:b w:val="1"/>
                <w:sz w:val="20"/>
                <w:szCs w:val="20"/>
                <w:rtl w:val="0"/>
              </w:rPr>
              <w:t xml:space="preserve">+64</w:t>
            </w:r>
          </w:p>
        </w:tc>
        <w:tc>
          <w:tcPr>
            <w:tcBorders>
              <w:top w:color="000000" w:space="0" w:sz="12" w:val="single"/>
              <w:left w:color="000000" w:space="0" w:sz="0" w:val="nil"/>
              <w:bottom w:color="000000" w:space="0" w:sz="12" w:val="single"/>
              <w:right w:color="000000" w:space="0" w:sz="0" w:val="nil"/>
            </w:tcBorders>
          </w:tcPr>
          <w:p w:rsidR="00000000" w:rsidDel="00000000" w:rsidP="00000000" w:rsidRDefault="00000000" w:rsidRPr="00000000" w14:paraId="00000078">
            <w:pPr>
              <w:tabs>
                <w:tab w:val="left" w:leader="none" w:pos="397"/>
              </w:tabs>
              <w:spacing w:line="276" w:lineRule="auto"/>
              <w:rPr>
                <w:b w:val="1"/>
                <w:sz w:val="20"/>
                <w:szCs w:val="20"/>
              </w:rPr>
            </w:pP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Pr>
          <w:p w:rsidR="00000000" w:rsidDel="00000000" w:rsidP="00000000" w:rsidRDefault="00000000" w:rsidRPr="00000000" w14:paraId="00000079">
            <w:pPr>
              <w:tabs>
                <w:tab w:val="left" w:leader="none" w:pos="397"/>
              </w:tabs>
              <w:spacing w:line="276" w:lineRule="auto"/>
              <w:jc w:val="center"/>
              <w:rPr>
                <w:b w:val="1"/>
                <w:sz w:val="20"/>
                <w:szCs w:val="20"/>
              </w:rPr>
            </w:pPr>
            <w:r w:rsidDel="00000000" w:rsidR="00000000" w:rsidRPr="00000000">
              <w:rPr>
                <w:b w:val="1"/>
                <w:sz w:val="20"/>
                <w:szCs w:val="20"/>
                <w:rtl w:val="0"/>
              </w:rPr>
              <w:t xml:space="preserve">-20</w:t>
            </w:r>
          </w:p>
        </w:tc>
      </w:tr>
    </w:tbl>
    <w:p w:rsidR="00000000" w:rsidDel="00000000" w:rsidP="00000000" w:rsidRDefault="00000000" w:rsidRPr="00000000" w14:paraId="0000007A">
      <w:pPr>
        <w:rPr>
          <w:sz w:val="20"/>
          <w:szCs w:val="20"/>
        </w:rPr>
      </w:pPr>
      <w:r w:rsidDel="00000000" w:rsidR="00000000" w:rsidRPr="00000000">
        <w:rPr>
          <w:sz w:val="20"/>
          <w:szCs w:val="20"/>
          <w:rtl w:val="0"/>
        </w:rPr>
        <w:t xml:space="preserve"> Fonte: Cadastro Geral de Empresas - CEMPRE/IBGE</w:t>
      </w:r>
    </w:p>
    <w:p w:rsidR="00000000" w:rsidDel="00000000" w:rsidP="00000000" w:rsidRDefault="00000000" w:rsidRPr="00000000" w14:paraId="0000007B">
      <w:pPr>
        <w:rPr>
          <w:sz w:val="20"/>
          <w:szCs w:val="20"/>
        </w:rPr>
      </w:pPr>
      <w:r w:rsidDel="00000000" w:rsidR="00000000" w:rsidRPr="00000000">
        <w:rPr>
          <w:rtl w:val="0"/>
        </w:rPr>
      </w:r>
    </w:p>
    <w:p w:rsidR="00000000" w:rsidDel="00000000" w:rsidP="00000000" w:rsidRDefault="00000000" w:rsidRPr="00000000" w14:paraId="0000007C">
      <w:pPr>
        <w:shd w:fill="ffffff" w:val="clear"/>
        <w:tabs>
          <w:tab w:val="left" w:leader="none" w:pos="284"/>
        </w:tabs>
        <w:spacing w:line="360" w:lineRule="auto"/>
        <w:ind w:firstLine="850.3937007874017"/>
        <w:jc w:val="both"/>
        <w:rPr>
          <w:color w:val="0f1115"/>
          <w:highlight w:val="white"/>
        </w:rPr>
      </w:pPr>
      <w:r w:rsidDel="00000000" w:rsidR="00000000" w:rsidRPr="00000000">
        <w:rPr>
          <w:color w:val="0f1115"/>
          <w:highlight w:val="white"/>
          <w:rtl w:val="0"/>
        </w:rPr>
        <w:t xml:space="preserve">Enquanto o número de empresas se manteve estável ou sofreu leve queda após 2015, mas que não afetou o crescimento total durante o período analisado (aumento de 64%), o número de empregos com carteira assinada registrou uma queda drástica e desproporcional especialmente a partir de 2014, totalizando uma perda de 20% dos postos de trabalho ao longo de 10 anos. Este fenômeno é interpretado como um reflexo local da crise econômica nacional, combinada com a precarização das relações de trabalho no setor. Como forma de reestruturação, a popularização dos contratos via Microempreendedor Individual (MEI)</w:t>
      </w:r>
      <w:r w:rsidDel="00000000" w:rsidR="00000000" w:rsidRPr="00000000">
        <w:rPr>
          <w:color w:val="0f1115"/>
          <w:highlight w:val="white"/>
          <w:vertAlign w:val="superscript"/>
        </w:rPr>
        <w:footnoteReference w:customMarkFollows="0" w:id="5"/>
      </w:r>
      <w:r w:rsidDel="00000000" w:rsidR="00000000" w:rsidRPr="00000000">
        <w:rPr>
          <w:color w:val="0f1115"/>
          <w:highlight w:val="white"/>
          <w:rtl w:val="0"/>
        </w:rPr>
        <w:t xml:space="preserve"> e a terceirização são apontadas como estratégias das empresas para reduzir custos e se adaptar ao contexto de crise, resultando na manutenção das empresas às custas da perda massiva de postos de trabalho formais, o que exemplifica a atuação do Estado na flexibilização das leis trabalhistas para favorecer a financeirização do setor.</w:t>
      </w:r>
    </w:p>
    <w:p w:rsidR="00000000" w:rsidDel="00000000" w:rsidP="00000000" w:rsidRDefault="00000000" w:rsidRPr="00000000" w14:paraId="0000007D">
      <w:pPr>
        <w:shd w:fill="ffffff" w:val="clear"/>
        <w:tabs>
          <w:tab w:val="left" w:leader="none" w:pos="284"/>
        </w:tabs>
        <w:spacing w:line="360" w:lineRule="auto"/>
        <w:jc w:val="both"/>
        <w:rPr>
          <w:color w:val="0f1115"/>
          <w:highlight w:val="white"/>
        </w:rPr>
      </w:pPr>
      <w:r w:rsidDel="00000000" w:rsidR="00000000" w:rsidRPr="00000000">
        <w:rPr>
          <w:rtl w:val="0"/>
        </w:rPr>
      </w:r>
    </w:p>
    <w:p w:rsidR="00000000" w:rsidDel="00000000" w:rsidP="00000000" w:rsidRDefault="00000000" w:rsidRPr="00000000" w14:paraId="0000007E">
      <w:pPr>
        <w:shd w:fill="ffffff" w:val="clear"/>
        <w:tabs>
          <w:tab w:val="left" w:leader="none" w:pos="284"/>
        </w:tabs>
        <w:spacing w:line="360" w:lineRule="auto"/>
        <w:jc w:val="both"/>
        <w:rPr>
          <w:color w:val="0f1115"/>
          <w:highlight w:val="white"/>
        </w:rPr>
      </w:pPr>
      <w:r w:rsidDel="00000000" w:rsidR="00000000" w:rsidRPr="00000000">
        <w:rPr>
          <w:color w:val="0f1115"/>
          <w:highlight w:val="white"/>
          <w:rtl w:val="0"/>
        </w:rPr>
        <w:t xml:space="preserve">4.3 DISTRIBUIÇÃO ESPACIAL</w:t>
      </w:r>
    </w:p>
    <w:p w:rsidR="00000000" w:rsidDel="00000000" w:rsidP="00000000" w:rsidRDefault="00000000" w:rsidRPr="00000000" w14:paraId="0000007F">
      <w:pPr>
        <w:shd w:fill="ffffff" w:val="clear"/>
        <w:tabs>
          <w:tab w:val="left" w:leader="none" w:pos="284"/>
        </w:tabs>
        <w:spacing w:line="360" w:lineRule="auto"/>
        <w:ind w:firstLine="850.3937007874017"/>
        <w:jc w:val="both"/>
        <w:rPr>
          <w:color w:val="0f1115"/>
          <w:highlight w:val="white"/>
        </w:rPr>
      </w:pPr>
      <w:r w:rsidDel="00000000" w:rsidR="00000000" w:rsidRPr="00000000">
        <w:rPr>
          <w:color w:val="0f1115"/>
          <w:highlight w:val="white"/>
          <w:rtl w:val="0"/>
        </w:rPr>
        <w:t xml:space="preserve">Nota-se uma clara estratégia de segmentação de mercado entre os bairros Parque Avenida Pelinca e Parque Tamandaré. O Parque Avenida Pelinca consolida-se como polo comercial e de serviços, concentrando edifícios comerciais mas também de duplo uso - quando possui unidades comerciais e residenciais no mesmo edíficio. Em contrapartida, o Parque Tamandaré mantém caráter predominantemente residencial, atraindo empreendimentos de perfil familiar e de alto padrão.</w:t>
      </w:r>
    </w:p>
    <w:p w:rsidR="00000000" w:rsidDel="00000000" w:rsidP="00000000" w:rsidRDefault="00000000" w:rsidRPr="00000000" w14:paraId="00000080">
      <w:pPr>
        <w:shd w:fill="ffffff" w:val="clear"/>
        <w:tabs>
          <w:tab w:val="left" w:leader="none" w:pos="284"/>
        </w:tabs>
        <w:spacing w:line="360" w:lineRule="auto"/>
        <w:ind w:firstLine="850.3937007874017"/>
        <w:jc w:val="both"/>
        <w:rPr>
          <w:color w:val="0f1115"/>
          <w:highlight w:val="white"/>
        </w:rPr>
      </w:pPr>
      <w:r w:rsidDel="00000000" w:rsidR="00000000" w:rsidRPr="00000000">
        <w:rPr>
          <w:rtl w:val="0"/>
        </w:rPr>
      </w:r>
    </w:p>
    <w:p w:rsidR="00000000" w:rsidDel="00000000" w:rsidP="00000000" w:rsidRDefault="00000000" w:rsidRPr="00000000" w14:paraId="00000081">
      <w:pPr>
        <w:shd w:fill="ffffff" w:val="clear"/>
        <w:tabs>
          <w:tab w:val="left" w:leader="none" w:pos="284"/>
        </w:tabs>
        <w:spacing w:line="360" w:lineRule="auto"/>
        <w:jc w:val="center"/>
        <w:rPr>
          <w:color w:val="0f1115"/>
          <w:sz w:val="20"/>
          <w:szCs w:val="20"/>
          <w:highlight w:val="white"/>
        </w:rPr>
      </w:pPr>
      <w:r w:rsidDel="00000000" w:rsidR="00000000" w:rsidRPr="00000000">
        <w:rPr>
          <w:color w:val="0f1115"/>
          <w:sz w:val="20"/>
          <w:szCs w:val="20"/>
          <w:highlight w:val="white"/>
          <w:rtl w:val="0"/>
        </w:rPr>
        <w:t xml:space="preserve">Mapa 1: Localização dos edifícios no Pq. Av. Pelinca e Pq. Tamandaré em Campos dos Goytacazes/RJ</w:t>
      </w:r>
    </w:p>
    <w:p w:rsidR="00000000" w:rsidDel="00000000" w:rsidP="00000000" w:rsidRDefault="00000000" w:rsidRPr="00000000" w14:paraId="00000082">
      <w:pPr>
        <w:shd w:fill="ffffff" w:val="clear"/>
        <w:tabs>
          <w:tab w:val="left" w:leader="none" w:pos="284"/>
        </w:tabs>
        <w:spacing w:line="360" w:lineRule="auto"/>
        <w:jc w:val="center"/>
        <w:rPr>
          <w:color w:val="0f1115"/>
          <w:highlight w:val="white"/>
        </w:rPr>
      </w:pPr>
      <w:r w:rsidDel="00000000" w:rsidR="00000000" w:rsidRPr="00000000">
        <w:rPr>
          <w:color w:val="0f1115"/>
          <w:highlight w:val="white"/>
        </w:rPr>
        <w:drawing>
          <wp:inline distB="114300" distT="114300" distL="114300" distR="114300">
            <wp:extent cx="4837275" cy="3400425"/>
            <wp:effectExtent b="0" l="0" r="0" t="0"/>
            <wp:docPr id="4"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4837275" cy="340042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hd w:fill="ffffff" w:val="clear"/>
        <w:tabs>
          <w:tab w:val="left" w:leader="none" w:pos="284"/>
        </w:tabs>
        <w:spacing w:line="360" w:lineRule="auto"/>
        <w:jc w:val="both"/>
        <w:rPr>
          <w:color w:val="0f1115"/>
          <w:sz w:val="20"/>
          <w:szCs w:val="20"/>
          <w:highlight w:val="white"/>
        </w:rPr>
      </w:pPr>
      <w:r w:rsidDel="00000000" w:rsidR="00000000" w:rsidRPr="00000000">
        <w:rPr>
          <w:color w:val="0f1115"/>
          <w:sz w:val="20"/>
          <w:szCs w:val="20"/>
          <w:highlight w:val="white"/>
          <w:rtl w:val="0"/>
        </w:rPr>
        <w:tab/>
        <w:tab/>
        <w:t xml:space="preserve">Fonte: Secretária de obras. Elaboração do autor.</w:t>
      </w:r>
    </w:p>
    <w:p w:rsidR="00000000" w:rsidDel="00000000" w:rsidP="00000000" w:rsidRDefault="00000000" w:rsidRPr="00000000" w14:paraId="00000084">
      <w:pPr>
        <w:shd w:fill="ffffff" w:val="clear"/>
        <w:tabs>
          <w:tab w:val="left" w:leader="none" w:pos="284"/>
        </w:tabs>
        <w:spacing w:line="360" w:lineRule="auto"/>
        <w:jc w:val="both"/>
        <w:rPr>
          <w:color w:val="0f1115"/>
          <w:sz w:val="20"/>
          <w:szCs w:val="20"/>
          <w:highlight w:val="white"/>
        </w:rPr>
      </w:pPr>
      <w:r w:rsidDel="00000000" w:rsidR="00000000" w:rsidRPr="00000000">
        <w:rPr>
          <w:rtl w:val="0"/>
        </w:rPr>
      </w:r>
    </w:p>
    <w:p w:rsidR="00000000" w:rsidDel="00000000" w:rsidP="00000000" w:rsidRDefault="00000000" w:rsidRPr="00000000" w14:paraId="00000085">
      <w:pPr>
        <w:shd w:fill="ffffff" w:val="clear"/>
        <w:tabs>
          <w:tab w:val="left" w:leader="none" w:pos="284"/>
        </w:tabs>
        <w:spacing w:line="360" w:lineRule="auto"/>
        <w:ind w:firstLine="850.3937007874017"/>
        <w:jc w:val="both"/>
        <w:rPr>
          <w:color w:val="0f1115"/>
          <w:highlight w:val="white"/>
        </w:rPr>
      </w:pPr>
      <w:r w:rsidDel="00000000" w:rsidR="00000000" w:rsidRPr="00000000">
        <w:rPr>
          <w:color w:val="0f1115"/>
          <w:highlight w:val="white"/>
          <w:rtl w:val="0"/>
        </w:rPr>
        <w:t xml:space="preserve">Essa segregação funcional evidencia que a localização é vista especialmente como mercadoria (VILLAÇA, 1978), onde o valor dos imóveis é potencializado pela acessibilidade a equipamentos urbanos e serviços que o rodeiam. A presença de população com alto poder aquisitivo nestas áreas, consolida esses bairros como alvo preferencial para investimentos imobiliários, orientando as estratégias locacionais das construtoras em função da maximização do retorno financeiro.</w:t>
      </w:r>
    </w:p>
    <w:p w:rsidR="00000000" w:rsidDel="00000000" w:rsidP="00000000" w:rsidRDefault="00000000" w:rsidRPr="00000000" w14:paraId="00000086">
      <w:pPr>
        <w:shd w:fill="ffffff" w:val="clear"/>
        <w:tabs>
          <w:tab w:val="left" w:leader="none" w:pos="284"/>
        </w:tabs>
        <w:spacing w:line="360" w:lineRule="auto"/>
        <w:ind w:firstLine="850.3937007874017"/>
        <w:jc w:val="both"/>
        <w:rPr>
          <w:color w:val="0f1115"/>
          <w:highlight w:val="white"/>
        </w:rPr>
      </w:pPr>
      <w:r w:rsidDel="00000000" w:rsidR="00000000" w:rsidRPr="00000000">
        <w:rPr>
          <w:rtl w:val="0"/>
        </w:rPr>
      </w:r>
    </w:p>
    <w:p w:rsidR="00000000" w:rsidDel="00000000" w:rsidP="00000000" w:rsidRDefault="00000000" w:rsidRPr="00000000" w14:paraId="00000087">
      <w:pPr>
        <w:shd w:fill="ffffff" w:val="clear"/>
        <w:tabs>
          <w:tab w:val="left" w:leader="none" w:pos="284"/>
        </w:tabs>
        <w:spacing w:line="360" w:lineRule="auto"/>
        <w:jc w:val="both"/>
        <w:rPr>
          <w:b w:val="1"/>
          <w:color w:val="0f1115"/>
          <w:highlight w:val="white"/>
        </w:rPr>
      </w:pPr>
      <w:r w:rsidDel="00000000" w:rsidR="00000000" w:rsidRPr="00000000">
        <w:rPr>
          <w:color w:val="0f1115"/>
          <w:highlight w:val="white"/>
          <w:rtl w:val="0"/>
        </w:rPr>
        <w:t xml:space="preserve">4.4 IDENTIFICANDO AGENTES</w:t>
      </w:r>
      <w:r w:rsidDel="00000000" w:rsidR="00000000" w:rsidRPr="00000000">
        <w:rPr>
          <w:rtl w:val="0"/>
        </w:rPr>
      </w:r>
    </w:p>
    <w:p w:rsidR="00000000" w:rsidDel="00000000" w:rsidP="00000000" w:rsidRDefault="00000000" w:rsidRPr="00000000" w14:paraId="00000088">
      <w:pPr>
        <w:shd w:fill="ffffff" w:val="clear"/>
        <w:tabs>
          <w:tab w:val="left" w:leader="none" w:pos="284"/>
        </w:tabs>
        <w:spacing w:line="360" w:lineRule="auto"/>
        <w:ind w:firstLine="850.3937007874017"/>
        <w:jc w:val="both"/>
        <w:rPr>
          <w:color w:val="0f1115"/>
          <w:highlight w:val="white"/>
        </w:rPr>
      </w:pPr>
      <w:r w:rsidDel="00000000" w:rsidR="00000000" w:rsidRPr="00000000">
        <w:rPr>
          <w:color w:val="0f1115"/>
          <w:highlight w:val="white"/>
          <w:rtl w:val="0"/>
        </w:rPr>
        <w:t xml:space="preserve">Foram identificadas através do documento Habite-se um total de 35 construtoras/incorporadoras com maioria sendo de origem local, apenas 6 são de fora da cidade (Rio de Janeiro, Vitória e São Paulo cada uma com duas empresas), evidenciando que a presença marcante é de agentes locais na produção do espaço nesses bairros. Observou-se que parte dos edifícios construídos como Pessoa Jurídica para Fins Específicos (PJEs)</w:t>
      </w:r>
      <w:r w:rsidDel="00000000" w:rsidR="00000000" w:rsidRPr="00000000">
        <w:rPr>
          <w:color w:val="0f1115"/>
          <w:highlight w:val="white"/>
          <w:vertAlign w:val="superscript"/>
        </w:rPr>
        <w:footnoteReference w:customMarkFollows="0" w:id="6"/>
      </w:r>
      <w:r w:rsidDel="00000000" w:rsidR="00000000" w:rsidRPr="00000000">
        <w:rPr>
          <w:color w:val="0f1115"/>
          <w:highlight w:val="white"/>
          <w:rtl w:val="0"/>
        </w:rPr>
        <w:t xml:space="preserve"> como estratégia para isolar riscos financeiros e legais, protegendo o patrimônio da empresa-mãe em cada empreendimento. Cada construtora desenvolve uma estratégia de comercialização distintiva, destinada a seu público-alvo. Contudo, nota-se uma flexibilidade estratégica, na qual essas empresas também exploram padrões construtivos fora de seu portfólio habitual, adaptando-se tanto às oportunidades de mercado.</w:t>
      </w:r>
    </w:p>
    <w:p w:rsidR="00000000" w:rsidDel="00000000" w:rsidP="00000000" w:rsidRDefault="00000000" w:rsidRPr="00000000" w14:paraId="00000089">
      <w:pPr>
        <w:shd w:fill="ffffff" w:val="clear"/>
        <w:tabs>
          <w:tab w:val="left" w:leader="none" w:pos="834.0000000000002"/>
        </w:tabs>
        <w:spacing w:line="360" w:lineRule="auto"/>
        <w:ind w:firstLine="850.3937007874017"/>
        <w:jc w:val="both"/>
        <w:rPr>
          <w:color w:val="0f1115"/>
          <w:highlight w:val="white"/>
        </w:rPr>
      </w:pPr>
      <w:r w:rsidDel="00000000" w:rsidR="00000000" w:rsidRPr="00000000">
        <w:rPr>
          <w:color w:val="0f1115"/>
          <w:highlight w:val="white"/>
          <w:rtl w:val="0"/>
        </w:rPr>
        <w:t xml:space="preserve">Foi possível também mapear a produção verticalizada formal nos bairros estudados (Quadro 1), servindo como base para a categorização dos empreendimentos.</w:t>
      </w:r>
    </w:p>
    <w:p w:rsidR="00000000" w:rsidDel="00000000" w:rsidP="00000000" w:rsidRDefault="00000000" w:rsidRPr="00000000" w14:paraId="0000008A">
      <w:pPr>
        <w:shd w:fill="ffffff" w:val="clear"/>
        <w:tabs>
          <w:tab w:val="left" w:leader="none" w:pos="284"/>
        </w:tabs>
        <w:spacing w:before="240" w:line="360" w:lineRule="auto"/>
        <w:jc w:val="center"/>
        <w:rPr>
          <w:sz w:val="20"/>
          <w:szCs w:val="20"/>
        </w:rPr>
      </w:pPr>
      <w:r w:rsidDel="00000000" w:rsidR="00000000" w:rsidRPr="00000000">
        <w:rPr>
          <w:sz w:val="20"/>
          <w:szCs w:val="20"/>
          <w:rtl w:val="0"/>
        </w:rPr>
        <w:t xml:space="preserve">Quadro 1- Habite-se emitido na Secretaria de Obras de Campos dos Goytacazes no período de 2010 a 2020</w:t>
      </w:r>
    </w:p>
    <w:tbl>
      <w:tblPr>
        <w:tblStyle w:val="Table2"/>
        <w:tblW w:w="90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615"/>
        <w:gridCol w:w="495"/>
        <w:gridCol w:w="570"/>
        <w:gridCol w:w="630"/>
        <w:gridCol w:w="585"/>
        <w:gridCol w:w="660"/>
        <w:gridCol w:w="570"/>
        <w:gridCol w:w="495"/>
        <w:gridCol w:w="540"/>
        <w:gridCol w:w="570"/>
        <w:gridCol w:w="615"/>
        <w:gridCol w:w="795"/>
        <w:tblGridChange w:id="0">
          <w:tblGrid>
            <w:gridCol w:w="1905"/>
            <w:gridCol w:w="615"/>
            <w:gridCol w:w="495"/>
            <w:gridCol w:w="570"/>
            <w:gridCol w:w="630"/>
            <w:gridCol w:w="585"/>
            <w:gridCol w:w="660"/>
            <w:gridCol w:w="570"/>
            <w:gridCol w:w="495"/>
            <w:gridCol w:w="540"/>
            <w:gridCol w:w="570"/>
            <w:gridCol w:w="615"/>
            <w:gridCol w:w="795"/>
          </w:tblGrid>
        </w:tblGridChange>
      </w:tblGrid>
      <w:tr>
        <w:trPr>
          <w:cantSplit w:val="0"/>
          <w:tblHeader w:val="0"/>
        </w:trPr>
        <w:tc>
          <w:tcPr>
            <w:shd w:fill="b7b7b7" w:val="clear"/>
            <w:tcMar>
              <w:top w:w="43.08661417322835" w:type="dxa"/>
              <w:left w:w="43.08661417322835" w:type="dxa"/>
              <w:bottom w:w="43.08661417322835" w:type="dxa"/>
              <w:right w:w="43.08661417322835" w:type="dxa"/>
            </w:tcMar>
          </w:tcPr>
          <w:p w:rsidR="00000000" w:rsidDel="00000000" w:rsidP="00000000" w:rsidRDefault="00000000" w:rsidRPr="00000000" w14:paraId="0000008B">
            <w:pPr>
              <w:widowControl w:val="0"/>
              <w:jc w:val="center"/>
              <w:rPr>
                <w:b w:val="1"/>
                <w:sz w:val="20"/>
                <w:szCs w:val="20"/>
              </w:rPr>
            </w:pPr>
            <w:r w:rsidDel="00000000" w:rsidR="00000000" w:rsidRPr="00000000">
              <w:rPr>
                <w:b w:val="1"/>
                <w:sz w:val="20"/>
                <w:szCs w:val="20"/>
                <w:rtl w:val="0"/>
              </w:rPr>
              <w:t xml:space="preserve">ANO</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8C">
            <w:pPr>
              <w:widowControl w:val="0"/>
              <w:jc w:val="center"/>
              <w:rPr>
                <w:sz w:val="20"/>
                <w:szCs w:val="20"/>
              </w:rPr>
            </w:pPr>
            <w:r w:rsidDel="00000000" w:rsidR="00000000" w:rsidRPr="00000000">
              <w:rPr>
                <w:sz w:val="20"/>
                <w:szCs w:val="20"/>
                <w:rtl w:val="0"/>
              </w:rPr>
              <w:t xml:space="preserve">2010</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8D">
            <w:pPr>
              <w:widowControl w:val="0"/>
              <w:jc w:val="center"/>
              <w:rPr>
                <w:sz w:val="20"/>
                <w:szCs w:val="20"/>
              </w:rPr>
            </w:pPr>
            <w:r w:rsidDel="00000000" w:rsidR="00000000" w:rsidRPr="00000000">
              <w:rPr>
                <w:sz w:val="20"/>
                <w:szCs w:val="20"/>
                <w:rtl w:val="0"/>
              </w:rPr>
              <w:t xml:space="preserve">2011</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8E">
            <w:pPr>
              <w:widowControl w:val="0"/>
              <w:jc w:val="center"/>
              <w:rPr>
                <w:sz w:val="20"/>
                <w:szCs w:val="20"/>
              </w:rPr>
            </w:pPr>
            <w:r w:rsidDel="00000000" w:rsidR="00000000" w:rsidRPr="00000000">
              <w:rPr>
                <w:sz w:val="20"/>
                <w:szCs w:val="20"/>
                <w:rtl w:val="0"/>
              </w:rPr>
              <w:t xml:space="preserve">2012</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8F">
            <w:pPr>
              <w:widowControl w:val="0"/>
              <w:jc w:val="center"/>
              <w:rPr>
                <w:sz w:val="20"/>
                <w:szCs w:val="20"/>
              </w:rPr>
            </w:pPr>
            <w:r w:rsidDel="00000000" w:rsidR="00000000" w:rsidRPr="00000000">
              <w:rPr>
                <w:sz w:val="20"/>
                <w:szCs w:val="20"/>
                <w:rtl w:val="0"/>
              </w:rPr>
              <w:t xml:space="preserve">2013</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90">
            <w:pPr>
              <w:widowControl w:val="0"/>
              <w:jc w:val="center"/>
              <w:rPr>
                <w:sz w:val="20"/>
                <w:szCs w:val="20"/>
              </w:rPr>
            </w:pPr>
            <w:r w:rsidDel="00000000" w:rsidR="00000000" w:rsidRPr="00000000">
              <w:rPr>
                <w:sz w:val="20"/>
                <w:szCs w:val="20"/>
                <w:rtl w:val="0"/>
              </w:rPr>
              <w:t xml:space="preserve">2014</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91">
            <w:pPr>
              <w:widowControl w:val="0"/>
              <w:jc w:val="center"/>
              <w:rPr>
                <w:sz w:val="20"/>
                <w:szCs w:val="20"/>
              </w:rPr>
            </w:pPr>
            <w:r w:rsidDel="00000000" w:rsidR="00000000" w:rsidRPr="00000000">
              <w:rPr>
                <w:sz w:val="20"/>
                <w:szCs w:val="20"/>
                <w:rtl w:val="0"/>
              </w:rPr>
              <w:t xml:space="preserve">2015</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92">
            <w:pPr>
              <w:widowControl w:val="0"/>
              <w:jc w:val="center"/>
              <w:rPr>
                <w:sz w:val="20"/>
                <w:szCs w:val="20"/>
              </w:rPr>
            </w:pPr>
            <w:r w:rsidDel="00000000" w:rsidR="00000000" w:rsidRPr="00000000">
              <w:rPr>
                <w:sz w:val="20"/>
                <w:szCs w:val="20"/>
                <w:rtl w:val="0"/>
              </w:rPr>
              <w:t xml:space="preserve">2016</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93">
            <w:pPr>
              <w:widowControl w:val="0"/>
              <w:jc w:val="center"/>
              <w:rPr>
                <w:sz w:val="20"/>
                <w:szCs w:val="20"/>
              </w:rPr>
            </w:pPr>
            <w:r w:rsidDel="00000000" w:rsidR="00000000" w:rsidRPr="00000000">
              <w:rPr>
                <w:sz w:val="20"/>
                <w:szCs w:val="20"/>
                <w:rtl w:val="0"/>
              </w:rPr>
              <w:t xml:space="preserve">2017</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94">
            <w:pPr>
              <w:widowControl w:val="0"/>
              <w:jc w:val="center"/>
              <w:rPr>
                <w:sz w:val="20"/>
                <w:szCs w:val="20"/>
              </w:rPr>
            </w:pPr>
            <w:r w:rsidDel="00000000" w:rsidR="00000000" w:rsidRPr="00000000">
              <w:rPr>
                <w:sz w:val="20"/>
                <w:szCs w:val="20"/>
                <w:rtl w:val="0"/>
              </w:rPr>
              <w:t xml:space="preserve">2018</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95">
            <w:pPr>
              <w:widowControl w:val="0"/>
              <w:jc w:val="center"/>
              <w:rPr>
                <w:sz w:val="20"/>
                <w:szCs w:val="20"/>
              </w:rPr>
            </w:pPr>
            <w:r w:rsidDel="00000000" w:rsidR="00000000" w:rsidRPr="00000000">
              <w:rPr>
                <w:sz w:val="20"/>
                <w:szCs w:val="20"/>
                <w:rtl w:val="0"/>
              </w:rPr>
              <w:t xml:space="preserve">2019</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96">
            <w:pPr>
              <w:widowControl w:val="0"/>
              <w:jc w:val="center"/>
              <w:rPr>
                <w:sz w:val="20"/>
                <w:szCs w:val="20"/>
              </w:rPr>
            </w:pPr>
            <w:r w:rsidDel="00000000" w:rsidR="00000000" w:rsidRPr="00000000">
              <w:rPr>
                <w:sz w:val="20"/>
                <w:szCs w:val="20"/>
                <w:rtl w:val="0"/>
              </w:rPr>
              <w:t xml:space="preserve">2020</w:t>
            </w:r>
          </w:p>
        </w:tc>
        <w:tc>
          <w:tcPr>
            <w:shd w:fill="b7b7b7"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97">
            <w:pPr>
              <w:widowControl w:val="0"/>
              <w:jc w:val="center"/>
              <w:rPr>
                <w:sz w:val="20"/>
                <w:szCs w:val="20"/>
              </w:rPr>
            </w:pPr>
            <w:r w:rsidDel="00000000" w:rsidR="00000000" w:rsidRPr="00000000">
              <w:rPr>
                <w:sz w:val="20"/>
                <w:szCs w:val="20"/>
                <w:rtl w:val="0"/>
              </w:rPr>
              <w:t xml:space="preserve">TOTAL</w:t>
            </w:r>
          </w:p>
        </w:tc>
      </w:tr>
      <w:tr>
        <w:trPr>
          <w:cantSplit w:val="0"/>
          <w:tblHeader w:val="0"/>
        </w:trPr>
        <w:tc>
          <w:tcPr>
            <w:shd w:fill="b7b7b7" w:val="clear"/>
            <w:tcMar>
              <w:top w:w="43.08661417322835" w:type="dxa"/>
              <w:left w:w="43.08661417322835" w:type="dxa"/>
              <w:bottom w:w="43.08661417322835" w:type="dxa"/>
              <w:right w:w="43.08661417322835" w:type="dxa"/>
            </w:tcMar>
          </w:tcPr>
          <w:p w:rsidR="00000000" w:rsidDel="00000000" w:rsidP="00000000" w:rsidRDefault="00000000" w:rsidRPr="00000000" w14:paraId="00000098">
            <w:pPr>
              <w:widowControl w:val="0"/>
              <w:jc w:val="center"/>
              <w:rPr>
                <w:b w:val="1"/>
                <w:sz w:val="20"/>
                <w:szCs w:val="20"/>
              </w:rPr>
            </w:pPr>
            <w:r w:rsidDel="00000000" w:rsidR="00000000" w:rsidRPr="00000000">
              <w:rPr>
                <w:b w:val="1"/>
                <w:sz w:val="20"/>
                <w:szCs w:val="20"/>
                <w:rtl w:val="0"/>
              </w:rPr>
              <w:t xml:space="preserve">Nº de Edifícios</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99">
            <w:pPr>
              <w:widowControl w:val="0"/>
              <w:jc w:val="center"/>
              <w:rPr>
                <w:sz w:val="20"/>
                <w:szCs w:val="20"/>
              </w:rPr>
            </w:pPr>
            <w:r w:rsidDel="00000000" w:rsidR="00000000" w:rsidRPr="00000000">
              <w:rPr>
                <w:sz w:val="20"/>
                <w:szCs w:val="20"/>
                <w:rtl w:val="0"/>
              </w:rPr>
              <w:t xml:space="preserve">4</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9A">
            <w:pPr>
              <w:widowControl w:val="0"/>
              <w:jc w:val="center"/>
              <w:rPr>
                <w:sz w:val="20"/>
                <w:szCs w:val="20"/>
              </w:rPr>
            </w:pPr>
            <w:r w:rsidDel="00000000" w:rsidR="00000000" w:rsidRPr="00000000">
              <w:rPr>
                <w:sz w:val="20"/>
                <w:szCs w:val="20"/>
                <w:rtl w:val="0"/>
              </w:rPr>
              <w:t xml:space="preserve">11</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9B">
            <w:pPr>
              <w:widowControl w:val="0"/>
              <w:jc w:val="center"/>
              <w:rPr>
                <w:sz w:val="20"/>
                <w:szCs w:val="20"/>
              </w:rPr>
            </w:pPr>
            <w:r w:rsidDel="00000000" w:rsidR="00000000" w:rsidRPr="00000000">
              <w:rPr>
                <w:sz w:val="20"/>
                <w:szCs w:val="20"/>
                <w:rtl w:val="0"/>
              </w:rPr>
              <w:t xml:space="preserve">4</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9C">
            <w:pPr>
              <w:widowControl w:val="0"/>
              <w:jc w:val="center"/>
              <w:rPr>
                <w:sz w:val="20"/>
                <w:szCs w:val="20"/>
              </w:rPr>
            </w:pPr>
            <w:r w:rsidDel="00000000" w:rsidR="00000000" w:rsidRPr="00000000">
              <w:rPr>
                <w:sz w:val="20"/>
                <w:szCs w:val="20"/>
                <w:rtl w:val="0"/>
              </w:rPr>
              <w:t xml:space="preserve">5</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9D">
            <w:pPr>
              <w:widowControl w:val="0"/>
              <w:jc w:val="center"/>
              <w:rPr>
                <w:sz w:val="20"/>
                <w:szCs w:val="20"/>
              </w:rPr>
            </w:pPr>
            <w:r w:rsidDel="00000000" w:rsidR="00000000" w:rsidRPr="00000000">
              <w:rPr>
                <w:sz w:val="20"/>
                <w:szCs w:val="20"/>
                <w:rtl w:val="0"/>
              </w:rPr>
              <w:t xml:space="preserve">3</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9E">
            <w:pPr>
              <w:widowControl w:val="0"/>
              <w:jc w:val="center"/>
              <w:rPr>
                <w:sz w:val="20"/>
                <w:szCs w:val="20"/>
              </w:rPr>
            </w:pPr>
            <w:r w:rsidDel="00000000" w:rsidR="00000000" w:rsidRPr="00000000">
              <w:rPr>
                <w:sz w:val="20"/>
                <w:szCs w:val="20"/>
                <w:rtl w:val="0"/>
              </w:rPr>
              <w:t xml:space="preserve">3</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9F">
            <w:pPr>
              <w:widowControl w:val="0"/>
              <w:jc w:val="center"/>
              <w:rPr>
                <w:sz w:val="20"/>
                <w:szCs w:val="20"/>
              </w:rPr>
            </w:pPr>
            <w:r w:rsidDel="00000000" w:rsidR="00000000" w:rsidRPr="00000000">
              <w:rPr>
                <w:sz w:val="20"/>
                <w:szCs w:val="20"/>
                <w:rtl w:val="0"/>
              </w:rPr>
              <w:t xml:space="preserve">11</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A0">
            <w:pPr>
              <w:widowControl w:val="0"/>
              <w:jc w:val="center"/>
              <w:rPr>
                <w:sz w:val="20"/>
                <w:szCs w:val="20"/>
              </w:rPr>
            </w:pPr>
            <w:r w:rsidDel="00000000" w:rsidR="00000000" w:rsidRPr="00000000">
              <w:rPr>
                <w:sz w:val="20"/>
                <w:szCs w:val="20"/>
                <w:rtl w:val="0"/>
              </w:rPr>
              <w:t xml:space="preserve">1</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A1">
            <w:pPr>
              <w:widowControl w:val="0"/>
              <w:jc w:val="center"/>
              <w:rPr>
                <w:sz w:val="20"/>
                <w:szCs w:val="20"/>
              </w:rPr>
            </w:pPr>
            <w:r w:rsidDel="00000000" w:rsidR="00000000" w:rsidRPr="00000000">
              <w:rPr>
                <w:sz w:val="20"/>
                <w:szCs w:val="20"/>
                <w:rtl w:val="0"/>
              </w:rPr>
              <w:t xml:space="preserve">5</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A2">
            <w:pPr>
              <w:widowControl w:val="0"/>
              <w:jc w:val="center"/>
              <w:rPr>
                <w:sz w:val="20"/>
                <w:szCs w:val="20"/>
              </w:rPr>
            </w:pPr>
            <w:r w:rsidDel="00000000" w:rsidR="00000000" w:rsidRPr="00000000">
              <w:rPr>
                <w:sz w:val="20"/>
                <w:szCs w:val="20"/>
                <w:rtl w:val="0"/>
              </w:rPr>
              <w:t xml:space="preserve">5</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A3">
            <w:pPr>
              <w:widowControl w:val="0"/>
              <w:jc w:val="center"/>
              <w:rPr>
                <w:sz w:val="20"/>
                <w:szCs w:val="20"/>
              </w:rPr>
            </w:pPr>
            <w:r w:rsidDel="00000000" w:rsidR="00000000" w:rsidRPr="00000000">
              <w:rPr>
                <w:sz w:val="20"/>
                <w:szCs w:val="20"/>
                <w:rtl w:val="0"/>
              </w:rPr>
              <w:t xml:space="preserve">1</w:t>
            </w:r>
          </w:p>
        </w:tc>
        <w:tc>
          <w:tcPr>
            <w:shd w:fill="b7b7b7"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A4">
            <w:pPr>
              <w:widowControl w:val="0"/>
              <w:jc w:val="center"/>
              <w:rPr>
                <w:sz w:val="20"/>
                <w:szCs w:val="20"/>
              </w:rPr>
            </w:pPr>
            <w:r w:rsidDel="00000000" w:rsidR="00000000" w:rsidRPr="00000000">
              <w:rPr>
                <w:sz w:val="20"/>
                <w:szCs w:val="20"/>
                <w:rtl w:val="0"/>
              </w:rPr>
              <w:t xml:space="preserve">53</w:t>
            </w:r>
          </w:p>
        </w:tc>
      </w:tr>
      <w:tr>
        <w:trPr>
          <w:cantSplit w:val="0"/>
          <w:tblHeader w:val="0"/>
        </w:trPr>
        <w:tc>
          <w:tcPr>
            <w:shd w:fill="b7b7b7" w:val="clear"/>
            <w:tcMar>
              <w:top w:w="43.08661417322835" w:type="dxa"/>
              <w:left w:w="43.08661417322835" w:type="dxa"/>
              <w:bottom w:w="43.08661417322835" w:type="dxa"/>
              <w:right w:w="43.08661417322835" w:type="dxa"/>
            </w:tcMar>
          </w:tcPr>
          <w:p w:rsidR="00000000" w:rsidDel="00000000" w:rsidP="00000000" w:rsidRDefault="00000000" w:rsidRPr="00000000" w14:paraId="000000A5">
            <w:pPr>
              <w:widowControl w:val="0"/>
              <w:jc w:val="center"/>
              <w:rPr>
                <w:b w:val="1"/>
                <w:sz w:val="20"/>
                <w:szCs w:val="20"/>
              </w:rPr>
            </w:pPr>
            <w:r w:rsidDel="00000000" w:rsidR="00000000" w:rsidRPr="00000000">
              <w:rPr>
                <w:b w:val="1"/>
                <w:sz w:val="20"/>
                <w:szCs w:val="20"/>
                <w:rtl w:val="0"/>
              </w:rPr>
              <w:t xml:space="preserve">Número de Unidades entregues</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A6">
            <w:pPr>
              <w:widowControl w:val="0"/>
              <w:jc w:val="center"/>
              <w:rPr>
                <w:sz w:val="20"/>
                <w:szCs w:val="20"/>
              </w:rPr>
            </w:pPr>
            <w:r w:rsidDel="00000000" w:rsidR="00000000" w:rsidRPr="00000000">
              <w:rPr>
                <w:sz w:val="20"/>
                <w:szCs w:val="20"/>
                <w:rtl w:val="0"/>
              </w:rPr>
              <w:t xml:space="preserve">130</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A7">
            <w:pPr>
              <w:widowControl w:val="0"/>
              <w:jc w:val="center"/>
              <w:rPr>
                <w:sz w:val="20"/>
                <w:szCs w:val="20"/>
              </w:rPr>
            </w:pPr>
            <w:r w:rsidDel="00000000" w:rsidR="00000000" w:rsidRPr="00000000">
              <w:rPr>
                <w:sz w:val="20"/>
                <w:szCs w:val="20"/>
                <w:rtl w:val="0"/>
              </w:rPr>
              <w:t xml:space="preserve">669</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A8">
            <w:pPr>
              <w:widowControl w:val="0"/>
              <w:jc w:val="center"/>
              <w:rPr>
                <w:sz w:val="20"/>
                <w:szCs w:val="20"/>
              </w:rPr>
            </w:pPr>
            <w:r w:rsidDel="00000000" w:rsidR="00000000" w:rsidRPr="00000000">
              <w:rPr>
                <w:sz w:val="20"/>
                <w:szCs w:val="20"/>
                <w:rtl w:val="0"/>
              </w:rPr>
              <w:t xml:space="preserve">333</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A9">
            <w:pPr>
              <w:widowControl w:val="0"/>
              <w:jc w:val="center"/>
              <w:rPr>
                <w:sz w:val="20"/>
                <w:szCs w:val="20"/>
              </w:rPr>
            </w:pPr>
            <w:r w:rsidDel="00000000" w:rsidR="00000000" w:rsidRPr="00000000">
              <w:rPr>
                <w:sz w:val="20"/>
                <w:szCs w:val="20"/>
                <w:rtl w:val="0"/>
              </w:rPr>
              <w:t xml:space="preserve">280</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AA">
            <w:pPr>
              <w:widowControl w:val="0"/>
              <w:jc w:val="center"/>
              <w:rPr>
                <w:sz w:val="20"/>
                <w:szCs w:val="20"/>
              </w:rPr>
            </w:pPr>
            <w:r w:rsidDel="00000000" w:rsidR="00000000" w:rsidRPr="00000000">
              <w:rPr>
                <w:sz w:val="20"/>
                <w:szCs w:val="20"/>
                <w:rtl w:val="0"/>
              </w:rPr>
              <w:t xml:space="preserve">173</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AB">
            <w:pPr>
              <w:widowControl w:val="0"/>
              <w:jc w:val="center"/>
              <w:rPr>
                <w:sz w:val="20"/>
                <w:szCs w:val="20"/>
              </w:rPr>
            </w:pPr>
            <w:r w:rsidDel="00000000" w:rsidR="00000000" w:rsidRPr="00000000">
              <w:rPr>
                <w:sz w:val="20"/>
                <w:szCs w:val="20"/>
                <w:rtl w:val="0"/>
              </w:rPr>
              <w:t xml:space="preserve">557</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AC">
            <w:pPr>
              <w:widowControl w:val="0"/>
              <w:jc w:val="center"/>
              <w:rPr>
                <w:sz w:val="20"/>
                <w:szCs w:val="20"/>
              </w:rPr>
            </w:pPr>
            <w:r w:rsidDel="00000000" w:rsidR="00000000" w:rsidRPr="00000000">
              <w:rPr>
                <w:sz w:val="20"/>
                <w:szCs w:val="20"/>
                <w:rtl w:val="0"/>
              </w:rPr>
              <w:t xml:space="preserve">549</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AD">
            <w:pPr>
              <w:widowControl w:val="0"/>
              <w:jc w:val="center"/>
              <w:rPr>
                <w:sz w:val="20"/>
                <w:szCs w:val="20"/>
              </w:rPr>
            </w:pPr>
            <w:r w:rsidDel="00000000" w:rsidR="00000000" w:rsidRPr="00000000">
              <w:rPr>
                <w:sz w:val="20"/>
                <w:szCs w:val="20"/>
                <w:rtl w:val="0"/>
              </w:rPr>
              <w:t xml:space="preserve">205</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AE">
            <w:pPr>
              <w:widowControl w:val="0"/>
              <w:jc w:val="center"/>
              <w:rPr>
                <w:sz w:val="20"/>
                <w:szCs w:val="20"/>
              </w:rPr>
            </w:pPr>
            <w:r w:rsidDel="00000000" w:rsidR="00000000" w:rsidRPr="00000000">
              <w:rPr>
                <w:sz w:val="20"/>
                <w:szCs w:val="20"/>
                <w:rtl w:val="0"/>
              </w:rPr>
              <w:t xml:space="preserve">839</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AF">
            <w:pPr>
              <w:widowControl w:val="0"/>
              <w:jc w:val="center"/>
              <w:rPr>
                <w:sz w:val="20"/>
                <w:szCs w:val="20"/>
              </w:rPr>
            </w:pPr>
            <w:r w:rsidDel="00000000" w:rsidR="00000000" w:rsidRPr="00000000">
              <w:rPr>
                <w:sz w:val="20"/>
                <w:szCs w:val="20"/>
                <w:rtl w:val="0"/>
              </w:rPr>
              <w:t xml:space="preserve">255</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B0">
            <w:pPr>
              <w:widowControl w:val="0"/>
              <w:jc w:val="center"/>
              <w:rPr>
                <w:sz w:val="20"/>
                <w:szCs w:val="20"/>
              </w:rPr>
            </w:pPr>
            <w:r w:rsidDel="00000000" w:rsidR="00000000" w:rsidRPr="00000000">
              <w:rPr>
                <w:sz w:val="20"/>
                <w:szCs w:val="20"/>
                <w:rtl w:val="0"/>
              </w:rPr>
              <w:t xml:space="preserve">295</w:t>
            </w:r>
          </w:p>
        </w:tc>
        <w:tc>
          <w:tcPr>
            <w:shd w:fill="b7b7b7"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B1">
            <w:pPr>
              <w:widowControl w:val="0"/>
              <w:jc w:val="center"/>
              <w:rPr>
                <w:sz w:val="20"/>
                <w:szCs w:val="20"/>
              </w:rPr>
            </w:pPr>
            <w:r w:rsidDel="00000000" w:rsidR="00000000" w:rsidRPr="00000000">
              <w:rPr>
                <w:sz w:val="20"/>
                <w:szCs w:val="20"/>
                <w:rtl w:val="0"/>
              </w:rPr>
              <w:t xml:space="preserve">4285</w:t>
            </w:r>
          </w:p>
        </w:tc>
      </w:tr>
    </w:tbl>
    <w:p w:rsidR="00000000" w:rsidDel="00000000" w:rsidP="00000000" w:rsidRDefault="00000000" w:rsidRPr="00000000" w14:paraId="000000B2">
      <w:pPr>
        <w:spacing w:line="360" w:lineRule="auto"/>
        <w:jc w:val="both"/>
        <w:rPr>
          <w:color w:val="0f1115"/>
          <w:highlight w:val="white"/>
        </w:rPr>
      </w:pPr>
      <w:r w:rsidDel="00000000" w:rsidR="00000000" w:rsidRPr="00000000">
        <w:rPr>
          <w:rtl w:val="0"/>
        </w:rPr>
      </w:r>
    </w:p>
    <w:p w:rsidR="00000000" w:rsidDel="00000000" w:rsidP="00000000" w:rsidRDefault="00000000" w:rsidRPr="00000000" w14:paraId="000000B3">
      <w:pPr>
        <w:shd w:fill="ffffff" w:val="clear"/>
        <w:tabs>
          <w:tab w:val="left" w:leader="none" w:pos="284"/>
        </w:tabs>
        <w:spacing w:line="360" w:lineRule="auto"/>
        <w:ind w:firstLine="850.3937007874017"/>
        <w:jc w:val="both"/>
        <w:rPr>
          <w:color w:val="0f1115"/>
          <w:highlight w:val="white"/>
        </w:rPr>
      </w:pPr>
      <w:r w:rsidDel="00000000" w:rsidR="00000000" w:rsidRPr="00000000">
        <w:rPr>
          <w:color w:val="0f1115"/>
          <w:highlight w:val="white"/>
          <w:rtl w:val="0"/>
        </w:rPr>
        <w:t xml:space="preserve">O período de maior pujança ocorreu entre 2010-2015, com destaque para 2011, anos de intensa atividade construtiva. A partir de 2015, inicia-se uma nítida desaceleração, com 2017 registrando o ponto mais baixo do período. Um surto de conclusões de obras é observado em 2018, possivelmente relacionado à finalização de empreendimentos lançados durante o ciclo anterior de expansão. Contudo, os anos de 2019 e 2020 confirmam a tendência de retração, encerrando a década com um volume significativamente menor de novas unidades entregues, o que ilustra a sensibilidade do setor imobiliário aos ciclos macroeconômicos.</w:t>
      </w:r>
    </w:p>
    <w:p w:rsidR="00000000" w:rsidDel="00000000" w:rsidP="00000000" w:rsidRDefault="00000000" w:rsidRPr="00000000" w14:paraId="000000B4">
      <w:pPr>
        <w:shd w:fill="ffffff" w:val="clear"/>
        <w:tabs>
          <w:tab w:val="left" w:leader="none" w:pos="284"/>
        </w:tabs>
        <w:spacing w:line="360" w:lineRule="auto"/>
        <w:ind w:firstLine="850.3937007874017"/>
        <w:jc w:val="both"/>
        <w:rPr>
          <w:color w:val="0f1115"/>
          <w:highlight w:val="white"/>
        </w:rPr>
      </w:pPr>
      <w:r w:rsidDel="00000000" w:rsidR="00000000" w:rsidRPr="00000000">
        <w:rPr>
          <w:rtl w:val="0"/>
        </w:rPr>
      </w:r>
    </w:p>
    <w:p w:rsidR="00000000" w:rsidDel="00000000" w:rsidP="00000000" w:rsidRDefault="00000000" w:rsidRPr="00000000" w14:paraId="000000B5">
      <w:pPr>
        <w:shd w:fill="ffffff" w:val="clear"/>
        <w:tabs>
          <w:tab w:val="left" w:leader="none" w:pos="284"/>
        </w:tabs>
        <w:spacing w:line="360" w:lineRule="auto"/>
        <w:jc w:val="both"/>
        <w:rPr>
          <w:color w:val="0f1115"/>
          <w:highlight w:val="white"/>
        </w:rPr>
      </w:pPr>
      <w:r w:rsidDel="00000000" w:rsidR="00000000" w:rsidRPr="00000000">
        <w:rPr>
          <w:color w:val="0f1115"/>
          <w:highlight w:val="white"/>
          <w:rtl w:val="0"/>
        </w:rPr>
        <w:t xml:space="preserve">4.5 DADOS DO HABITE-SE</w:t>
      </w:r>
    </w:p>
    <w:p w:rsidR="00000000" w:rsidDel="00000000" w:rsidP="00000000" w:rsidRDefault="00000000" w:rsidRPr="00000000" w14:paraId="000000B6">
      <w:pPr>
        <w:shd w:fill="ffffff" w:val="clear"/>
        <w:tabs>
          <w:tab w:val="left" w:leader="none" w:pos="284"/>
        </w:tabs>
        <w:spacing w:line="360" w:lineRule="auto"/>
        <w:ind w:firstLine="850.3937007874017"/>
        <w:jc w:val="both"/>
        <w:rPr>
          <w:color w:val="0f1115"/>
          <w:highlight w:val="white"/>
        </w:rPr>
      </w:pPr>
      <w:r w:rsidDel="00000000" w:rsidR="00000000" w:rsidRPr="00000000">
        <w:rPr>
          <w:color w:val="0f1115"/>
          <w:highlight w:val="white"/>
          <w:rtl w:val="0"/>
        </w:rPr>
        <w:t xml:space="preserve">Para decifrar esses dados, os empreendimentos foram categorizados segundo quatro eixos analíticos: I) quantidade de pavimentos; II) tipologia do imóvel ; III) densidade de unidades; IV) metragem quadrada. Tais dados constam no documento de Habite-se emitido pela secretaria de obras da cidade de Campos dos Goytacazes. Esta sistematização permitiu elucidar não apenas as características físicas da verticalização, mas também inferir o perfil socioeconômico dos residentes e as estratégias predominantes dos seus agentes.</w:t>
      </w:r>
    </w:p>
    <w:p w:rsidR="00000000" w:rsidDel="00000000" w:rsidP="00000000" w:rsidRDefault="00000000" w:rsidRPr="00000000" w14:paraId="000000B7">
      <w:pPr>
        <w:shd w:fill="ffffff" w:val="clear"/>
        <w:tabs>
          <w:tab w:val="left" w:leader="none" w:pos="284"/>
        </w:tabs>
        <w:spacing w:line="360" w:lineRule="auto"/>
        <w:jc w:val="both"/>
        <w:rPr>
          <w:color w:val="0f1115"/>
          <w:highlight w:val="white"/>
        </w:rPr>
      </w:pPr>
      <w:r w:rsidDel="00000000" w:rsidR="00000000" w:rsidRPr="00000000">
        <w:rPr>
          <w:rtl w:val="0"/>
        </w:rPr>
      </w:r>
    </w:p>
    <w:p w:rsidR="00000000" w:rsidDel="00000000" w:rsidP="00000000" w:rsidRDefault="00000000" w:rsidRPr="00000000" w14:paraId="000000B8">
      <w:pPr>
        <w:shd w:fill="ffffff" w:val="clear"/>
        <w:tabs>
          <w:tab w:val="left" w:leader="none" w:pos="284"/>
        </w:tabs>
        <w:spacing w:line="360" w:lineRule="auto"/>
        <w:jc w:val="both"/>
        <w:rPr>
          <w:color w:val="0f1115"/>
          <w:highlight w:val="white"/>
        </w:rPr>
      </w:pPr>
      <w:r w:rsidDel="00000000" w:rsidR="00000000" w:rsidRPr="00000000">
        <w:rPr>
          <w:b w:val="1"/>
          <w:color w:val="0f1115"/>
          <w:highlight w:val="white"/>
          <w:rtl w:val="0"/>
        </w:rPr>
        <w:t xml:space="preserve">4.5.1 NÚMERO DE PAVIMENTOS</w:t>
      </w:r>
      <w:r w:rsidDel="00000000" w:rsidR="00000000" w:rsidRPr="00000000">
        <w:rPr>
          <w:rtl w:val="0"/>
        </w:rPr>
      </w:r>
    </w:p>
    <w:p w:rsidR="00000000" w:rsidDel="00000000" w:rsidP="00000000" w:rsidRDefault="00000000" w:rsidRPr="00000000" w14:paraId="000000B9">
      <w:pPr>
        <w:spacing w:line="360" w:lineRule="auto"/>
        <w:ind w:firstLine="850.3937007874017"/>
        <w:jc w:val="both"/>
        <w:rPr>
          <w:color w:val="0f1115"/>
          <w:highlight w:val="white"/>
        </w:rPr>
      </w:pPr>
      <w:r w:rsidDel="00000000" w:rsidR="00000000" w:rsidRPr="00000000">
        <w:rPr>
          <w:color w:val="0f1115"/>
          <w:highlight w:val="white"/>
          <w:rtl w:val="0"/>
        </w:rPr>
        <w:t xml:space="preserve">A quantidade de pavimentos indica o quão alto é o edifício e dá sinais sobre o uso e ocupação do solo na cidade de Campos dos Goytacazes, visto que quanto maior a quantidade de pavimentos, maior é o número de unidades habitacionais/comerciais possíveis de serem materializadas no edifício.</w:t>
      </w:r>
    </w:p>
    <w:p w:rsidR="00000000" w:rsidDel="00000000" w:rsidP="00000000" w:rsidRDefault="00000000" w:rsidRPr="00000000" w14:paraId="000000BA">
      <w:pPr>
        <w:spacing w:line="360" w:lineRule="auto"/>
        <w:jc w:val="center"/>
        <w:rPr>
          <w:color w:val="0f1115"/>
          <w:sz w:val="20"/>
          <w:szCs w:val="20"/>
          <w:highlight w:val="white"/>
        </w:rPr>
      </w:pPr>
      <w:r w:rsidDel="00000000" w:rsidR="00000000" w:rsidRPr="00000000">
        <w:rPr>
          <w:rtl w:val="0"/>
        </w:rPr>
      </w:r>
    </w:p>
    <w:p w:rsidR="00000000" w:rsidDel="00000000" w:rsidP="00000000" w:rsidRDefault="00000000" w:rsidRPr="00000000" w14:paraId="000000BB">
      <w:pPr>
        <w:spacing w:line="360" w:lineRule="auto"/>
        <w:jc w:val="center"/>
        <w:rPr>
          <w:sz w:val="20"/>
          <w:szCs w:val="20"/>
        </w:rPr>
      </w:pPr>
      <w:r w:rsidDel="00000000" w:rsidR="00000000" w:rsidRPr="00000000">
        <w:rPr>
          <w:color w:val="0f1115"/>
          <w:sz w:val="20"/>
          <w:szCs w:val="20"/>
          <w:highlight w:val="white"/>
          <w:rtl w:val="0"/>
        </w:rPr>
        <w:t xml:space="preserve">Tabela 2. Índice de Verticalização (Número de pavimentos)</w:t>
      </w:r>
      <w:r w:rsidDel="00000000" w:rsidR="00000000" w:rsidRPr="00000000">
        <w:rPr>
          <w:rtl w:val="0"/>
        </w:rPr>
      </w:r>
    </w:p>
    <w:tbl>
      <w:tblPr>
        <w:tblStyle w:val="Table3"/>
        <w:tblW w:w="6885.0" w:type="dxa"/>
        <w:jc w:val="center"/>
        <w:tblLayout w:type="fixed"/>
        <w:tblLook w:val="0400"/>
      </w:tblPr>
      <w:tblGrid>
        <w:gridCol w:w="2280"/>
        <w:gridCol w:w="2460"/>
        <w:gridCol w:w="2145"/>
        <w:tblGridChange w:id="0">
          <w:tblGrid>
            <w:gridCol w:w="2280"/>
            <w:gridCol w:w="2460"/>
            <w:gridCol w:w="2145"/>
          </w:tblGrid>
        </w:tblGridChange>
      </w:tblGrid>
      <w:tr>
        <w:trPr>
          <w:cantSplit w:val="0"/>
          <w:trHeight w:val="431.0595703125" w:hRule="atLeast"/>
          <w:tblHeader w:val="0"/>
        </w:trPr>
        <w:tc>
          <w:tcPr>
            <w:tcBorders>
              <w:top w:color="000000" w:space="0" w:sz="12" w:val="single"/>
              <w:left w:color="000000" w:space="0" w:sz="0" w:val="nil"/>
              <w:bottom w:color="000000" w:space="0" w:sz="12" w:val="single"/>
              <w:right w:color="000000" w:space="0" w:sz="0" w:val="nil"/>
            </w:tcBorders>
            <w:shd w:fill="d9d9d9" w:val="clear"/>
            <w:vAlign w:val="center"/>
          </w:tcPr>
          <w:p w:rsidR="00000000" w:rsidDel="00000000" w:rsidP="00000000" w:rsidRDefault="00000000" w:rsidRPr="00000000" w14:paraId="000000BC">
            <w:pPr>
              <w:spacing w:line="276" w:lineRule="auto"/>
              <w:jc w:val="center"/>
              <w:rPr>
                <w:b w:val="1"/>
                <w:sz w:val="20"/>
                <w:szCs w:val="20"/>
              </w:rPr>
            </w:pPr>
            <w:r w:rsidDel="00000000" w:rsidR="00000000" w:rsidRPr="00000000">
              <w:rPr>
                <w:b w:val="1"/>
                <w:sz w:val="20"/>
                <w:szCs w:val="20"/>
                <w:rtl w:val="0"/>
              </w:rPr>
              <w:t xml:space="preserve">Verticalização</w:t>
            </w:r>
          </w:p>
        </w:tc>
        <w:tc>
          <w:tcPr>
            <w:tcBorders>
              <w:top w:color="000000" w:space="0" w:sz="12" w:val="single"/>
              <w:left w:color="000000" w:space="0" w:sz="0" w:val="nil"/>
              <w:bottom w:color="000000" w:space="0" w:sz="12" w:val="single"/>
              <w:right w:color="000000" w:space="0" w:sz="0" w:val="nil"/>
            </w:tcBorders>
            <w:shd w:fill="d9d9d9" w:val="clear"/>
            <w:vAlign w:val="center"/>
          </w:tcPr>
          <w:p w:rsidR="00000000" w:rsidDel="00000000" w:rsidP="00000000" w:rsidRDefault="00000000" w:rsidRPr="00000000" w14:paraId="000000BD">
            <w:pPr>
              <w:spacing w:line="276" w:lineRule="auto"/>
              <w:jc w:val="center"/>
              <w:rPr>
                <w:b w:val="1"/>
                <w:sz w:val="20"/>
                <w:szCs w:val="20"/>
              </w:rPr>
            </w:pPr>
            <w:r w:rsidDel="00000000" w:rsidR="00000000" w:rsidRPr="00000000">
              <w:rPr>
                <w:b w:val="1"/>
                <w:sz w:val="20"/>
                <w:szCs w:val="20"/>
                <w:rtl w:val="0"/>
              </w:rPr>
              <w:t xml:space="preserve">Quantidade pavimentos</w:t>
            </w:r>
          </w:p>
        </w:tc>
        <w:tc>
          <w:tcPr>
            <w:tcBorders>
              <w:top w:color="000000" w:space="0" w:sz="12" w:val="single"/>
              <w:left w:color="000000" w:space="0" w:sz="0" w:val="nil"/>
              <w:bottom w:color="000000" w:space="0" w:sz="12" w:val="single"/>
              <w:right w:color="000000" w:space="0" w:sz="0" w:val="nil"/>
            </w:tcBorders>
            <w:shd w:fill="d9d9d9" w:val="clear"/>
            <w:vAlign w:val="center"/>
          </w:tcPr>
          <w:p w:rsidR="00000000" w:rsidDel="00000000" w:rsidP="00000000" w:rsidRDefault="00000000" w:rsidRPr="00000000" w14:paraId="000000BE">
            <w:pPr>
              <w:jc w:val="center"/>
              <w:rPr>
                <w:b w:val="1"/>
                <w:color w:val="0f1115"/>
                <w:sz w:val="20"/>
                <w:szCs w:val="20"/>
              </w:rPr>
            </w:pPr>
            <w:r w:rsidDel="00000000" w:rsidR="00000000" w:rsidRPr="00000000">
              <w:rPr>
                <w:b w:val="1"/>
                <w:color w:val="0f1115"/>
                <w:sz w:val="20"/>
                <w:szCs w:val="20"/>
                <w:rtl w:val="0"/>
              </w:rPr>
              <w:t xml:space="preserve">Percentual</w:t>
            </w:r>
          </w:p>
        </w:tc>
      </w:tr>
      <w:tr>
        <w:trPr>
          <w:cantSplit w:val="0"/>
          <w:tblHeader w:val="0"/>
        </w:trPr>
        <w:tc>
          <w:tcPr>
            <w:tcBorders>
              <w:top w:color="000000" w:space="0" w:sz="0" w:val="nil"/>
              <w:left w:color="000000" w:space="0" w:sz="0" w:val="nil"/>
              <w:bottom w:color="000000" w:space="0" w:sz="7" w:val="single"/>
              <w:right w:color="000000" w:space="0" w:sz="0" w:val="nil"/>
            </w:tcBorders>
            <w:tcMar>
              <w:top w:w="160.0" w:type="dxa"/>
              <w:left w:w="0.0" w:type="dxa"/>
              <w:bottom w:w="160.0" w:type="dxa"/>
              <w:right w:w="240.0" w:type="dxa"/>
            </w:tcMar>
            <w:vAlign w:val="top"/>
          </w:tcPr>
          <w:p w:rsidR="00000000" w:rsidDel="00000000" w:rsidP="00000000" w:rsidRDefault="00000000" w:rsidRPr="00000000" w14:paraId="000000BF">
            <w:pPr>
              <w:shd w:fill="ffffff" w:val="clear"/>
              <w:tabs>
                <w:tab w:val="left" w:leader="none" w:pos="284"/>
              </w:tabs>
              <w:jc w:val="both"/>
              <w:rPr>
                <w:color w:val="0f1115"/>
                <w:sz w:val="20"/>
                <w:szCs w:val="20"/>
                <w:highlight w:val="white"/>
              </w:rPr>
            </w:pPr>
            <w:r w:rsidDel="00000000" w:rsidR="00000000" w:rsidRPr="00000000">
              <w:rPr>
                <w:color w:val="0f1115"/>
                <w:sz w:val="20"/>
                <w:szCs w:val="20"/>
                <w:highlight w:val="white"/>
                <w:rtl w:val="0"/>
              </w:rPr>
              <w:t xml:space="preserve">Alta Verticalização</w:t>
            </w:r>
          </w:p>
        </w:tc>
        <w:tc>
          <w:tcPr>
            <w:tcBorders>
              <w:top w:color="000000" w:space="0" w:sz="0" w:val="nil"/>
              <w:left w:color="000000" w:space="0" w:sz="0" w:val="nil"/>
              <w:bottom w:color="000000" w:space="0" w:sz="7" w:val="single"/>
              <w:right w:color="000000" w:space="0" w:sz="0" w:val="nil"/>
            </w:tcBorders>
            <w:tcMar>
              <w:top w:w="160.0" w:type="dxa"/>
              <w:left w:w="240.0" w:type="dxa"/>
              <w:bottom w:w="160.0" w:type="dxa"/>
              <w:right w:w="240.0" w:type="dxa"/>
            </w:tcMar>
            <w:vAlign w:val="top"/>
          </w:tcPr>
          <w:p w:rsidR="00000000" w:rsidDel="00000000" w:rsidP="00000000" w:rsidRDefault="00000000" w:rsidRPr="00000000" w14:paraId="000000C0">
            <w:pPr>
              <w:shd w:fill="ffffff" w:val="clear"/>
              <w:tabs>
                <w:tab w:val="left" w:leader="none" w:pos="284"/>
              </w:tabs>
              <w:jc w:val="both"/>
              <w:rPr>
                <w:color w:val="0f1115"/>
                <w:sz w:val="20"/>
                <w:szCs w:val="20"/>
                <w:highlight w:val="white"/>
              </w:rPr>
            </w:pPr>
            <w:r w:rsidDel="00000000" w:rsidR="00000000" w:rsidRPr="00000000">
              <w:rPr>
                <w:color w:val="0f1115"/>
                <w:sz w:val="20"/>
                <w:szCs w:val="20"/>
                <w:highlight w:val="white"/>
                <w:rtl w:val="0"/>
              </w:rPr>
              <w:t xml:space="preserve">15+ pavimentos</w:t>
            </w:r>
          </w:p>
        </w:tc>
        <w:tc>
          <w:tcPr>
            <w:tcBorders>
              <w:top w:color="000000" w:space="0" w:sz="0" w:val="nil"/>
              <w:left w:color="000000" w:space="0" w:sz="0" w:val="nil"/>
              <w:bottom w:color="000000" w:space="0" w:sz="7" w:val="single"/>
              <w:right w:color="000000" w:space="0" w:sz="0" w:val="nil"/>
            </w:tcBorders>
            <w:tcMar>
              <w:top w:w="160.0" w:type="dxa"/>
              <w:left w:w="240.0" w:type="dxa"/>
              <w:bottom w:w="160.0" w:type="dxa"/>
              <w:right w:w="0.0" w:type="dxa"/>
            </w:tcMar>
            <w:vAlign w:val="top"/>
          </w:tcPr>
          <w:p w:rsidR="00000000" w:rsidDel="00000000" w:rsidP="00000000" w:rsidRDefault="00000000" w:rsidRPr="00000000" w14:paraId="000000C1">
            <w:pPr>
              <w:shd w:fill="ffffff" w:val="clear"/>
              <w:tabs>
                <w:tab w:val="left" w:leader="none" w:pos="284"/>
              </w:tabs>
              <w:jc w:val="both"/>
              <w:rPr>
                <w:color w:val="0f1115"/>
                <w:sz w:val="20"/>
                <w:szCs w:val="20"/>
                <w:highlight w:val="white"/>
              </w:rPr>
            </w:pPr>
            <w:r w:rsidDel="00000000" w:rsidR="00000000" w:rsidRPr="00000000">
              <w:rPr>
                <w:color w:val="0f1115"/>
                <w:sz w:val="20"/>
                <w:szCs w:val="20"/>
                <w:highlight w:val="white"/>
                <w:rtl w:val="0"/>
              </w:rPr>
              <w:t xml:space="preserve">55%</w:t>
            </w:r>
          </w:p>
        </w:tc>
      </w:tr>
      <w:tr>
        <w:trPr>
          <w:cantSplit w:val="0"/>
          <w:tblHeader w:val="0"/>
        </w:trPr>
        <w:tc>
          <w:tcPr>
            <w:tcBorders>
              <w:top w:color="000000" w:space="0" w:sz="0" w:val="nil"/>
              <w:left w:color="000000" w:space="0" w:sz="0" w:val="nil"/>
              <w:bottom w:color="000000" w:space="0" w:sz="7" w:val="single"/>
              <w:right w:color="000000" w:space="0" w:sz="0" w:val="nil"/>
            </w:tcBorders>
            <w:tcMar>
              <w:top w:w="160.0" w:type="dxa"/>
              <w:left w:w="0.0" w:type="dxa"/>
              <w:bottom w:w="160.0" w:type="dxa"/>
              <w:right w:w="240.0" w:type="dxa"/>
            </w:tcMar>
            <w:vAlign w:val="top"/>
          </w:tcPr>
          <w:p w:rsidR="00000000" w:rsidDel="00000000" w:rsidP="00000000" w:rsidRDefault="00000000" w:rsidRPr="00000000" w14:paraId="000000C2">
            <w:pPr>
              <w:shd w:fill="ffffff" w:val="clear"/>
              <w:tabs>
                <w:tab w:val="left" w:leader="none" w:pos="284"/>
              </w:tabs>
              <w:jc w:val="both"/>
              <w:rPr>
                <w:color w:val="0f1115"/>
                <w:sz w:val="20"/>
                <w:szCs w:val="20"/>
                <w:highlight w:val="white"/>
              </w:rPr>
            </w:pPr>
            <w:r w:rsidDel="00000000" w:rsidR="00000000" w:rsidRPr="00000000">
              <w:rPr>
                <w:color w:val="0f1115"/>
                <w:sz w:val="20"/>
                <w:szCs w:val="20"/>
                <w:highlight w:val="white"/>
                <w:rtl w:val="0"/>
              </w:rPr>
              <w:t xml:space="preserve">Média Verticalização</w:t>
            </w:r>
          </w:p>
        </w:tc>
        <w:tc>
          <w:tcPr>
            <w:tcBorders>
              <w:top w:color="000000" w:space="0" w:sz="0" w:val="nil"/>
              <w:left w:color="000000" w:space="0" w:sz="0" w:val="nil"/>
              <w:bottom w:color="000000" w:space="0" w:sz="7" w:val="single"/>
              <w:right w:color="000000" w:space="0" w:sz="0" w:val="nil"/>
            </w:tcBorders>
            <w:tcMar>
              <w:top w:w="160.0" w:type="dxa"/>
              <w:left w:w="240.0" w:type="dxa"/>
              <w:bottom w:w="160.0" w:type="dxa"/>
              <w:right w:w="240.0" w:type="dxa"/>
            </w:tcMar>
            <w:vAlign w:val="top"/>
          </w:tcPr>
          <w:p w:rsidR="00000000" w:rsidDel="00000000" w:rsidP="00000000" w:rsidRDefault="00000000" w:rsidRPr="00000000" w14:paraId="000000C3">
            <w:pPr>
              <w:shd w:fill="ffffff" w:val="clear"/>
              <w:tabs>
                <w:tab w:val="left" w:leader="none" w:pos="284"/>
              </w:tabs>
              <w:jc w:val="both"/>
              <w:rPr>
                <w:color w:val="0f1115"/>
                <w:sz w:val="20"/>
                <w:szCs w:val="20"/>
                <w:highlight w:val="white"/>
              </w:rPr>
            </w:pPr>
            <w:r w:rsidDel="00000000" w:rsidR="00000000" w:rsidRPr="00000000">
              <w:rPr>
                <w:color w:val="0f1115"/>
                <w:sz w:val="20"/>
                <w:szCs w:val="20"/>
                <w:highlight w:val="white"/>
                <w:rtl w:val="0"/>
              </w:rPr>
              <w:t xml:space="preserve">10-14 pavimentos</w:t>
            </w:r>
          </w:p>
        </w:tc>
        <w:tc>
          <w:tcPr>
            <w:tcBorders>
              <w:top w:color="000000" w:space="0" w:sz="0" w:val="nil"/>
              <w:left w:color="000000" w:space="0" w:sz="0" w:val="nil"/>
              <w:bottom w:color="000000" w:space="0" w:sz="7" w:val="single"/>
              <w:right w:color="000000" w:space="0" w:sz="0" w:val="nil"/>
            </w:tcBorders>
            <w:tcMar>
              <w:top w:w="160.0" w:type="dxa"/>
              <w:left w:w="240.0" w:type="dxa"/>
              <w:bottom w:w="160.0" w:type="dxa"/>
              <w:right w:w="0.0" w:type="dxa"/>
            </w:tcMar>
            <w:vAlign w:val="top"/>
          </w:tcPr>
          <w:p w:rsidR="00000000" w:rsidDel="00000000" w:rsidP="00000000" w:rsidRDefault="00000000" w:rsidRPr="00000000" w14:paraId="000000C4">
            <w:pPr>
              <w:shd w:fill="ffffff" w:val="clear"/>
              <w:tabs>
                <w:tab w:val="left" w:leader="none" w:pos="284"/>
              </w:tabs>
              <w:jc w:val="both"/>
              <w:rPr>
                <w:color w:val="0f1115"/>
                <w:sz w:val="20"/>
                <w:szCs w:val="20"/>
                <w:highlight w:val="white"/>
              </w:rPr>
            </w:pPr>
            <w:r w:rsidDel="00000000" w:rsidR="00000000" w:rsidRPr="00000000">
              <w:rPr>
                <w:color w:val="0f1115"/>
                <w:sz w:val="20"/>
                <w:szCs w:val="20"/>
                <w:highlight w:val="white"/>
                <w:rtl w:val="0"/>
              </w:rPr>
              <w:t xml:space="preserve">30%</w:t>
            </w:r>
          </w:p>
        </w:tc>
      </w:tr>
      <w:tr>
        <w:trPr>
          <w:cantSplit w:val="0"/>
          <w:trHeight w:val="193.02978515625" w:hRule="atLeast"/>
          <w:tblHeader w:val="0"/>
        </w:trPr>
        <w:tc>
          <w:tcPr>
            <w:tcBorders>
              <w:top w:color="000000" w:space="0" w:sz="0" w:val="nil"/>
              <w:left w:color="000000" w:space="0" w:sz="0" w:val="nil"/>
              <w:bottom w:color="000000" w:space="0" w:sz="7" w:val="single"/>
              <w:right w:color="000000" w:space="0" w:sz="0" w:val="nil"/>
            </w:tcBorders>
            <w:tcMar>
              <w:top w:w="160.0" w:type="dxa"/>
              <w:left w:w="0.0" w:type="dxa"/>
              <w:bottom w:w="160.0" w:type="dxa"/>
              <w:right w:w="240.0" w:type="dxa"/>
            </w:tcMar>
            <w:vAlign w:val="top"/>
          </w:tcPr>
          <w:p w:rsidR="00000000" w:rsidDel="00000000" w:rsidP="00000000" w:rsidRDefault="00000000" w:rsidRPr="00000000" w14:paraId="000000C5">
            <w:pPr>
              <w:shd w:fill="ffffff" w:val="clear"/>
              <w:tabs>
                <w:tab w:val="left" w:leader="none" w:pos="284"/>
              </w:tabs>
              <w:jc w:val="both"/>
              <w:rPr>
                <w:color w:val="0f1115"/>
                <w:sz w:val="20"/>
                <w:szCs w:val="20"/>
                <w:highlight w:val="white"/>
              </w:rPr>
            </w:pPr>
            <w:r w:rsidDel="00000000" w:rsidR="00000000" w:rsidRPr="00000000">
              <w:rPr>
                <w:color w:val="0f1115"/>
                <w:sz w:val="20"/>
                <w:szCs w:val="20"/>
                <w:highlight w:val="white"/>
                <w:rtl w:val="0"/>
              </w:rPr>
              <w:t xml:space="preserve">Baixa Verticalização</w:t>
            </w:r>
          </w:p>
        </w:tc>
        <w:tc>
          <w:tcPr>
            <w:tcBorders>
              <w:top w:color="000000" w:space="0" w:sz="0" w:val="nil"/>
              <w:left w:color="000000" w:space="0" w:sz="0" w:val="nil"/>
              <w:bottom w:color="000000" w:space="0" w:sz="7" w:val="single"/>
              <w:right w:color="000000" w:space="0" w:sz="0" w:val="nil"/>
            </w:tcBorders>
            <w:tcMar>
              <w:top w:w="160.0" w:type="dxa"/>
              <w:left w:w="240.0" w:type="dxa"/>
              <w:bottom w:w="160.0" w:type="dxa"/>
              <w:right w:w="240.0" w:type="dxa"/>
            </w:tcMar>
            <w:vAlign w:val="top"/>
          </w:tcPr>
          <w:p w:rsidR="00000000" w:rsidDel="00000000" w:rsidP="00000000" w:rsidRDefault="00000000" w:rsidRPr="00000000" w14:paraId="000000C6">
            <w:pPr>
              <w:shd w:fill="ffffff" w:val="clear"/>
              <w:tabs>
                <w:tab w:val="left" w:leader="none" w:pos="284"/>
              </w:tabs>
              <w:jc w:val="both"/>
              <w:rPr>
                <w:color w:val="0f1115"/>
                <w:sz w:val="20"/>
                <w:szCs w:val="20"/>
                <w:highlight w:val="white"/>
              </w:rPr>
            </w:pPr>
            <w:r w:rsidDel="00000000" w:rsidR="00000000" w:rsidRPr="00000000">
              <w:rPr>
                <w:color w:val="0f1115"/>
                <w:sz w:val="20"/>
                <w:szCs w:val="20"/>
                <w:highlight w:val="white"/>
                <w:rtl w:val="0"/>
              </w:rPr>
              <w:t xml:space="preserve">4-9 pavimentos</w:t>
            </w:r>
          </w:p>
        </w:tc>
        <w:tc>
          <w:tcPr>
            <w:tcBorders>
              <w:top w:color="000000" w:space="0" w:sz="0" w:val="nil"/>
              <w:left w:color="000000" w:space="0" w:sz="0" w:val="nil"/>
              <w:bottom w:color="000000" w:space="0" w:sz="7" w:val="single"/>
              <w:right w:color="000000" w:space="0" w:sz="0" w:val="nil"/>
            </w:tcBorders>
            <w:tcMar>
              <w:top w:w="160.0" w:type="dxa"/>
              <w:left w:w="240.0" w:type="dxa"/>
              <w:bottom w:w="160.0" w:type="dxa"/>
              <w:right w:w="0.0" w:type="dxa"/>
            </w:tcMar>
            <w:vAlign w:val="top"/>
          </w:tcPr>
          <w:p w:rsidR="00000000" w:rsidDel="00000000" w:rsidP="00000000" w:rsidRDefault="00000000" w:rsidRPr="00000000" w14:paraId="000000C7">
            <w:pPr>
              <w:shd w:fill="ffffff" w:val="clear"/>
              <w:tabs>
                <w:tab w:val="left" w:leader="none" w:pos="284"/>
              </w:tabs>
              <w:jc w:val="both"/>
              <w:rPr>
                <w:color w:val="0f1115"/>
                <w:sz w:val="20"/>
                <w:szCs w:val="20"/>
                <w:highlight w:val="white"/>
              </w:rPr>
            </w:pPr>
            <w:r w:rsidDel="00000000" w:rsidR="00000000" w:rsidRPr="00000000">
              <w:rPr>
                <w:color w:val="0f1115"/>
                <w:sz w:val="20"/>
                <w:szCs w:val="20"/>
                <w:highlight w:val="white"/>
                <w:rtl w:val="0"/>
              </w:rPr>
              <w:t xml:space="preserve">15%</w:t>
            </w:r>
          </w:p>
        </w:tc>
      </w:tr>
    </w:tbl>
    <w:p w:rsidR="00000000" w:rsidDel="00000000" w:rsidP="00000000" w:rsidRDefault="00000000" w:rsidRPr="00000000" w14:paraId="000000C8">
      <w:pPr>
        <w:jc w:val="center"/>
        <w:rPr>
          <w:sz w:val="20"/>
          <w:szCs w:val="20"/>
        </w:rPr>
      </w:pPr>
      <w:r w:rsidDel="00000000" w:rsidR="00000000" w:rsidRPr="00000000">
        <w:rPr>
          <w:sz w:val="20"/>
          <w:szCs w:val="20"/>
          <w:rtl w:val="0"/>
        </w:rPr>
        <w:t xml:space="preserve">Fonte: Habite-se. Secretária de Obras de Campos dos Goytacazes. Elaboração do autor</w:t>
      </w:r>
    </w:p>
    <w:p w:rsidR="00000000" w:rsidDel="00000000" w:rsidP="00000000" w:rsidRDefault="00000000" w:rsidRPr="00000000" w14:paraId="000000C9">
      <w:pPr>
        <w:jc w:val="center"/>
        <w:rPr>
          <w:sz w:val="20"/>
          <w:szCs w:val="20"/>
        </w:rPr>
      </w:pPr>
      <w:r w:rsidDel="00000000" w:rsidR="00000000" w:rsidRPr="00000000">
        <w:rPr>
          <w:rtl w:val="0"/>
        </w:rPr>
      </w:r>
    </w:p>
    <w:p w:rsidR="00000000" w:rsidDel="00000000" w:rsidP="00000000" w:rsidRDefault="00000000" w:rsidRPr="00000000" w14:paraId="000000CA">
      <w:pPr>
        <w:spacing w:line="360" w:lineRule="auto"/>
        <w:jc w:val="both"/>
        <w:rPr>
          <w:b w:val="1"/>
          <w:color w:val="0f1115"/>
          <w:highlight w:val="white"/>
        </w:rPr>
      </w:pPr>
      <w:r w:rsidDel="00000000" w:rsidR="00000000" w:rsidRPr="00000000">
        <w:rPr>
          <w:rtl w:val="0"/>
        </w:rPr>
      </w:r>
    </w:p>
    <w:p w:rsidR="00000000" w:rsidDel="00000000" w:rsidP="00000000" w:rsidRDefault="00000000" w:rsidRPr="00000000" w14:paraId="000000CB">
      <w:pPr>
        <w:spacing w:line="360" w:lineRule="auto"/>
        <w:jc w:val="both"/>
        <w:rPr>
          <w:b w:val="1"/>
          <w:color w:val="0f1115"/>
          <w:highlight w:val="white"/>
        </w:rPr>
      </w:pPr>
      <w:r w:rsidDel="00000000" w:rsidR="00000000" w:rsidRPr="00000000">
        <w:rPr>
          <w:b w:val="1"/>
          <w:color w:val="0f1115"/>
          <w:highlight w:val="white"/>
          <w:rtl w:val="0"/>
        </w:rPr>
        <w:t xml:space="preserve">4.5.2 TIPOLOGIA</w:t>
      </w:r>
    </w:p>
    <w:p w:rsidR="00000000" w:rsidDel="00000000" w:rsidP="00000000" w:rsidRDefault="00000000" w:rsidRPr="00000000" w14:paraId="000000CC">
      <w:pPr>
        <w:spacing w:line="360" w:lineRule="auto"/>
        <w:ind w:firstLine="850.3937007874017"/>
        <w:jc w:val="both"/>
        <w:rPr>
          <w:color w:val="0f1115"/>
          <w:highlight w:val="white"/>
        </w:rPr>
      </w:pPr>
      <w:r w:rsidDel="00000000" w:rsidR="00000000" w:rsidRPr="00000000">
        <w:rPr>
          <w:color w:val="0f1115"/>
          <w:highlight w:val="white"/>
          <w:rtl w:val="0"/>
        </w:rPr>
        <w:t xml:space="preserve">Refere-se a finalidade para a qual o edifício foi criado, variando entre uso residencial, comercial e misto, quando as duas tipologias anteriores coexistem.</w:t>
      </w:r>
    </w:p>
    <w:p w:rsidR="00000000" w:rsidDel="00000000" w:rsidP="00000000" w:rsidRDefault="00000000" w:rsidRPr="00000000" w14:paraId="000000CD">
      <w:pPr>
        <w:jc w:val="center"/>
        <w:rPr>
          <w:sz w:val="20"/>
          <w:szCs w:val="20"/>
        </w:rPr>
      </w:pPr>
      <w:r w:rsidDel="00000000" w:rsidR="00000000" w:rsidRPr="00000000">
        <w:rPr>
          <w:rtl w:val="0"/>
        </w:rPr>
      </w:r>
    </w:p>
    <w:p w:rsidR="00000000" w:rsidDel="00000000" w:rsidP="00000000" w:rsidRDefault="00000000" w:rsidRPr="00000000" w14:paraId="000000CE">
      <w:pPr>
        <w:jc w:val="center"/>
        <w:rPr>
          <w:sz w:val="20"/>
          <w:szCs w:val="20"/>
        </w:rPr>
      </w:pPr>
      <w:r w:rsidDel="00000000" w:rsidR="00000000" w:rsidRPr="00000000">
        <w:rPr>
          <w:sz w:val="20"/>
          <w:szCs w:val="20"/>
          <w:rtl w:val="0"/>
        </w:rPr>
        <w:t xml:space="preserve">Tabela 3: Tipologia dos imóveis</w:t>
      </w:r>
    </w:p>
    <w:p w:rsidR="00000000" w:rsidDel="00000000" w:rsidP="00000000" w:rsidRDefault="00000000" w:rsidRPr="00000000" w14:paraId="000000CF">
      <w:pPr>
        <w:jc w:val="center"/>
        <w:rPr>
          <w:sz w:val="20"/>
          <w:szCs w:val="20"/>
        </w:rPr>
      </w:pPr>
      <w:r w:rsidDel="00000000" w:rsidR="00000000" w:rsidRPr="00000000">
        <w:rPr>
          <w:rtl w:val="0"/>
        </w:rPr>
      </w:r>
    </w:p>
    <w:tbl>
      <w:tblPr>
        <w:tblStyle w:val="Table4"/>
        <w:tblW w:w="6885.0" w:type="dxa"/>
        <w:jc w:val="center"/>
        <w:tblLayout w:type="fixed"/>
        <w:tblLook w:val="0400"/>
      </w:tblPr>
      <w:tblGrid>
        <w:gridCol w:w="1635"/>
        <w:gridCol w:w="1575"/>
        <w:gridCol w:w="3675"/>
        <w:tblGridChange w:id="0">
          <w:tblGrid>
            <w:gridCol w:w="1635"/>
            <w:gridCol w:w="1575"/>
            <w:gridCol w:w="3675"/>
          </w:tblGrid>
        </w:tblGridChange>
      </w:tblGrid>
      <w:tr>
        <w:trPr>
          <w:cantSplit w:val="0"/>
          <w:trHeight w:val="431.0595703125" w:hRule="atLeast"/>
          <w:tblHeader w:val="0"/>
        </w:trPr>
        <w:tc>
          <w:tcPr>
            <w:tcBorders>
              <w:top w:color="000000" w:space="0" w:sz="12" w:val="single"/>
              <w:left w:color="000000" w:space="0" w:sz="0" w:val="nil"/>
              <w:bottom w:color="000000" w:space="0" w:sz="12" w:val="single"/>
              <w:right w:color="000000" w:space="0" w:sz="0" w:val="nil"/>
            </w:tcBorders>
            <w:shd w:fill="d9d9d9" w:val="clear"/>
            <w:vAlign w:val="center"/>
          </w:tcPr>
          <w:p w:rsidR="00000000" w:rsidDel="00000000" w:rsidP="00000000" w:rsidRDefault="00000000" w:rsidRPr="00000000" w14:paraId="000000D0">
            <w:pPr>
              <w:spacing w:line="276" w:lineRule="auto"/>
              <w:jc w:val="center"/>
              <w:rPr>
                <w:b w:val="1"/>
                <w:sz w:val="20"/>
                <w:szCs w:val="20"/>
              </w:rPr>
            </w:pPr>
            <w:r w:rsidDel="00000000" w:rsidR="00000000" w:rsidRPr="00000000">
              <w:rPr>
                <w:b w:val="1"/>
                <w:sz w:val="20"/>
                <w:szCs w:val="20"/>
                <w:rtl w:val="0"/>
              </w:rPr>
              <w:t xml:space="preserve">Tipologia</w:t>
            </w:r>
          </w:p>
        </w:tc>
        <w:tc>
          <w:tcPr>
            <w:tcBorders>
              <w:top w:color="000000" w:space="0" w:sz="12" w:val="single"/>
              <w:left w:color="000000" w:space="0" w:sz="0" w:val="nil"/>
              <w:bottom w:color="000000" w:space="0" w:sz="12" w:val="single"/>
              <w:right w:color="000000" w:space="0" w:sz="0" w:val="nil"/>
            </w:tcBorders>
            <w:shd w:fill="d9d9d9" w:val="clear"/>
            <w:vAlign w:val="center"/>
          </w:tcPr>
          <w:p w:rsidR="00000000" w:rsidDel="00000000" w:rsidP="00000000" w:rsidRDefault="00000000" w:rsidRPr="00000000" w14:paraId="000000D1">
            <w:pPr>
              <w:spacing w:line="276" w:lineRule="auto"/>
              <w:jc w:val="center"/>
              <w:rPr>
                <w:b w:val="1"/>
                <w:sz w:val="20"/>
                <w:szCs w:val="20"/>
              </w:rPr>
            </w:pPr>
            <w:r w:rsidDel="00000000" w:rsidR="00000000" w:rsidRPr="00000000">
              <w:rPr>
                <w:b w:val="1"/>
                <w:sz w:val="20"/>
                <w:szCs w:val="20"/>
                <w:rtl w:val="0"/>
              </w:rPr>
              <w:t xml:space="preserve">Percentual</w:t>
            </w:r>
          </w:p>
        </w:tc>
        <w:tc>
          <w:tcPr>
            <w:tcBorders>
              <w:top w:color="000000" w:space="0" w:sz="12" w:val="single"/>
              <w:left w:color="000000" w:space="0" w:sz="0" w:val="nil"/>
              <w:bottom w:color="000000" w:space="0" w:sz="12" w:val="single"/>
              <w:right w:color="000000" w:space="0" w:sz="0" w:val="nil"/>
            </w:tcBorders>
            <w:shd w:fill="d9d9d9" w:val="clear"/>
            <w:vAlign w:val="center"/>
          </w:tcPr>
          <w:p w:rsidR="00000000" w:rsidDel="00000000" w:rsidP="00000000" w:rsidRDefault="00000000" w:rsidRPr="00000000" w14:paraId="000000D2">
            <w:pPr>
              <w:jc w:val="center"/>
              <w:rPr>
                <w:b w:val="1"/>
                <w:color w:val="0f1115"/>
                <w:sz w:val="20"/>
                <w:szCs w:val="20"/>
              </w:rPr>
            </w:pPr>
            <w:r w:rsidDel="00000000" w:rsidR="00000000" w:rsidRPr="00000000">
              <w:rPr>
                <w:b w:val="1"/>
                <w:color w:val="0f1115"/>
                <w:sz w:val="20"/>
                <w:szCs w:val="20"/>
                <w:rtl w:val="0"/>
              </w:rPr>
              <w:t xml:space="preserve">Característica</w:t>
            </w:r>
          </w:p>
        </w:tc>
      </w:tr>
      <w:tr>
        <w:trPr>
          <w:cantSplit w:val="0"/>
          <w:tblHeader w:val="0"/>
        </w:trPr>
        <w:tc>
          <w:tcPr>
            <w:tcBorders>
              <w:top w:color="000000" w:space="0" w:sz="0" w:val="nil"/>
              <w:left w:color="000000" w:space="0" w:sz="0" w:val="nil"/>
              <w:bottom w:color="000000" w:space="0" w:sz="7" w:val="single"/>
              <w:right w:color="000000" w:space="0" w:sz="0" w:val="nil"/>
            </w:tcBorders>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0D3">
            <w:pPr>
              <w:shd w:fill="ffffff" w:val="clear"/>
              <w:tabs>
                <w:tab w:val="left" w:leader="none" w:pos="284"/>
              </w:tabs>
              <w:spacing w:before="240" w:lineRule="auto"/>
              <w:jc w:val="both"/>
              <w:rPr>
                <w:color w:val="0f1115"/>
                <w:sz w:val="20"/>
                <w:szCs w:val="20"/>
                <w:highlight w:val="white"/>
              </w:rPr>
            </w:pPr>
            <w:r w:rsidDel="00000000" w:rsidR="00000000" w:rsidRPr="00000000">
              <w:rPr>
                <w:color w:val="0f1115"/>
                <w:sz w:val="20"/>
                <w:szCs w:val="20"/>
                <w:highlight w:val="white"/>
                <w:rtl w:val="0"/>
              </w:rPr>
              <w:t xml:space="preserve">Residencial</w:t>
            </w:r>
          </w:p>
        </w:tc>
        <w:tc>
          <w:tcPr>
            <w:tcBorders>
              <w:top w:color="000000" w:space="0" w:sz="0" w:val="nil"/>
              <w:left w:color="000000" w:space="0" w:sz="0" w:val="nil"/>
              <w:bottom w:color="000000" w:space="0" w:sz="7" w:val="single"/>
              <w:right w:color="000000" w:space="0" w:sz="0" w:val="nil"/>
            </w:tcBorders>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0D4">
            <w:pPr>
              <w:shd w:fill="ffffff" w:val="clear"/>
              <w:tabs>
                <w:tab w:val="left" w:leader="none" w:pos="284"/>
              </w:tabs>
              <w:spacing w:before="240" w:lineRule="auto"/>
              <w:ind w:firstLine="850.3937007874017"/>
              <w:jc w:val="both"/>
              <w:rPr>
                <w:color w:val="0f1115"/>
                <w:sz w:val="20"/>
                <w:szCs w:val="20"/>
                <w:highlight w:val="white"/>
              </w:rPr>
            </w:pPr>
            <w:r w:rsidDel="00000000" w:rsidR="00000000" w:rsidRPr="00000000">
              <w:rPr>
                <w:color w:val="0f1115"/>
                <w:sz w:val="20"/>
                <w:szCs w:val="20"/>
                <w:highlight w:val="white"/>
                <w:rtl w:val="0"/>
              </w:rPr>
              <w:t xml:space="preserve">60%</w:t>
            </w:r>
          </w:p>
        </w:tc>
        <w:tc>
          <w:tcPr>
            <w:tcBorders>
              <w:top w:color="000000" w:space="0" w:sz="0" w:val="nil"/>
              <w:left w:color="000000" w:space="0" w:sz="0" w:val="nil"/>
              <w:bottom w:color="000000" w:space="0" w:sz="7" w:val="single"/>
              <w:right w:color="000000" w:space="0" w:sz="0" w:val="nil"/>
            </w:tcBorders>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0D5">
            <w:pPr>
              <w:shd w:fill="ffffff" w:val="clear"/>
              <w:tabs>
                <w:tab w:val="left" w:leader="none" w:pos="284"/>
              </w:tabs>
              <w:spacing w:before="240" w:lineRule="auto"/>
              <w:jc w:val="both"/>
              <w:rPr>
                <w:color w:val="0f1115"/>
                <w:sz w:val="20"/>
                <w:szCs w:val="20"/>
                <w:highlight w:val="white"/>
              </w:rPr>
            </w:pPr>
            <w:r w:rsidDel="00000000" w:rsidR="00000000" w:rsidRPr="00000000">
              <w:rPr>
                <w:color w:val="0f1115"/>
                <w:sz w:val="20"/>
                <w:szCs w:val="20"/>
                <w:highlight w:val="white"/>
                <w:rtl w:val="0"/>
              </w:rPr>
              <w:t xml:space="preserve">Uso exclusivo para moradia</w:t>
            </w:r>
          </w:p>
        </w:tc>
      </w:tr>
      <w:tr>
        <w:trPr>
          <w:cantSplit w:val="0"/>
          <w:tblHeader w:val="0"/>
        </w:trPr>
        <w:tc>
          <w:tcPr>
            <w:tcBorders>
              <w:top w:color="000000" w:space="0" w:sz="0" w:val="nil"/>
              <w:left w:color="000000" w:space="0" w:sz="0" w:val="nil"/>
              <w:bottom w:color="000000" w:space="0" w:sz="7" w:val="single"/>
              <w:right w:color="000000" w:space="0" w:sz="0" w:val="nil"/>
            </w:tcBorders>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0D6">
            <w:pPr>
              <w:shd w:fill="ffffff" w:val="clear"/>
              <w:tabs>
                <w:tab w:val="left" w:leader="none" w:pos="284"/>
              </w:tabs>
              <w:spacing w:before="240" w:lineRule="auto"/>
              <w:jc w:val="both"/>
              <w:rPr>
                <w:color w:val="0f1115"/>
                <w:sz w:val="20"/>
                <w:szCs w:val="20"/>
                <w:highlight w:val="white"/>
              </w:rPr>
            </w:pPr>
            <w:r w:rsidDel="00000000" w:rsidR="00000000" w:rsidRPr="00000000">
              <w:rPr>
                <w:color w:val="0f1115"/>
                <w:sz w:val="20"/>
                <w:szCs w:val="20"/>
                <w:highlight w:val="white"/>
                <w:rtl w:val="0"/>
              </w:rPr>
              <w:t xml:space="preserve">Misto</w:t>
            </w:r>
          </w:p>
        </w:tc>
        <w:tc>
          <w:tcPr>
            <w:tcBorders>
              <w:top w:color="000000" w:space="0" w:sz="0" w:val="nil"/>
              <w:left w:color="000000" w:space="0" w:sz="0" w:val="nil"/>
              <w:bottom w:color="000000" w:space="0" w:sz="7" w:val="single"/>
              <w:right w:color="000000" w:space="0" w:sz="0" w:val="nil"/>
            </w:tcBorders>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0D7">
            <w:pPr>
              <w:shd w:fill="ffffff" w:val="clear"/>
              <w:tabs>
                <w:tab w:val="left" w:leader="none" w:pos="284"/>
              </w:tabs>
              <w:spacing w:before="240" w:lineRule="auto"/>
              <w:ind w:firstLine="850.3937007874017"/>
              <w:jc w:val="both"/>
              <w:rPr>
                <w:color w:val="0f1115"/>
                <w:sz w:val="20"/>
                <w:szCs w:val="20"/>
                <w:highlight w:val="white"/>
              </w:rPr>
            </w:pPr>
            <w:r w:rsidDel="00000000" w:rsidR="00000000" w:rsidRPr="00000000">
              <w:rPr>
                <w:color w:val="0f1115"/>
                <w:sz w:val="20"/>
                <w:szCs w:val="20"/>
                <w:highlight w:val="white"/>
                <w:rtl w:val="0"/>
              </w:rPr>
              <w:t xml:space="preserve">30%</w:t>
            </w:r>
          </w:p>
        </w:tc>
        <w:tc>
          <w:tcPr>
            <w:tcBorders>
              <w:top w:color="000000" w:space="0" w:sz="0" w:val="nil"/>
              <w:left w:color="000000" w:space="0" w:sz="0" w:val="nil"/>
              <w:bottom w:color="000000" w:space="0" w:sz="7" w:val="single"/>
              <w:right w:color="000000" w:space="0" w:sz="0" w:val="nil"/>
            </w:tcBorders>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0D8">
            <w:pPr>
              <w:shd w:fill="ffffff" w:val="clear"/>
              <w:tabs>
                <w:tab w:val="left" w:leader="none" w:pos="284"/>
              </w:tabs>
              <w:spacing w:before="240" w:lineRule="auto"/>
              <w:jc w:val="both"/>
              <w:rPr>
                <w:color w:val="0f1115"/>
                <w:sz w:val="20"/>
                <w:szCs w:val="20"/>
                <w:highlight w:val="white"/>
              </w:rPr>
            </w:pPr>
            <w:r w:rsidDel="00000000" w:rsidR="00000000" w:rsidRPr="00000000">
              <w:rPr>
                <w:color w:val="0f1115"/>
                <w:sz w:val="20"/>
                <w:szCs w:val="20"/>
                <w:highlight w:val="white"/>
                <w:rtl w:val="0"/>
              </w:rPr>
              <w:t xml:space="preserve">Comercial no térreo e residencial superior</w:t>
            </w:r>
          </w:p>
        </w:tc>
      </w:tr>
      <w:tr>
        <w:trPr>
          <w:cantSplit w:val="0"/>
          <w:trHeight w:val="193.02978515625" w:hRule="atLeast"/>
          <w:tblHeader w:val="0"/>
        </w:trPr>
        <w:tc>
          <w:tcPr>
            <w:tcBorders>
              <w:top w:color="000000" w:space="0" w:sz="0" w:val="nil"/>
              <w:left w:color="000000" w:space="0" w:sz="0" w:val="nil"/>
              <w:bottom w:color="000000" w:space="0" w:sz="7" w:val="single"/>
              <w:right w:color="000000" w:space="0" w:sz="0" w:val="nil"/>
            </w:tcBorders>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0D9">
            <w:pPr>
              <w:shd w:fill="ffffff" w:val="clear"/>
              <w:tabs>
                <w:tab w:val="left" w:leader="none" w:pos="284"/>
              </w:tabs>
              <w:spacing w:before="240" w:lineRule="auto"/>
              <w:jc w:val="both"/>
              <w:rPr>
                <w:color w:val="0f1115"/>
                <w:sz w:val="20"/>
                <w:szCs w:val="20"/>
                <w:highlight w:val="white"/>
              </w:rPr>
            </w:pPr>
            <w:r w:rsidDel="00000000" w:rsidR="00000000" w:rsidRPr="00000000">
              <w:rPr>
                <w:color w:val="0f1115"/>
                <w:sz w:val="20"/>
                <w:szCs w:val="20"/>
                <w:highlight w:val="white"/>
                <w:rtl w:val="0"/>
              </w:rPr>
              <w:t xml:space="preserve">Comercial</w:t>
            </w:r>
          </w:p>
        </w:tc>
        <w:tc>
          <w:tcPr>
            <w:tcBorders>
              <w:top w:color="000000" w:space="0" w:sz="0" w:val="nil"/>
              <w:left w:color="000000" w:space="0" w:sz="0" w:val="nil"/>
              <w:bottom w:color="000000" w:space="0" w:sz="7" w:val="single"/>
              <w:right w:color="000000" w:space="0" w:sz="0" w:val="nil"/>
            </w:tcBorders>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0DA">
            <w:pPr>
              <w:shd w:fill="ffffff" w:val="clear"/>
              <w:tabs>
                <w:tab w:val="left" w:leader="none" w:pos="284"/>
              </w:tabs>
              <w:spacing w:before="240" w:lineRule="auto"/>
              <w:ind w:firstLine="850.3937007874017"/>
              <w:jc w:val="both"/>
              <w:rPr>
                <w:color w:val="0f1115"/>
                <w:sz w:val="20"/>
                <w:szCs w:val="20"/>
                <w:highlight w:val="white"/>
              </w:rPr>
            </w:pPr>
            <w:r w:rsidDel="00000000" w:rsidR="00000000" w:rsidRPr="00000000">
              <w:rPr>
                <w:color w:val="0f1115"/>
                <w:sz w:val="20"/>
                <w:szCs w:val="20"/>
                <w:highlight w:val="white"/>
                <w:rtl w:val="0"/>
              </w:rPr>
              <w:t xml:space="preserve">10%</w:t>
            </w:r>
          </w:p>
        </w:tc>
        <w:tc>
          <w:tcPr>
            <w:tcBorders>
              <w:top w:color="000000" w:space="0" w:sz="0" w:val="nil"/>
              <w:left w:color="000000" w:space="0" w:sz="0" w:val="nil"/>
              <w:bottom w:color="000000" w:space="0" w:sz="7" w:val="single"/>
              <w:right w:color="000000" w:space="0" w:sz="0" w:val="nil"/>
            </w:tcBorders>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0DB">
            <w:pPr>
              <w:shd w:fill="ffffff" w:val="clear"/>
              <w:tabs>
                <w:tab w:val="left" w:leader="none" w:pos="284"/>
              </w:tabs>
              <w:spacing w:before="240" w:lineRule="auto"/>
              <w:jc w:val="both"/>
              <w:rPr>
                <w:color w:val="0f1115"/>
                <w:sz w:val="20"/>
                <w:szCs w:val="20"/>
                <w:highlight w:val="white"/>
              </w:rPr>
            </w:pPr>
            <w:r w:rsidDel="00000000" w:rsidR="00000000" w:rsidRPr="00000000">
              <w:rPr>
                <w:color w:val="0f1115"/>
                <w:sz w:val="20"/>
                <w:szCs w:val="20"/>
                <w:highlight w:val="white"/>
                <w:rtl w:val="0"/>
              </w:rPr>
              <w:t xml:space="preserve">Uso exclusivo para serviços/comércio</w:t>
            </w:r>
          </w:p>
        </w:tc>
      </w:tr>
    </w:tbl>
    <w:p w:rsidR="00000000" w:rsidDel="00000000" w:rsidP="00000000" w:rsidRDefault="00000000" w:rsidRPr="00000000" w14:paraId="000000DC">
      <w:pPr>
        <w:jc w:val="center"/>
        <w:rPr>
          <w:color w:val="0f1115"/>
          <w:sz w:val="20"/>
          <w:szCs w:val="20"/>
          <w:highlight w:val="white"/>
        </w:rPr>
      </w:pPr>
      <w:r w:rsidDel="00000000" w:rsidR="00000000" w:rsidRPr="00000000">
        <w:rPr>
          <w:sz w:val="20"/>
          <w:szCs w:val="20"/>
          <w:rtl w:val="0"/>
        </w:rPr>
        <w:t xml:space="preserve">Fonte: Habite-se. Secretária de Obras de Campos dos Goytacazes. Elaboração do autor</w:t>
      </w:r>
      <w:r w:rsidDel="00000000" w:rsidR="00000000" w:rsidRPr="00000000">
        <w:rPr>
          <w:rtl w:val="0"/>
        </w:rPr>
      </w:r>
    </w:p>
    <w:p w:rsidR="00000000" w:rsidDel="00000000" w:rsidP="00000000" w:rsidRDefault="00000000" w:rsidRPr="00000000" w14:paraId="000000DD">
      <w:pPr>
        <w:shd w:fill="ffffff" w:val="clear"/>
        <w:tabs>
          <w:tab w:val="left" w:leader="none" w:pos="284"/>
        </w:tabs>
        <w:spacing w:before="240" w:line="360" w:lineRule="auto"/>
        <w:jc w:val="both"/>
        <w:rPr>
          <w:b w:val="1"/>
          <w:color w:val="0f1115"/>
          <w:highlight w:val="white"/>
        </w:rPr>
      </w:pPr>
      <w:r w:rsidDel="00000000" w:rsidR="00000000" w:rsidRPr="00000000">
        <w:rPr>
          <w:rtl w:val="0"/>
        </w:rPr>
      </w:r>
    </w:p>
    <w:p w:rsidR="00000000" w:rsidDel="00000000" w:rsidP="00000000" w:rsidRDefault="00000000" w:rsidRPr="00000000" w14:paraId="000000DE">
      <w:pPr>
        <w:shd w:fill="ffffff" w:val="clear"/>
        <w:tabs>
          <w:tab w:val="left" w:leader="none" w:pos="284"/>
        </w:tabs>
        <w:spacing w:before="240" w:line="360" w:lineRule="auto"/>
        <w:jc w:val="both"/>
        <w:rPr>
          <w:b w:val="1"/>
          <w:color w:val="0f1115"/>
          <w:highlight w:val="white"/>
        </w:rPr>
      </w:pPr>
      <w:r w:rsidDel="00000000" w:rsidR="00000000" w:rsidRPr="00000000">
        <w:rPr>
          <w:b w:val="1"/>
          <w:color w:val="0f1115"/>
          <w:highlight w:val="white"/>
          <w:rtl w:val="0"/>
        </w:rPr>
        <w:t xml:space="preserve">4.5.3 DENSIDADE</w:t>
      </w:r>
    </w:p>
    <w:p w:rsidR="00000000" w:rsidDel="00000000" w:rsidP="00000000" w:rsidRDefault="00000000" w:rsidRPr="00000000" w14:paraId="000000DF">
      <w:pPr>
        <w:shd w:fill="ffffff" w:val="clear"/>
        <w:tabs>
          <w:tab w:val="left" w:leader="none" w:pos="284"/>
        </w:tabs>
        <w:spacing w:line="360" w:lineRule="auto"/>
        <w:ind w:firstLine="850.3937007874017"/>
        <w:jc w:val="both"/>
        <w:rPr>
          <w:b w:val="1"/>
          <w:color w:val="0f1115"/>
          <w:highlight w:val="white"/>
        </w:rPr>
      </w:pPr>
      <w:r w:rsidDel="00000000" w:rsidR="00000000" w:rsidRPr="00000000">
        <w:rPr>
          <w:color w:val="0f1115"/>
          <w:highlight w:val="white"/>
          <w:rtl w:val="0"/>
        </w:rPr>
        <w:t xml:space="preserve">A densidade refere-se à quantidade de apartamentos/unidades por andar, indicando a quantidade de vizinhos diretos que pode existir e refletindo também a forma como a construção sobreposta é utilizada.</w:t>
      </w:r>
      <w:r w:rsidDel="00000000" w:rsidR="00000000" w:rsidRPr="00000000">
        <w:rPr>
          <w:rtl w:val="0"/>
        </w:rPr>
      </w:r>
    </w:p>
    <w:p w:rsidR="00000000" w:rsidDel="00000000" w:rsidP="00000000" w:rsidRDefault="00000000" w:rsidRPr="00000000" w14:paraId="000000E0">
      <w:pPr>
        <w:shd w:fill="ffffff" w:val="clear"/>
        <w:tabs>
          <w:tab w:val="left" w:leader="none" w:pos="284"/>
        </w:tabs>
        <w:spacing w:before="240" w:line="360" w:lineRule="auto"/>
        <w:jc w:val="center"/>
        <w:rPr>
          <w:sz w:val="20"/>
          <w:szCs w:val="20"/>
        </w:rPr>
      </w:pPr>
      <w:r w:rsidDel="00000000" w:rsidR="00000000" w:rsidRPr="00000000">
        <w:rPr>
          <w:color w:val="0f1115"/>
          <w:sz w:val="20"/>
          <w:szCs w:val="20"/>
          <w:highlight w:val="white"/>
          <w:rtl w:val="0"/>
        </w:rPr>
        <w:t xml:space="preserve">Tabela 4: Densidade em apartamentos por andar</w:t>
      </w:r>
      <w:r w:rsidDel="00000000" w:rsidR="00000000" w:rsidRPr="00000000">
        <w:rPr>
          <w:rtl w:val="0"/>
        </w:rPr>
      </w:r>
    </w:p>
    <w:tbl>
      <w:tblPr>
        <w:tblStyle w:val="Table5"/>
        <w:tblW w:w="6885.0" w:type="dxa"/>
        <w:jc w:val="center"/>
        <w:tblLayout w:type="fixed"/>
        <w:tblLook w:val="0400"/>
      </w:tblPr>
      <w:tblGrid>
        <w:gridCol w:w="1920"/>
        <w:gridCol w:w="2070"/>
        <w:gridCol w:w="2895"/>
        <w:tblGridChange w:id="0">
          <w:tblGrid>
            <w:gridCol w:w="1920"/>
            <w:gridCol w:w="2070"/>
            <w:gridCol w:w="2895"/>
          </w:tblGrid>
        </w:tblGridChange>
      </w:tblGrid>
      <w:tr>
        <w:trPr>
          <w:cantSplit w:val="0"/>
          <w:trHeight w:val="431.0595703125" w:hRule="atLeast"/>
          <w:tblHeader w:val="0"/>
        </w:trPr>
        <w:tc>
          <w:tcPr>
            <w:tcBorders>
              <w:top w:color="000000" w:space="0" w:sz="12" w:val="single"/>
              <w:left w:color="000000" w:space="0" w:sz="0" w:val="nil"/>
              <w:bottom w:color="000000" w:space="0" w:sz="12" w:val="single"/>
              <w:right w:color="000000" w:space="0" w:sz="0" w:val="nil"/>
            </w:tcBorders>
            <w:shd w:fill="d9d9d9" w:val="clear"/>
            <w:vAlign w:val="center"/>
          </w:tcPr>
          <w:p w:rsidR="00000000" w:rsidDel="00000000" w:rsidP="00000000" w:rsidRDefault="00000000" w:rsidRPr="00000000" w14:paraId="000000E1">
            <w:pPr>
              <w:spacing w:line="276" w:lineRule="auto"/>
              <w:jc w:val="center"/>
              <w:rPr>
                <w:b w:val="1"/>
                <w:sz w:val="20"/>
                <w:szCs w:val="20"/>
              </w:rPr>
            </w:pPr>
            <w:r w:rsidDel="00000000" w:rsidR="00000000" w:rsidRPr="00000000">
              <w:rPr>
                <w:b w:val="1"/>
                <w:sz w:val="20"/>
                <w:szCs w:val="20"/>
                <w:rtl w:val="0"/>
              </w:rPr>
              <w:t xml:space="preserve">Densidade</w:t>
            </w:r>
          </w:p>
        </w:tc>
        <w:tc>
          <w:tcPr>
            <w:tcBorders>
              <w:top w:color="000000" w:space="0" w:sz="12" w:val="single"/>
              <w:left w:color="000000" w:space="0" w:sz="0" w:val="nil"/>
              <w:bottom w:color="000000" w:space="0" w:sz="12" w:val="single"/>
              <w:right w:color="000000" w:space="0" w:sz="0" w:val="nil"/>
            </w:tcBorders>
            <w:shd w:fill="d9d9d9" w:val="clear"/>
            <w:vAlign w:val="center"/>
          </w:tcPr>
          <w:p w:rsidR="00000000" w:rsidDel="00000000" w:rsidP="00000000" w:rsidRDefault="00000000" w:rsidRPr="00000000" w14:paraId="000000E2">
            <w:pPr>
              <w:spacing w:line="276" w:lineRule="auto"/>
              <w:jc w:val="center"/>
              <w:rPr>
                <w:b w:val="1"/>
                <w:sz w:val="20"/>
                <w:szCs w:val="20"/>
              </w:rPr>
            </w:pPr>
            <w:r w:rsidDel="00000000" w:rsidR="00000000" w:rsidRPr="00000000">
              <w:rPr>
                <w:b w:val="1"/>
                <w:sz w:val="20"/>
                <w:szCs w:val="20"/>
                <w:rtl w:val="0"/>
              </w:rPr>
              <w:t xml:space="preserve">Uni/Andar</w:t>
            </w:r>
          </w:p>
        </w:tc>
        <w:tc>
          <w:tcPr>
            <w:tcBorders>
              <w:top w:color="000000" w:space="0" w:sz="12" w:val="single"/>
              <w:left w:color="000000" w:space="0" w:sz="0" w:val="nil"/>
              <w:bottom w:color="000000" w:space="0" w:sz="12" w:val="single"/>
              <w:right w:color="000000" w:space="0" w:sz="0" w:val="nil"/>
            </w:tcBorders>
            <w:shd w:fill="d9d9d9" w:val="clear"/>
            <w:vAlign w:val="center"/>
          </w:tcPr>
          <w:p w:rsidR="00000000" w:rsidDel="00000000" w:rsidP="00000000" w:rsidRDefault="00000000" w:rsidRPr="00000000" w14:paraId="000000E3">
            <w:pPr>
              <w:jc w:val="center"/>
              <w:rPr>
                <w:b w:val="1"/>
                <w:color w:val="0f1115"/>
                <w:sz w:val="20"/>
                <w:szCs w:val="20"/>
              </w:rPr>
            </w:pPr>
            <w:r w:rsidDel="00000000" w:rsidR="00000000" w:rsidRPr="00000000">
              <w:rPr>
                <w:b w:val="1"/>
                <w:color w:val="0f1115"/>
                <w:sz w:val="20"/>
                <w:szCs w:val="20"/>
                <w:rtl w:val="0"/>
              </w:rPr>
              <w:t xml:space="preserve">Percentual</w:t>
            </w:r>
          </w:p>
        </w:tc>
      </w:tr>
      <w:tr>
        <w:trPr>
          <w:cantSplit w:val="0"/>
          <w:tblHeader w:val="0"/>
        </w:trPr>
        <w:tc>
          <w:tcPr>
            <w:tcBorders>
              <w:top w:color="000000" w:space="0" w:sz="0" w:val="nil"/>
              <w:left w:color="000000" w:space="0" w:sz="0" w:val="nil"/>
              <w:bottom w:color="000000" w:space="0" w:sz="7" w:val="single"/>
              <w:right w:color="000000" w:space="0" w:sz="0" w:val="nil"/>
            </w:tcBorders>
            <w:tcMar>
              <w:top w:w="-226.7716535433071" w:type="dxa"/>
              <w:left w:w="-226.7716535433071" w:type="dxa"/>
              <w:bottom w:w="-226.7716535433071" w:type="dxa"/>
              <w:right w:w="-226.7716535433071" w:type="dxa"/>
            </w:tcMar>
            <w:vAlign w:val="top"/>
          </w:tcPr>
          <w:p w:rsidR="00000000" w:rsidDel="00000000" w:rsidP="00000000" w:rsidRDefault="00000000" w:rsidRPr="00000000" w14:paraId="000000E4">
            <w:pPr>
              <w:shd w:fill="ffffff" w:val="clear"/>
              <w:tabs>
                <w:tab w:val="left" w:leader="none" w:pos="284"/>
              </w:tabs>
              <w:spacing w:before="240" w:line="391.30434782608694" w:lineRule="auto"/>
              <w:jc w:val="both"/>
              <w:rPr>
                <w:color w:val="0f1115"/>
                <w:sz w:val="20"/>
                <w:szCs w:val="20"/>
                <w:highlight w:val="white"/>
              </w:rPr>
            </w:pPr>
            <w:r w:rsidDel="00000000" w:rsidR="00000000" w:rsidRPr="00000000">
              <w:rPr>
                <w:color w:val="0f1115"/>
                <w:sz w:val="20"/>
                <w:szCs w:val="20"/>
                <w:highlight w:val="white"/>
                <w:rtl w:val="0"/>
              </w:rPr>
              <w:t xml:space="preserve">Alta Densidade</w:t>
            </w:r>
          </w:p>
        </w:tc>
        <w:tc>
          <w:tcPr>
            <w:tcBorders>
              <w:top w:color="000000" w:space="0" w:sz="0" w:val="nil"/>
              <w:left w:color="000000" w:space="0" w:sz="0" w:val="nil"/>
              <w:bottom w:color="000000" w:space="0" w:sz="7" w:val="single"/>
              <w:right w:color="000000" w:space="0" w:sz="0" w:val="nil"/>
            </w:tcBorders>
            <w:tcMar>
              <w:top w:w="-226.7716535433071" w:type="dxa"/>
              <w:left w:w="-226.7716535433071" w:type="dxa"/>
              <w:bottom w:w="-226.7716535433071" w:type="dxa"/>
              <w:right w:w="-226.7716535433071" w:type="dxa"/>
            </w:tcMar>
            <w:vAlign w:val="top"/>
          </w:tcPr>
          <w:p w:rsidR="00000000" w:rsidDel="00000000" w:rsidP="00000000" w:rsidRDefault="00000000" w:rsidRPr="00000000" w14:paraId="000000E5">
            <w:pPr>
              <w:shd w:fill="ffffff" w:val="clear"/>
              <w:tabs>
                <w:tab w:val="left" w:leader="none" w:pos="284"/>
              </w:tabs>
              <w:spacing w:before="240" w:line="391.30434782608694" w:lineRule="auto"/>
              <w:jc w:val="both"/>
              <w:rPr>
                <w:color w:val="0f1115"/>
                <w:sz w:val="20"/>
                <w:szCs w:val="20"/>
                <w:highlight w:val="white"/>
              </w:rPr>
            </w:pPr>
            <w:r w:rsidDel="00000000" w:rsidR="00000000" w:rsidRPr="00000000">
              <w:rPr>
                <w:color w:val="0f1115"/>
                <w:sz w:val="20"/>
                <w:szCs w:val="20"/>
                <w:highlight w:val="white"/>
                <w:rtl w:val="0"/>
              </w:rPr>
              <w:t xml:space="preserve">5+ apartamentos</w:t>
            </w:r>
          </w:p>
        </w:tc>
        <w:tc>
          <w:tcPr>
            <w:tcBorders>
              <w:top w:color="000000" w:space="0" w:sz="0" w:val="nil"/>
              <w:left w:color="000000" w:space="0" w:sz="0" w:val="nil"/>
              <w:bottom w:color="000000" w:space="0" w:sz="7" w:val="single"/>
              <w:right w:color="000000" w:space="0" w:sz="0" w:val="nil"/>
            </w:tcBorders>
            <w:tcMar>
              <w:top w:w="-226.7716535433071" w:type="dxa"/>
              <w:left w:w="-226.7716535433071" w:type="dxa"/>
              <w:bottom w:w="-226.7716535433071" w:type="dxa"/>
              <w:right w:w="-226.7716535433071" w:type="dxa"/>
            </w:tcMar>
            <w:vAlign w:val="top"/>
          </w:tcPr>
          <w:p w:rsidR="00000000" w:rsidDel="00000000" w:rsidP="00000000" w:rsidRDefault="00000000" w:rsidRPr="00000000" w14:paraId="000000E6">
            <w:pPr>
              <w:shd w:fill="ffffff" w:val="clear"/>
              <w:tabs>
                <w:tab w:val="left" w:leader="none" w:pos="284"/>
              </w:tabs>
              <w:spacing w:before="240" w:line="391.30434782608694" w:lineRule="auto"/>
              <w:ind w:firstLine="850.3937007874017"/>
              <w:jc w:val="both"/>
              <w:rPr>
                <w:color w:val="0f1115"/>
                <w:sz w:val="20"/>
                <w:szCs w:val="20"/>
                <w:highlight w:val="white"/>
              </w:rPr>
            </w:pPr>
            <w:r w:rsidDel="00000000" w:rsidR="00000000" w:rsidRPr="00000000">
              <w:rPr>
                <w:color w:val="0f1115"/>
                <w:sz w:val="20"/>
                <w:szCs w:val="20"/>
                <w:highlight w:val="white"/>
                <w:rtl w:val="0"/>
              </w:rPr>
              <w:t xml:space="preserve">40%</w:t>
            </w:r>
          </w:p>
        </w:tc>
      </w:tr>
      <w:tr>
        <w:trPr>
          <w:cantSplit w:val="0"/>
          <w:tblHeader w:val="0"/>
        </w:trPr>
        <w:tc>
          <w:tcPr>
            <w:tcBorders>
              <w:top w:color="000000" w:space="0" w:sz="0" w:val="nil"/>
              <w:left w:color="000000" w:space="0" w:sz="0" w:val="nil"/>
              <w:bottom w:color="000000" w:space="0" w:sz="7" w:val="single"/>
              <w:right w:color="000000" w:space="0" w:sz="0" w:val="nil"/>
            </w:tcBorders>
            <w:tcMar>
              <w:top w:w="-226.7716535433071" w:type="dxa"/>
              <w:left w:w="-226.7716535433071" w:type="dxa"/>
              <w:bottom w:w="-226.7716535433071" w:type="dxa"/>
              <w:right w:w="-226.7716535433071" w:type="dxa"/>
            </w:tcMar>
            <w:vAlign w:val="top"/>
          </w:tcPr>
          <w:p w:rsidR="00000000" w:rsidDel="00000000" w:rsidP="00000000" w:rsidRDefault="00000000" w:rsidRPr="00000000" w14:paraId="000000E7">
            <w:pPr>
              <w:shd w:fill="ffffff" w:val="clear"/>
              <w:tabs>
                <w:tab w:val="left" w:leader="none" w:pos="284"/>
              </w:tabs>
              <w:spacing w:before="240" w:line="391.30434782608694" w:lineRule="auto"/>
              <w:jc w:val="both"/>
              <w:rPr>
                <w:color w:val="0f1115"/>
                <w:sz w:val="20"/>
                <w:szCs w:val="20"/>
                <w:highlight w:val="white"/>
              </w:rPr>
            </w:pPr>
            <w:r w:rsidDel="00000000" w:rsidR="00000000" w:rsidRPr="00000000">
              <w:rPr>
                <w:color w:val="0f1115"/>
                <w:sz w:val="20"/>
                <w:szCs w:val="20"/>
                <w:highlight w:val="white"/>
                <w:rtl w:val="0"/>
              </w:rPr>
              <w:t xml:space="preserve">Média Densidade</w:t>
            </w:r>
          </w:p>
        </w:tc>
        <w:tc>
          <w:tcPr>
            <w:tcBorders>
              <w:top w:color="000000" w:space="0" w:sz="0" w:val="nil"/>
              <w:left w:color="000000" w:space="0" w:sz="0" w:val="nil"/>
              <w:bottom w:color="000000" w:space="0" w:sz="7" w:val="single"/>
              <w:right w:color="000000" w:space="0" w:sz="0" w:val="nil"/>
            </w:tcBorders>
            <w:tcMar>
              <w:top w:w="-226.7716535433071" w:type="dxa"/>
              <w:left w:w="-226.7716535433071" w:type="dxa"/>
              <w:bottom w:w="-226.7716535433071" w:type="dxa"/>
              <w:right w:w="-226.7716535433071" w:type="dxa"/>
            </w:tcMar>
            <w:vAlign w:val="top"/>
          </w:tcPr>
          <w:p w:rsidR="00000000" w:rsidDel="00000000" w:rsidP="00000000" w:rsidRDefault="00000000" w:rsidRPr="00000000" w14:paraId="000000E8">
            <w:pPr>
              <w:shd w:fill="ffffff" w:val="clear"/>
              <w:tabs>
                <w:tab w:val="left" w:leader="none" w:pos="284"/>
              </w:tabs>
              <w:spacing w:before="240" w:line="391.30434782608694" w:lineRule="auto"/>
              <w:jc w:val="both"/>
              <w:rPr>
                <w:color w:val="0f1115"/>
                <w:sz w:val="20"/>
                <w:szCs w:val="20"/>
                <w:highlight w:val="white"/>
              </w:rPr>
            </w:pPr>
            <w:r w:rsidDel="00000000" w:rsidR="00000000" w:rsidRPr="00000000">
              <w:rPr>
                <w:color w:val="0f1115"/>
                <w:sz w:val="20"/>
                <w:szCs w:val="20"/>
                <w:highlight w:val="white"/>
                <w:rtl w:val="0"/>
              </w:rPr>
              <w:t xml:space="preserve">3-4 apartamentos</w:t>
            </w:r>
          </w:p>
        </w:tc>
        <w:tc>
          <w:tcPr>
            <w:tcBorders>
              <w:top w:color="000000" w:space="0" w:sz="0" w:val="nil"/>
              <w:left w:color="000000" w:space="0" w:sz="0" w:val="nil"/>
              <w:bottom w:color="000000" w:space="0" w:sz="7" w:val="single"/>
              <w:right w:color="000000" w:space="0" w:sz="0" w:val="nil"/>
            </w:tcBorders>
            <w:tcMar>
              <w:top w:w="-226.7716535433071" w:type="dxa"/>
              <w:left w:w="-226.7716535433071" w:type="dxa"/>
              <w:bottom w:w="-226.7716535433071" w:type="dxa"/>
              <w:right w:w="-226.7716535433071" w:type="dxa"/>
            </w:tcMar>
            <w:vAlign w:val="top"/>
          </w:tcPr>
          <w:p w:rsidR="00000000" w:rsidDel="00000000" w:rsidP="00000000" w:rsidRDefault="00000000" w:rsidRPr="00000000" w14:paraId="000000E9">
            <w:pPr>
              <w:shd w:fill="ffffff" w:val="clear"/>
              <w:tabs>
                <w:tab w:val="left" w:leader="none" w:pos="284"/>
              </w:tabs>
              <w:spacing w:before="240" w:line="391.30434782608694" w:lineRule="auto"/>
              <w:ind w:firstLine="850.3937007874017"/>
              <w:jc w:val="both"/>
              <w:rPr>
                <w:color w:val="0f1115"/>
                <w:sz w:val="20"/>
                <w:szCs w:val="20"/>
                <w:highlight w:val="white"/>
              </w:rPr>
            </w:pPr>
            <w:r w:rsidDel="00000000" w:rsidR="00000000" w:rsidRPr="00000000">
              <w:rPr>
                <w:color w:val="0f1115"/>
                <w:sz w:val="20"/>
                <w:szCs w:val="20"/>
                <w:highlight w:val="white"/>
                <w:rtl w:val="0"/>
              </w:rPr>
              <w:t xml:space="preserve">35%</w:t>
            </w:r>
          </w:p>
        </w:tc>
      </w:tr>
      <w:tr>
        <w:trPr>
          <w:cantSplit w:val="0"/>
          <w:trHeight w:val="193.02978515625" w:hRule="atLeast"/>
          <w:tblHeader w:val="0"/>
        </w:trPr>
        <w:tc>
          <w:tcPr>
            <w:tcBorders>
              <w:top w:color="000000" w:space="0" w:sz="0" w:val="nil"/>
              <w:left w:color="000000" w:space="0" w:sz="0" w:val="nil"/>
              <w:bottom w:color="000000" w:space="0" w:sz="7" w:val="single"/>
              <w:right w:color="000000" w:space="0" w:sz="0" w:val="nil"/>
            </w:tcBorders>
            <w:tcMar>
              <w:top w:w="-226.7716535433071" w:type="dxa"/>
              <w:left w:w="-226.7716535433071" w:type="dxa"/>
              <w:bottom w:w="-226.7716535433071" w:type="dxa"/>
              <w:right w:w="-226.7716535433071" w:type="dxa"/>
            </w:tcMar>
            <w:vAlign w:val="top"/>
          </w:tcPr>
          <w:p w:rsidR="00000000" w:rsidDel="00000000" w:rsidP="00000000" w:rsidRDefault="00000000" w:rsidRPr="00000000" w14:paraId="000000EA">
            <w:pPr>
              <w:shd w:fill="ffffff" w:val="clear"/>
              <w:tabs>
                <w:tab w:val="left" w:leader="none" w:pos="284"/>
              </w:tabs>
              <w:spacing w:before="240" w:line="391.30434782608694" w:lineRule="auto"/>
              <w:jc w:val="both"/>
              <w:rPr>
                <w:color w:val="0f1115"/>
                <w:sz w:val="20"/>
                <w:szCs w:val="20"/>
                <w:highlight w:val="white"/>
              </w:rPr>
            </w:pPr>
            <w:r w:rsidDel="00000000" w:rsidR="00000000" w:rsidRPr="00000000">
              <w:rPr>
                <w:color w:val="0f1115"/>
                <w:sz w:val="20"/>
                <w:szCs w:val="20"/>
                <w:highlight w:val="white"/>
                <w:rtl w:val="0"/>
              </w:rPr>
              <w:t xml:space="preserve">Baixa Densidade</w:t>
            </w:r>
          </w:p>
        </w:tc>
        <w:tc>
          <w:tcPr>
            <w:tcBorders>
              <w:top w:color="000000" w:space="0" w:sz="0" w:val="nil"/>
              <w:left w:color="000000" w:space="0" w:sz="0" w:val="nil"/>
              <w:bottom w:color="000000" w:space="0" w:sz="7" w:val="single"/>
              <w:right w:color="000000" w:space="0" w:sz="0" w:val="nil"/>
            </w:tcBorders>
            <w:tcMar>
              <w:top w:w="-226.7716535433071" w:type="dxa"/>
              <w:left w:w="-226.7716535433071" w:type="dxa"/>
              <w:bottom w:w="-226.7716535433071" w:type="dxa"/>
              <w:right w:w="-226.7716535433071" w:type="dxa"/>
            </w:tcMar>
            <w:vAlign w:val="top"/>
          </w:tcPr>
          <w:p w:rsidR="00000000" w:rsidDel="00000000" w:rsidP="00000000" w:rsidRDefault="00000000" w:rsidRPr="00000000" w14:paraId="000000EB">
            <w:pPr>
              <w:shd w:fill="ffffff" w:val="clear"/>
              <w:tabs>
                <w:tab w:val="left" w:leader="none" w:pos="284"/>
              </w:tabs>
              <w:spacing w:before="240" w:line="391.30434782608694" w:lineRule="auto"/>
              <w:jc w:val="both"/>
              <w:rPr>
                <w:color w:val="0f1115"/>
                <w:sz w:val="20"/>
                <w:szCs w:val="20"/>
                <w:highlight w:val="white"/>
              </w:rPr>
            </w:pPr>
            <w:r w:rsidDel="00000000" w:rsidR="00000000" w:rsidRPr="00000000">
              <w:rPr>
                <w:color w:val="0f1115"/>
                <w:sz w:val="20"/>
                <w:szCs w:val="20"/>
                <w:highlight w:val="white"/>
                <w:rtl w:val="0"/>
              </w:rPr>
              <w:t xml:space="preserve">1-2 apartamentos</w:t>
            </w:r>
          </w:p>
        </w:tc>
        <w:tc>
          <w:tcPr>
            <w:tcBorders>
              <w:top w:color="000000" w:space="0" w:sz="0" w:val="nil"/>
              <w:left w:color="000000" w:space="0" w:sz="0" w:val="nil"/>
              <w:bottom w:color="000000" w:space="0" w:sz="7" w:val="single"/>
              <w:right w:color="000000" w:space="0" w:sz="0" w:val="nil"/>
            </w:tcBorders>
            <w:tcMar>
              <w:top w:w="-226.7716535433071" w:type="dxa"/>
              <w:left w:w="-226.7716535433071" w:type="dxa"/>
              <w:bottom w:w="-226.7716535433071" w:type="dxa"/>
              <w:right w:w="-226.7716535433071" w:type="dxa"/>
            </w:tcMar>
            <w:vAlign w:val="top"/>
          </w:tcPr>
          <w:p w:rsidR="00000000" w:rsidDel="00000000" w:rsidP="00000000" w:rsidRDefault="00000000" w:rsidRPr="00000000" w14:paraId="000000EC">
            <w:pPr>
              <w:shd w:fill="ffffff" w:val="clear"/>
              <w:tabs>
                <w:tab w:val="left" w:leader="none" w:pos="284"/>
              </w:tabs>
              <w:spacing w:before="240" w:line="391.30434782608694" w:lineRule="auto"/>
              <w:ind w:firstLine="850.3937007874017"/>
              <w:jc w:val="both"/>
              <w:rPr>
                <w:color w:val="0f1115"/>
                <w:sz w:val="20"/>
                <w:szCs w:val="20"/>
                <w:highlight w:val="white"/>
              </w:rPr>
            </w:pPr>
            <w:r w:rsidDel="00000000" w:rsidR="00000000" w:rsidRPr="00000000">
              <w:rPr>
                <w:color w:val="0f1115"/>
                <w:sz w:val="20"/>
                <w:szCs w:val="20"/>
                <w:highlight w:val="white"/>
                <w:rtl w:val="0"/>
              </w:rPr>
              <w:t xml:space="preserve">25%</w:t>
            </w:r>
          </w:p>
        </w:tc>
      </w:tr>
    </w:tbl>
    <w:p w:rsidR="00000000" w:rsidDel="00000000" w:rsidP="00000000" w:rsidRDefault="00000000" w:rsidRPr="00000000" w14:paraId="000000ED">
      <w:pPr>
        <w:jc w:val="center"/>
        <w:rPr>
          <w:sz w:val="20"/>
          <w:szCs w:val="20"/>
        </w:rPr>
      </w:pPr>
      <w:r w:rsidDel="00000000" w:rsidR="00000000" w:rsidRPr="00000000">
        <w:rPr>
          <w:sz w:val="20"/>
          <w:szCs w:val="20"/>
          <w:rtl w:val="0"/>
        </w:rPr>
        <w:t xml:space="preserve">Fonte: Habite-se. Secretária de Obras de Campos dos Goytacazes. Elaboração do autor</w:t>
      </w:r>
    </w:p>
    <w:p w:rsidR="00000000" w:rsidDel="00000000" w:rsidP="00000000" w:rsidRDefault="00000000" w:rsidRPr="00000000" w14:paraId="000000EE">
      <w:pPr>
        <w:jc w:val="center"/>
        <w:rPr>
          <w:sz w:val="20"/>
          <w:szCs w:val="20"/>
        </w:rPr>
      </w:pPr>
      <w:r w:rsidDel="00000000" w:rsidR="00000000" w:rsidRPr="00000000">
        <w:rPr>
          <w:rtl w:val="0"/>
        </w:rPr>
      </w:r>
    </w:p>
    <w:p w:rsidR="00000000" w:rsidDel="00000000" w:rsidP="00000000" w:rsidRDefault="00000000" w:rsidRPr="00000000" w14:paraId="000000EF">
      <w:pPr>
        <w:spacing w:line="360" w:lineRule="auto"/>
        <w:jc w:val="both"/>
        <w:rPr>
          <w:b w:val="1"/>
          <w:color w:val="0f1115"/>
          <w:highlight w:val="white"/>
        </w:rPr>
      </w:pPr>
      <w:r w:rsidDel="00000000" w:rsidR="00000000" w:rsidRPr="00000000">
        <w:rPr>
          <w:rtl w:val="0"/>
        </w:rPr>
      </w:r>
    </w:p>
    <w:p w:rsidR="00000000" w:rsidDel="00000000" w:rsidP="00000000" w:rsidRDefault="00000000" w:rsidRPr="00000000" w14:paraId="000000F0">
      <w:pPr>
        <w:spacing w:line="360" w:lineRule="auto"/>
        <w:jc w:val="both"/>
        <w:rPr>
          <w:color w:val="0f1115"/>
          <w:highlight w:val="white"/>
        </w:rPr>
      </w:pPr>
      <w:r w:rsidDel="00000000" w:rsidR="00000000" w:rsidRPr="00000000">
        <w:rPr>
          <w:b w:val="1"/>
          <w:color w:val="0f1115"/>
          <w:highlight w:val="white"/>
          <w:rtl w:val="0"/>
        </w:rPr>
        <w:t xml:space="preserve">4.5.4 METRAGEM QUADRADA</w:t>
      </w:r>
      <w:r w:rsidDel="00000000" w:rsidR="00000000" w:rsidRPr="00000000">
        <w:rPr>
          <w:rtl w:val="0"/>
        </w:rPr>
      </w:r>
    </w:p>
    <w:p w:rsidR="00000000" w:rsidDel="00000000" w:rsidP="00000000" w:rsidRDefault="00000000" w:rsidRPr="00000000" w14:paraId="000000F1">
      <w:pPr>
        <w:spacing w:line="360" w:lineRule="auto"/>
        <w:ind w:firstLine="850.3937007874017"/>
        <w:jc w:val="both"/>
        <w:rPr>
          <w:color w:val="0f1115"/>
          <w:highlight w:val="white"/>
        </w:rPr>
      </w:pPr>
      <w:r w:rsidDel="00000000" w:rsidR="00000000" w:rsidRPr="00000000">
        <w:rPr>
          <w:color w:val="0f1115"/>
          <w:highlight w:val="white"/>
          <w:rtl w:val="0"/>
        </w:rPr>
        <w:t xml:space="preserve">Referente ao tamanho total de cada unidade, possibilitando entendimento sobre o tipo de planta e condições de vida podem existir de acordo com a metragem quadrada de cada unidade;</w:t>
      </w:r>
    </w:p>
    <w:p w:rsidR="00000000" w:rsidDel="00000000" w:rsidP="00000000" w:rsidRDefault="00000000" w:rsidRPr="00000000" w14:paraId="000000F2">
      <w:pPr>
        <w:spacing w:line="360" w:lineRule="auto"/>
        <w:ind w:firstLine="850.3937007874017"/>
        <w:jc w:val="both"/>
        <w:rPr>
          <w:color w:val="0f1115"/>
          <w:highlight w:val="white"/>
        </w:rPr>
      </w:pPr>
      <w:r w:rsidDel="00000000" w:rsidR="00000000" w:rsidRPr="00000000">
        <w:rPr>
          <w:rtl w:val="0"/>
        </w:rPr>
      </w:r>
    </w:p>
    <w:p w:rsidR="00000000" w:rsidDel="00000000" w:rsidP="00000000" w:rsidRDefault="00000000" w:rsidRPr="00000000" w14:paraId="000000F3">
      <w:pPr>
        <w:spacing w:line="360" w:lineRule="auto"/>
        <w:jc w:val="center"/>
        <w:rPr>
          <w:sz w:val="20"/>
          <w:szCs w:val="20"/>
        </w:rPr>
      </w:pPr>
      <w:r w:rsidDel="00000000" w:rsidR="00000000" w:rsidRPr="00000000">
        <w:rPr>
          <w:color w:val="0f1115"/>
          <w:sz w:val="20"/>
          <w:szCs w:val="20"/>
          <w:highlight w:val="white"/>
          <w:rtl w:val="0"/>
        </w:rPr>
        <w:t xml:space="preserve">Tabela 5: Metragem Quadrada</w:t>
      </w:r>
      <w:r w:rsidDel="00000000" w:rsidR="00000000" w:rsidRPr="00000000">
        <w:rPr>
          <w:rtl w:val="0"/>
        </w:rPr>
      </w:r>
    </w:p>
    <w:tbl>
      <w:tblPr>
        <w:tblStyle w:val="Table6"/>
        <w:tblW w:w="6885.0" w:type="dxa"/>
        <w:jc w:val="center"/>
        <w:tblLayout w:type="fixed"/>
        <w:tblLook w:val="0400"/>
      </w:tblPr>
      <w:tblGrid>
        <w:gridCol w:w="1635"/>
        <w:gridCol w:w="1575"/>
        <w:gridCol w:w="3675"/>
        <w:tblGridChange w:id="0">
          <w:tblGrid>
            <w:gridCol w:w="1635"/>
            <w:gridCol w:w="1575"/>
            <w:gridCol w:w="3675"/>
          </w:tblGrid>
        </w:tblGridChange>
      </w:tblGrid>
      <w:tr>
        <w:trPr>
          <w:cantSplit w:val="0"/>
          <w:trHeight w:val="431.0595703125" w:hRule="atLeast"/>
          <w:tblHeader w:val="0"/>
        </w:trPr>
        <w:tc>
          <w:tcPr>
            <w:tcBorders>
              <w:top w:color="000000" w:space="0" w:sz="12" w:val="single"/>
              <w:left w:color="000000" w:space="0" w:sz="0" w:val="nil"/>
              <w:bottom w:color="000000" w:space="0" w:sz="12" w:val="single"/>
              <w:right w:color="000000" w:space="0" w:sz="0" w:val="nil"/>
            </w:tcBorders>
            <w:shd w:fill="d9d9d9" w:val="clear"/>
            <w:vAlign w:val="center"/>
          </w:tcPr>
          <w:p w:rsidR="00000000" w:rsidDel="00000000" w:rsidP="00000000" w:rsidRDefault="00000000" w:rsidRPr="00000000" w14:paraId="000000F4">
            <w:pPr>
              <w:spacing w:line="276" w:lineRule="auto"/>
              <w:jc w:val="center"/>
              <w:rPr>
                <w:b w:val="1"/>
                <w:sz w:val="20"/>
                <w:szCs w:val="20"/>
              </w:rPr>
            </w:pPr>
            <w:r w:rsidDel="00000000" w:rsidR="00000000" w:rsidRPr="00000000">
              <w:rPr>
                <w:b w:val="1"/>
                <w:sz w:val="20"/>
                <w:szCs w:val="20"/>
                <w:rtl w:val="0"/>
              </w:rPr>
              <w:t xml:space="preserve">Metragem</w:t>
            </w:r>
          </w:p>
        </w:tc>
        <w:tc>
          <w:tcPr>
            <w:tcBorders>
              <w:top w:color="000000" w:space="0" w:sz="12" w:val="single"/>
              <w:left w:color="000000" w:space="0" w:sz="0" w:val="nil"/>
              <w:bottom w:color="000000" w:space="0" w:sz="12" w:val="single"/>
              <w:right w:color="000000" w:space="0" w:sz="0" w:val="nil"/>
            </w:tcBorders>
            <w:shd w:fill="d9d9d9" w:val="clear"/>
            <w:vAlign w:val="center"/>
          </w:tcPr>
          <w:p w:rsidR="00000000" w:rsidDel="00000000" w:rsidP="00000000" w:rsidRDefault="00000000" w:rsidRPr="00000000" w14:paraId="000000F5">
            <w:pPr>
              <w:spacing w:line="276" w:lineRule="auto"/>
              <w:jc w:val="center"/>
              <w:rPr>
                <w:b w:val="1"/>
                <w:sz w:val="20"/>
                <w:szCs w:val="20"/>
              </w:rPr>
            </w:pPr>
            <w:r w:rsidDel="00000000" w:rsidR="00000000" w:rsidRPr="00000000">
              <w:rPr>
                <w:b w:val="1"/>
                <w:sz w:val="20"/>
                <w:szCs w:val="20"/>
                <w:rtl w:val="0"/>
              </w:rPr>
              <w:t xml:space="preserve">Percentual</w:t>
            </w:r>
          </w:p>
        </w:tc>
        <w:tc>
          <w:tcPr>
            <w:tcBorders>
              <w:top w:color="000000" w:space="0" w:sz="12" w:val="single"/>
              <w:left w:color="000000" w:space="0" w:sz="0" w:val="nil"/>
              <w:bottom w:color="000000" w:space="0" w:sz="12" w:val="single"/>
              <w:right w:color="000000" w:space="0" w:sz="0" w:val="nil"/>
            </w:tcBorders>
            <w:shd w:fill="d9d9d9" w:val="clear"/>
            <w:vAlign w:val="center"/>
          </w:tcPr>
          <w:p w:rsidR="00000000" w:rsidDel="00000000" w:rsidP="00000000" w:rsidRDefault="00000000" w:rsidRPr="00000000" w14:paraId="000000F6">
            <w:pPr>
              <w:jc w:val="center"/>
              <w:rPr>
                <w:b w:val="1"/>
                <w:color w:val="0f1115"/>
                <w:sz w:val="20"/>
                <w:szCs w:val="20"/>
              </w:rPr>
            </w:pPr>
            <w:r w:rsidDel="00000000" w:rsidR="00000000" w:rsidRPr="00000000">
              <w:rPr>
                <w:b w:val="1"/>
                <w:color w:val="0f1115"/>
                <w:sz w:val="20"/>
                <w:szCs w:val="20"/>
                <w:rtl w:val="0"/>
              </w:rPr>
              <w:t xml:space="preserve">Perfil</w:t>
            </w:r>
          </w:p>
        </w:tc>
      </w:tr>
      <w:tr>
        <w:trPr>
          <w:cantSplit w:val="0"/>
          <w:tblHeader w:val="0"/>
        </w:trPr>
        <w:tc>
          <w:tcPr>
            <w:tcBorders>
              <w:top w:color="000000" w:space="0" w:sz="0" w:val="nil"/>
              <w:left w:color="000000" w:space="0" w:sz="0" w:val="nil"/>
              <w:bottom w:color="000000" w:space="0" w:sz="7" w:val="single"/>
              <w:right w:color="000000" w:space="0" w:sz="0" w:val="nil"/>
            </w:tcBorders>
            <w:tcMar>
              <w:top w:w="-453.5433070866142" w:type="dxa"/>
              <w:left w:w="-453.5433070866142" w:type="dxa"/>
              <w:bottom w:w="-453.5433070866142" w:type="dxa"/>
              <w:right w:w="-453.5433070866142" w:type="dxa"/>
            </w:tcMar>
            <w:vAlign w:val="top"/>
          </w:tcPr>
          <w:p w:rsidR="00000000" w:rsidDel="00000000" w:rsidP="00000000" w:rsidRDefault="00000000" w:rsidRPr="00000000" w14:paraId="000000F7">
            <w:pPr>
              <w:shd w:fill="ffffff" w:val="clear"/>
              <w:tabs>
                <w:tab w:val="left" w:leader="none" w:pos="284"/>
              </w:tabs>
              <w:spacing w:before="240" w:line="391.30434782608694" w:lineRule="auto"/>
              <w:jc w:val="both"/>
              <w:rPr>
                <w:color w:val="0f1115"/>
                <w:sz w:val="20"/>
                <w:szCs w:val="20"/>
                <w:highlight w:val="white"/>
              </w:rPr>
            </w:pPr>
            <w:r w:rsidDel="00000000" w:rsidR="00000000" w:rsidRPr="00000000">
              <w:rPr>
                <w:color w:val="0f1115"/>
                <w:sz w:val="20"/>
                <w:szCs w:val="20"/>
                <w:highlight w:val="white"/>
                <w:rtl w:val="0"/>
              </w:rPr>
              <w:t xml:space="preserve">40-99 m²</w:t>
            </w:r>
          </w:p>
        </w:tc>
        <w:tc>
          <w:tcPr>
            <w:tcBorders>
              <w:top w:color="000000" w:space="0" w:sz="0" w:val="nil"/>
              <w:left w:color="000000" w:space="0" w:sz="0" w:val="nil"/>
              <w:bottom w:color="000000" w:space="0" w:sz="7" w:val="single"/>
              <w:right w:color="000000" w:space="0" w:sz="0" w:val="nil"/>
            </w:tcBorders>
            <w:tcMar>
              <w:top w:w="-453.5433070866142" w:type="dxa"/>
              <w:left w:w="-453.5433070866142" w:type="dxa"/>
              <w:bottom w:w="-453.5433070866142" w:type="dxa"/>
              <w:right w:w="-453.5433070866142" w:type="dxa"/>
            </w:tcMar>
            <w:vAlign w:val="top"/>
          </w:tcPr>
          <w:p w:rsidR="00000000" w:rsidDel="00000000" w:rsidP="00000000" w:rsidRDefault="00000000" w:rsidRPr="00000000" w14:paraId="000000F8">
            <w:pPr>
              <w:shd w:fill="ffffff" w:val="clear"/>
              <w:tabs>
                <w:tab w:val="left" w:leader="none" w:pos="284"/>
              </w:tabs>
              <w:spacing w:before="240" w:line="391.30434782608694" w:lineRule="auto"/>
              <w:ind w:firstLine="850.3937007874017"/>
              <w:jc w:val="both"/>
              <w:rPr>
                <w:color w:val="0f1115"/>
                <w:sz w:val="20"/>
                <w:szCs w:val="20"/>
                <w:highlight w:val="white"/>
              </w:rPr>
            </w:pPr>
            <w:r w:rsidDel="00000000" w:rsidR="00000000" w:rsidRPr="00000000">
              <w:rPr>
                <w:color w:val="0f1115"/>
                <w:sz w:val="20"/>
                <w:szCs w:val="20"/>
                <w:highlight w:val="white"/>
                <w:rtl w:val="0"/>
              </w:rPr>
              <w:t xml:space="preserve">45%</w:t>
            </w:r>
          </w:p>
        </w:tc>
        <w:tc>
          <w:tcPr>
            <w:tcBorders>
              <w:top w:color="000000" w:space="0" w:sz="0" w:val="nil"/>
              <w:left w:color="000000" w:space="0" w:sz="0" w:val="nil"/>
              <w:bottom w:color="000000" w:space="0" w:sz="7" w:val="single"/>
              <w:right w:color="000000" w:space="0" w:sz="0" w:val="nil"/>
            </w:tcBorders>
            <w:tcMar>
              <w:top w:w="-453.5433070866142" w:type="dxa"/>
              <w:left w:w="-453.5433070866142" w:type="dxa"/>
              <w:bottom w:w="-453.5433070866142" w:type="dxa"/>
              <w:right w:w="-453.5433070866142" w:type="dxa"/>
            </w:tcMar>
            <w:vAlign w:val="top"/>
          </w:tcPr>
          <w:p w:rsidR="00000000" w:rsidDel="00000000" w:rsidP="00000000" w:rsidRDefault="00000000" w:rsidRPr="00000000" w14:paraId="000000F9">
            <w:pPr>
              <w:shd w:fill="ffffff" w:val="clear"/>
              <w:tabs>
                <w:tab w:val="left" w:leader="none" w:pos="284"/>
              </w:tabs>
              <w:spacing w:before="240" w:line="391.30434782608694" w:lineRule="auto"/>
              <w:jc w:val="both"/>
              <w:rPr>
                <w:color w:val="0f1115"/>
                <w:sz w:val="20"/>
                <w:szCs w:val="20"/>
                <w:highlight w:val="white"/>
              </w:rPr>
            </w:pPr>
            <w:r w:rsidDel="00000000" w:rsidR="00000000" w:rsidRPr="00000000">
              <w:rPr>
                <w:color w:val="0f1115"/>
                <w:sz w:val="20"/>
                <w:szCs w:val="20"/>
                <w:highlight w:val="white"/>
                <w:rtl w:val="0"/>
              </w:rPr>
              <w:t xml:space="preserve">Compacto/Investimento</w:t>
            </w:r>
          </w:p>
        </w:tc>
      </w:tr>
      <w:tr>
        <w:trPr>
          <w:cantSplit w:val="0"/>
          <w:tblHeader w:val="0"/>
        </w:trPr>
        <w:tc>
          <w:tcPr>
            <w:tcBorders>
              <w:top w:color="000000" w:space="0" w:sz="0" w:val="nil"/>
              <w:left w:color="000000" w:space="0" w:sz="0" w:val="nil"/>
              <w:bottom w:color="000000" w:space="0" w:sz="7" w:val="single"/>
              <w:right w:color="000000" w:space="0" w:sz="0" w:val="nil"/>
            </w:tcBorders>
            <w:tcMar>
              <w:top w:w="-453.5433070866142" w:type="dxa"/>
              <w:left w:w="-453.5433070866142" w:type="dxa"/>
              <w:bottom w:w="-453.5433070866142" w:type="dxa"/>
              <w:right w:w="-453.5433070866142" w:type="dxa"/>
            </w:tcMar>
            <w:vAlign w:val="top"/>
          </w:tcPr>
          <w:p w:rsidR="00000000" w:rsidDel="00000000" w:rsidP="00000000" w:rsidRDefault="00000000" w:rsidRPr="00000000" w14:paraId="000000FA">
            <w:pPr>
              <w:shd w:fill="ffffff" w:val="clear"/>
              <w:tabs>
                <w:tab w:val="left" w:leader="none" w:pos="284"/>
              </w:tabs>
              <w:spacing w:before="240" w:line="391.30434782608694" w:lineRule="auto"/>
              <w:jc w:val="both"/>
              <w:rPr>
                <w:color w:val="0f1115"/>
                <w:sz w:val="20"/>
                <w:szCs w:val="20"/>
                <w:highlight w:val="white"/>
              </w:rPr>
            </w:pPr>
            <w:r w:rsidDel="00000000" w:rsidR="00000000" w:rsidRPr="00000000">
              <w:rPr>
                <w:color w:val="0f1115"/>
                <w:sz w:val="20"/>
                <w:szCs w:val="20"/>
                <w:highlight w:val="white"/>
                <w:rtl w:val="0"/>
              </w:rPr>
              <w:t xml:space="preserve">100-149 m²</w:t>
            </w:r>
          </w:p>
        </w:tc>
        <w:tc>
          <w:tcPr>
            <w:tcBorders>
              <w:top w:color="000000" w:space="0" w:sz="0" w:val="nil"/>
              <w:left w:color="000000" w:space="0" w:sz="0" w:val="nil"/>
              <w:bottom w:color="000000" w:space="0" w:sz="7" w:val="single"/>
              <w:right w:color="000000" w:space="0" w:sz="0" w:val="nil"/>
            </w:tcBorders>
            <w:tcMar>
              <w:top w:w="-453.5433070866142" w:type="dxa"/>
              <w:left w:w="-453.5433070866142" w:type="dxa"/>
              <w:bottom w:w="-453.5433070866142" w:type="dxa"/>
              <w:right w:w="-453.5433070866142" w:type="dxa"/>
            </w:tcMar>
            <w:vAlign w:val="top"/>
          </w:tcPr>
          <w:p w:rsidR="00000000" w:rsidDel="00000000" w:rsidP="00000000" w:rsidRDefault="00000000" w:rsidRPr="00000000" w14:paraId="000000FB">
            <w:pPr>
              <w:shd w:fill="ffffff" w:val="clear"/>
              <w:tabs>
                <w:tab w:val="left" w:leader="none" w:pos="284"/>
              </w:tabs>
              <w:spacing w:before="240" w:line="391.30434782608694" w:lineRule="auto"/>
              <w:ind w:firstLine="850.3937007874017"/>
              <w:jc w:val="both"/>
              <w:rPr>
                <w:color w:val="0f1115"/>
                <w:sz w:val="20"/>
                <w:szCs w:val="20"/>
                <w:highlight w:val="white"/>
              </w:rPr>
            </w:pPr>
            <w:r w:rsidDel="00000000" w:rsidR="00000000" w:rsidRPr="00000000">
              <w:rPr>
                <w:color w:val="0f1115"/>
                <w:sz w:val="20"/>
                <w:szCs w:val="20"/>
                <w:highlight w:val="white"/>
                <w:rtl w:val="0"/>
              </w:rPr>
              <w:t xml:space="preserve">35%</w:t>
            </w:r>
          </w:p>
        </w:tc>
        <w:tc>
          <w:tcPr>
            <w:tcBorders>
              <w:top w:color="000000" w:space="0" w:sz="0" w:val="nil"/>
              <w:left w:color="000000" w:space="0" w:sz="0" w:val="nil"/>
              <w:bottom w:color="000000" w:space="0" w:sz="7" w:val="single"/>
              <w:right w:color="000000" w:space="0" w:sz="0" w:val="nil"/>
            </w:tcBorders>
            <w:tcMar>
              <w:top w:w="-453.5433070866142" w:type="dxa"/>
              <w:left w:w="-453.5433070866142" w:type="dxa"/>
              <w:bottom w:w="-453.5433070866142" w:type="dxa"/>
              <w:right w:w="-453.5433070866142" w:type="dxa"/>
            </w:tcMar>
            <w:vAlign w:val="top"/>
          </w:tcPr>
          <w:p w:rsidR="00000000" w:rsidDel="00000000" w:rsidP="00000000" w:rsidRDefault="00000000" w:rsidRPr="00000000" w14:paraId="000000FC">
            <w:pPr>
              <w:shd w:fill="ffffff" w:val="clear"/>
              <w:tabs>
                <w:tab w:val="left" w:leader="none" w:pos="284"/>
              </w:tabs>
              <w:spacing w:before="240" w:line="391.30434782608694" w:lineRule="auto"/>
              <w:jc w:val="both"/>
              <w:rPr>
                <w:color w:val="0f1115"/>
                <w:sz w:val="20"/>
                <w:szCs w:val="20"/>
                <w:highlight w:val="white"/>
              </w:rPr>
            </w:pPr>
            <w:r w:rsidDel="00000000" w:rsidR="00000000" w:rsidRPr="00000000">
              <w:rPr>
                <w:color w:val="0f1115"/>
                <w:sz w:val="20"/>
                <w:szCs w:val="20"/>
                <w:highlight w:val="white"/>
                <w:rtl w:val="0"/>
              </w:rPr>
              <w:t xml:space="preserve">Médio/Familiar</w:t>
            </w:r>
          </w:p>
        </w:tc>
      </w:tr>
      <w:tr>
        <w:trPr>
          <w:cantSplit w:val="0"/>
          <w:trHeight w:val="193.02978515625" w:hRule="atLeast"/>
          <w:tblHeader w:val="0"/>
        </w:trPr>
        <w:tc>
          <w:tcPr>
            <w:tcBorders>
              <w:top w:color="000000" w:space="0" w:sz="0" w:val="nil"/>
              <w:left w:color="000000" w:space="0" w:sz="0" w:val="nil"/>
              <w:bottom w:color="000000" w:space="0" w:sz="7" w:val="single"/>
              <w:right w:color="000000" w:space="0" w:sz="0" w:val="nil"/>
            </w:tcBorders>
            <w:tcMar>
              <w:top w:w="-453.5433070866142" w:type="dxa"/>
              <w:left w:w="-453.5433070866142" w:type="dxa"/>
              <w:bottom w:w="-453.5433070866142" w:type="dxa"/>
              <w:right w:w="-453.5433070866142" w:type="dxa"/>
            </w:tcMar>
            <w:vAlign w:val="top"/>
          </w:tcPr>
          <w:p w:rsidR="00000000" w:rsidDel="00000000" w:rsidP="00000000" w:rsidRDefault="00000000" w:rsidRPr="00000000" w14:paraId="000000FD">
            <w:pPr>
              <w:shd w:fill="ffffff" w:val="clear"/>
              <w:tabs>
                <w:tab w:val="left" w:leader="none" w:pos="284"/>
              </w:tabs>
              <w:spacing w:before="240" w:line="391.30434782608694" w:lineRule="auto"/>
              <w:jc w:val="both"/>
              <w:rPr>
                <w:color w:val="0f1115"/>
                <w:sz w:val="20"/>
                <w:szCs w:val="20"/>
                <w:highlight w:val="white"/>
              </w:rPr>
            </w:pPr>
            <w:r w:rsidDel="00000000" w:rsidR="00000000" w:rsidRPr="00000000">
              <w:rPr>
                <w:color w:val="0f1115"/>
                <w:sz w:val="20"/>
                <w:szCs w:val="20"/>
                <w:highlight w:val="white"/>
                <w:rtl w:val="0"/>
              </w:rPr>
              <w:t xml:space="preserve">+150 m²</w:t>
            </w:r>
          </w:p>
        </w:tc>
        <w:tc>
          <w:tcPr>
            <w:tcBorders>
              <w:top w:color="000000" w:space="0" w:sz="0" w:val="nil"/>
              <w:left w:color="000000" w:space="0" w:sz="0" w:val="nil"/>
              <w:bottom w:color="000000" w:space="0" w:sz="7" w:val="single"/>
              <w:right w:color="000000" w:space="0" w:sz="0" w:val="nil"/>
            </w:tcBorders>
            <w:tcMar>
              <w:top w:w="-453.5433070866142" w:type="dxa"/>
              <w:left w:w="-453.5433070866142" w:type="dxa"/>
              <w:bottom w:w="-453.5433070866142" w:type="dxa"/>
              <w:right w:w="-453.5433070866142" w:type="dxa"/>
            </w:tcMar>
            <w:vAlign w:val="top"/>
          </w:tcPr>
          <w:p w:rsidR="00000000" w:rsidDel="00000000" w:rsidP="00000000" w:rsidRDefault="00000000" w:rsidRPr="00000000" w14:paraId="000000FE">
            <w:pPr>
              <w:shd w:fill="ffffff" w:val="clear"/>
              <w:tabs>
                <w:tab w:val="left" w:leader="none" w:pos="284"/>
              </w:tabs>
              <w:spacing w:before="240" w:line="391.30434782608694" w:lineRule="auto"/>
              <w:ind w:firstLine="850.3937007874017"/>
              <w:jc w:val="both"/>
              <w:rPr>
                <w:color w:val="0f1115"/>
                <w:sz w:val="20"/>
                <w:szCs w:val="20"/>
                <w:highlight w:val="white"/>
              </w:rPr>
            </w:pPr>
            <w:r w:rsidDel="00000000" w:rsidR="00000000" w:rsidRPr="00000000">
              <w:rPr>
                <w:color w:val="0f1115"/>
                <w:sz w:val="20"/>
                <w:szCs w:val="20"/>
                <w:highlight w:val="white"/>
                <w:rtl w:val="0"/>
              </w:rPr>
              <w:t xml:space="preserve">20%</w:t>
            </w:r>
          </w:p>
        </w:tc>
        <w:tc>
          <w:tcPr>
            <w:tcBorders>
              <w:top w:color="000000" w:space="0" w:sz="0" w:val="nil"/>
              <w:left w:color="000000" w:space="0" w:sz="0" w:val="nil"/>
              <w:bottom w:color="000000" w:space="0" w:sz="7" w:val="single"/>
              <w:right w:color="000000" w:space="0" w:sz="0" w:val="nil"/>
            </w:tcBorders>
            <w:tcMar>
              <w:top w:w="-453.5433070866142" w:type="dxa"/>
              <w:left w:w="-453.5433070866142" w:type="dxa"/>
              <w:bottom w:w="-453.5433070866142" w:type="dxa"/>
              <w:right w:w="-453.5433070866142" w:type="dxa"/>
            </w:tcMar>
            <w:vAlign w:val="top"/>
          </w:tcPr>
          <w:p w:rsidR="00000000" w:rsidDel="00000000" w:rsidP="00000000" w:rsidRDefault="00000000" w:rsidRPr="00000000" w14:paraId="000000FF">
            <w:pPr>
              <w:shd w:fill="ffffff" w:val="clear"/>
              <w:tabs>
                <w:tab w:val="left" w:leader="none" w:pos="284"/>
              </w:tabs>
              <w:spacing w:before="240" w:line="391.30434782608694" w:lineRule="auto"/>
              <w:jc w:val="both"/>
              <w:rPr>
                <w:color w:val="0f1115"/>
                <w:sz w:val="20"/>
                <w:szCs w:val="20"/>
                <w:highlight w:val="white"/>
              </w:rPr>
            </w:pPr>
            <w:r w:rsidDel="00000000" w:rsidR="00000000" w:rsidRPr="00000000">
              <w:rPr>
                <w:color w:val="0f1115"/>
                <w:sz w:val="20"/>
                <w:szCs w:val="20"/>
                <w:highlight w:val="white"/>
                <w:rtl w:val="0"/>
              </w:rPr>
              <w:t xml:space="preserve">Alto Padrão/Luxo</w:t>
            </w:r>
          </w:p>
        </w:tc>
      </w:tr>
    </w:tbl>
    <w:p w:rsidR="00000000" w:rsidDel="00000000" w:rsidP="00000000" w:rsidRDefault="00000000" w:rsidRPr="00000000" w14:paraId="00000100">
      <w:pPr>
        <w:jc w:val="center"/>
        <w:rPr>
          <w:sz w:val="20"/>
          <w:szCs w:val="20"/>
        </w:rPr>
      </w:pPr>
      <w:r w:rsidDel="00000000" w:rsidR="00000000" w:rsidRPr="00000000">
        <w:rPr>
          <w:sz w:val="20"/>
          <w:szCs w:val="20"/>
          <w:rtl w:val="0"/>
        </w:rPr>
        <w:t xml:space="preserve">Fonte: Habite-se. Secretária de Obras de Campos dos Goytacazes. Elaboração do autor</w:t>
      </w:r>
    </w:p>
    <w:p w:rsidR="00000000" w:rsidDel="00000000" w:rsidP="00000000" w:rsidRDefault="00000000" w:rsidRPr="00000000" w14:paraId="00000101">
      <w:pPr>
        <w:shd w:fill="ffffff" w:val="clear"/>
        <w:spacing w:before="240" w:line="360" w:lineRule="auto"/>
        <w:ind w:right="16.062992125985716"/>
        <w:jc w:val="both"/>
        <w:rPr>
          <w:color w:val="0f1115"/>
        </w:rPr>
      </w:pPr>
      <w:r w:rsidDel="00000000" w:rsidR="00000000" w:rsidRPr="00000000">
        <w:rPr>
          <w:color w:val="0f1115"/>
          <w:rtl w:val="0"/>
        </w:rPr>
        <w:br w:type="textWrapping"/>
        <w:t xml:space="preserve">4.6 SISTEMATIZAÇÃO DE DADOS</w:t>
      </w:r>
    </w:p>
    <w:p w:rsidR="00000000" w:rsidDel="00000000" w:rsidP="00000000" w:rsidRDefault="00000000" w:rsidRPr="00000000" w14:paraId="00000102">
      <w:pPr>
        <w:shd w:fill="ffffff" w:val="clear"/>
        <w:spacing w:after="360" w:before="240" w:line="360" w:lineRule="auto"/>
        <w:ind w:right="16.062992125985716" w:firstLine="850.3937007874017"/>
        <w:jc w:val="both"/>
        <w:rPr>
          <w:color w:val="0f1115"/>
        </w:rPr>
      </w:pPr>
      <w:r w:rsidDel="00000000" w:rsidR="00000000" w:rsidRPr="00000000">
        <w:rPr>
          <w:color w:val="0f1115"/>
          <w:rtl w:val="0"/>
        </w:rPr>
        <w:t xml:space="preserve">A sistematização em perfis A, B e C reflete a lógica de segmentação de mercado que rege a produção do espaço. Com base na análise dos "habite-se" emitidos, é possível identificar três perfis imobiliários distintos que refletem as estratégias dos agentes do mercado e a segmentação socioespacial em curso.</w:t>
      </w:r>
    </w:p>
    <w:p w:rsidR="00000000" w:rsidDel="00000000" w:rsidP="00000000" w:rsidRDefault="00000000" w:rsidRPr="00000000" w14:paraId="00000103">
      <w:pPr>
        <w:shd w:fill="ffffff" w:val="clear"/>
        <w:spacing w:line="360" w:lineRule="auto"/>
        <w:ind w:right="16.062992125985716" w:firstLine="850.3937007874017"/>
        <w:jc w:val="both"/>
        <w:rPr>
          <w:sz w:val="20"/>
          <w:szCs w:val="20"/>
        </w:rPr>
      </w:pPr>
      <w:r w:rsidDel="00000000" w:rsidR="00000000" w:rsidRPr="00000000">
        <w:rPr>
          <w:sz w:val="20"/>
          <w:szCs w:val="20"/>
          <w:rtl w:val="0"/>
        </w:rPr>
        <w:t xml:space="preserve">Quadro 2: Sistematização de dados obtidos no Habite-se.</w:t>
      </w:r>
    </w:p>
    <w:tbl>
      <w:tblPr>
        <w:tblStyle w:val="Table7"/>
        <w:tblW w:w="8505.0" w:type="dxa"/>
        <w:jc w:val="center"/>
        <w:tblLayout w:type="fixed"/>
        <w:tblLook w:val="0400"/>
      </w:tblPr>
      <w:tblGrid>
        <w:gridCol w:w="1215"/>
        <w:gridCol w:w="1410"/>
        <w:gridCol w:w="1665"/>
        <w:gridCol w:w="1755"/>
        <w:gridCol w:w="2460"/>
        <w:tblGridChange w:id="0">
          <w:tblGrid>
            <w:gridCol w:w="1215"/>
            <w:gridCol w:w="1410"/>
            <w:gridCol w:w="1665"/>
            <w:gridCol w:w="1755"/>
            <w:gridCol w:w="2460"/>
          </w:tblGrid>
        </w:tblGridChange>
      </w:tblGrid>
      <w:tr>
        <w:trPr>
          <w:cantSplit w:val="0"/>
          <w:trHeight w:val="431.0595703125" w:hRule="atLeast"/>
          <w:tblHeader w:val="0"/>
        </w:trPr>
        <w:tc>
          <w:tcPr>
            <w:tcBorders>
              <w:top w:color="000000" w:space="0" w:sz="12" w:val="single"/>
              <w:left w:color="000000" w:space="0" w:sz="0" w:val="nil"/>
              <w:bottom w:color="000000" w:space="0" w:sz="12" w:val="single"/>
              <w:right w:color="000000" w:space="0" w:sz="0" w:val="nil"/>
            </w:tcBorders>
            <w:shd w:fill="d9d9d9" w:val="clear"/>
            <w:vAlign w:val="center"/>
          </w:tcPr>
          <w:p w:rsidR="00000000" w:rsidDel="00000000" w:rsidP="00000000" w:rsidRDefault="00000000" w:rsidRPr="00000000" w14:paraId="00000104">
            <w:pPr>
              <w:jc w:val="center"/>
              <w:rPr>
                <w:b w:val="1"/>
                <w:sz w:val="20"/>
                <w:szCs w:val="20"/>
              </w:rPr>
            </w:pPr>
            <w:r w:rsidDel="00000000" w:rsidR="00000000" w:rsidRPr="00000000">
              <w:rPr>
                <w:b w:val="1"/>
                <w:sz w:val="20"/>
                <w:szCs w:val="20"/>
                <w:rtl w:val="0"/>
              </w:rPr>
              <w:t xml:space="preserve">Perfil</w:t>
            </w:r>
          </w:p>
        </w:tc>
        <w:tc>
          <w:tcPr>
            <w:tcBorders>
              <w:top w:color="000000" w:space="0" w:sz="12" w:val="single"/>
              <w:left w:color="000000" w:space="0" w:sz="0" w:val="nil"/>
              <w:bottom w:color="000000" w:space="0" w:sz="12" w:val="single"/>
              <w:right w:color="000000" w:space="0" w:sz="0" w:val="nil"/>
            </w:tcBorders>
            <w:shd w:fill="d9d9d9" w:val="clear"/>
            <w:vAlign w:val="center"/>
          </w:tcPr>
          <w:p w:rsidR="00000000" w:rsidDel="00000000" w:rsidP="00000000" w:rsidRDefault="00000000" w:rsidRPr="00000000" w14:paraId="00000105">
            <w:pPr>
              <w:jc w:val="center"/>
              <w:rPr>
                <w:b w:val="1"/>
                <w:sz w:val="20"/>
                <w:szCs w:val="20"/>
              </w:rPr>
            </w:pPr>
            <w:r w:rsidDel="00000000" w:rsidR="00000000" w:rsidRPr="00000000">
              <w:rPr>
                <w:b w:val="1"/>
                <w:sz w:val="20"/>
                <w:szCs w:val="20"/>
                <w:rtl w:val="0"/>
              </w:rPr>
              <w:t xml:space="preserve">Metragem</w:t>
            </w:r>
          </w:p>
        </w:tc>
        <w:tc>
          <w:tcPr>
            <w:tcBorders>
              <w:top w:color="000000" w:space="0" w:sz="12" w:val="single"/>
              <w:left w:color="000000" w:space="0" w:sz="0" w:val="nil"/>
              <w:bottom w:color="000000" w:space="0" w:sz="12" w:val="single"/>
              <w:right w:color="000000" w:space="0" w:sz="0" w:val="nil"/>
            </w:tcBorders>
            <w:shd w:fill="d9d9d9" w:val="clear"/>
            <w:vAlign w:val="center"/>
          </w:tcPr>
          <w:p w:rsidR="00000000" w:rsidDel="00000000" w:rsidP="00000000" w:rsidRDefault="00000000" w:rsidRPr="00000000" w14:paraId="00000106">
            <w:pPr>
              <w:jc w:val="center"/>
              <w:rPr>
                <w:b w:val="1"/>
                <w:color w:val="0f1115"/>
                <w:sz w:val="20"/>
                <w:szCs w:val="20"/>
              </w:rPr>
            </w:pPr>
            <w:r w:rsidDel="00000000" w:rsidR="00000000" w:rsidRPr="00000000">
              <w:rPr>
                <w:b w:val="1"/>
                <w:color w:val="0f1115"/>
                <w:sz w:val="20"/>
                <w:szCs w:val="20"/>
                <w:rtl w:val="0"/>
              </w:rPr>
              <w:t xml:space="preserve">Densidade</w:t>
            </w:r>
          </w:p>
        </w:tc>
        <w:tc>
          <w:tcPr>
            <w:tcBorders>
              <w:top w:color="000000" w:space="0" w:sz="12" w:val="single"/>
              <w:left w:color="000000" w:space="0" w:sz="0" w:val="nil"/>
              <w:bottom w:color="000000" w:space="0" w:sz="12" w:val="single"/>
              <w:right w:color="000000" w:space="0" w:sz="0" w:val="nil"/>
            </w:tcBorders>
            <w:shd w:fill="d9d9d9" w:val="clear"/>
            <w:vAlign w:val="center"/>
          </w:tcPr>
          <w:p w:rsidR="00000000" w:rsidDel="00000000" w:rsidP="00000000" w:rsidRDefault="00000000" w:rsidRPr="00000000" w14:paraId="00000107">
            <w:pPr>
              <w:jc w:val="center"/>
              <w:rPr>
                <w:b w:val="1"/>
                <w:color w:val="0f1115"/>
                <w:sz w:val="20"/>
                <w:szCs w:val="20"/>
              </w:rPr>
            </w:pPr>
            <w:r w:rsidDel="00000000" w:rsidR="00000000" w:rsidRPr="00000000">
              <w:rPr>
                <w:b w:val="1"/>
                <w:color w:val="0f1115"/>
                <w:sz w:val="20"/>
                <w:szCs w:val="20"/>
                <w:rtl w:val="0"/>
              </w:rPr>
              <w:t xml:space="preserve">Tipologia</w:t>
            </w:r>
          </w:p>
        </w:tc>
        <w:tc>
          <w:tcPr>
            <w:tcBorders>
              <w:top w:color="000000" w:space="0" w:sz="12" w:val="single"/>
              <w:left w:color="000000" w:space="0" w:sz="0" w:val="nil"/>
              <w:bottom w:color="000000" w:space="0" w:sz="12" w:val="single"/>
              <w:right w:color="000000" w:space="0" w:sz="0" w:val="nil"/>
            </w:tcBorders>
            <w:shd w:fill="d9d9d9" w:val="clear"/>
            <w:vAlign w:val="center"/>
          </w:tcPr>
          <w:p w:rsidR="00000000" w:rsidDel="00000000" w:rsidP="00000000" w:rsidRDefault="00000000" w:rsidRPr="00000000" w14:paraId="00000108">
            <w:pPr>
              <w:jc w:val="center"/>
              <w:rPr>
                <w:b w:val="1"/>
                <w:color w:val="0f1115"/>
                <w:sz w:val="20"/>
                <w:szCs w:val="20"/>
              </w:rPr>
            </w:pPr>
            <w:r w:rsidDel="00000000" w:rsidR="00000000" w:rsidRPr="00000000">
              <w:rPr>
                <w:b w:val="1"/>
                <w:color w:val="0f1115"/>
                <w:sz w:val="20"/>
                <w:szCs w:val="20"/>
                <w:rtl w:val="0"/>
              </w:rPr>
              <w:t xml:space="preserve">Público-alvo</w:t>
            </w:r>
          </w:p>
        </w:tc>
      </w:tr>
      <w:tr>
        <w:trPr>
          <w:cantSplit w:val="0"/>
          <w:tblHeader w:val="0"/>
        </w:trPr>
        <w:tc>
          <w:tcPr>
            <w:tcBorders>
              <w:top w:color="000000" w:space="0" w:sz="0" w:val="nil"/>
              <w:left w:color="000000" w:space="0" w:sz="0" w:val="nil"/>
              <w:bottom w:color="000000" w:space="0" w:sz="7" w:val="single"/>
              <w:right w:color="000000" w:space="0" w:sz="0" w:val="nil"/>
            </w:tcBorders>
            <w:tcMar>
              <w:top w:w="-226.7716535433071" w:type="dxa"/>
              <w:left w:w="-226.7716535433071" w:type="dxa"/>
              <w:bottom w:w="-226.7716535433071" w:type="dxa"/>
              <w:right w:w="-226.7716535433071" w:type="dxa"/>
            </w:tcMar>
            <w:vAlign w:val="top"/>
          </w:tcPr>
          <w:p w:rsidR="00000000" w:rsidDel="00000000" w:rsidP="00000000" w:rsidRDefault="00000000" w:rsidRPr="00000000" w14:paraId="00000109">
            <w:pPr>
              <w:shd w:fill="ffffff" w:val="clear"/>
              <w:tabs>
                <w:tab w:val="left" w:leader="none" w:pos="284"/>
              </w:tabs>
              <w:spacing w:before="240" w:lineRule="auto"/>
              <w:ind w:firstLine="850.3937007874017"/>
              <w:rPr>
                <w:color w:val="0f1115"/>
                <w:sz w:val="20"/>
                <w:szCs w:val="20"/>
                <w:highlight w:val="white"/>
              </w:rPr>
            </w:pPr>
            <w:r w:rsidDel="00000000" w:rsidR="00000000" w:rsidRPr="00000000">
              <w:rPr>
                <w:color w:val="0f1115"/>
                <w:sz w:val="20"/>
                <w:szCs w:val="20"/>
                <w:highlight w:val="white"/>
                <w:rtl w:val="0"/>
              </w:rPr>
              <w:t xml:space="preserve">C</w:t>
            </w:r>
          </w:p>
        </w:tc>
        <w:tc>
          <w:tcPr>
            <w:tcBorders>
              <w:top w:color="000000" w:space="0" w:sz="0" w:val="nil"/>
              <w:left w:color="000000" w:space="0" w:sz="0" w:val="nil"/>
              <w:bottom w:color="000000" w:space="0" w:sz="7" w:val="single"/>
              <w:right w:color="000000" w:space="0" w:sz="0" w:val="nil"/>
            </w:tcBorders>
            <w:tcMar>
              <w:top w:w="-226.7716535433071" w:type="dxa"/>
              <w:left w:w="-226.7716535433071" w:type="dxa"/>
              <w:bottom w:w="-226.7716535433071" w:type="dxa"/>
              <w:right w:w="-226.7716535433071" w:type="dxa"/>
            </w:tcMar>
            <w:vAlign w:val="top"/>
          </w:tcPr>
          <w:p w:rsidR="00000000" w:rsidDel="00000000" w:rsidP="00000000" w:rsidRDefault="00000000" w:rsidRPr="00000000" w14:paraId="0000010A">
            <w:pPr>
              <w:shd w:fill="ffffff" w:val="clear"/>
              <w:tabs>
                <w:tab w:val="left" w:leader="none" w:pos="284"/>
              </w:tabs>
              <w:spacing w:before="240" w:lineRule="auto"/>
              <w:jc w:val="both"/>
              <w:rPr>
                <w:color w:val="0f1115"/>
                <w:sz w:val="20"/>
                <w:szCs w:val="20"/>
                <w:highlight w:val="white"/>
              </w:rPr>
            </w:pPr>
            <w:r w:rsidDel="00000000" w:rsidR="00000000" w:rsidRPr="00000000">
              <w:rPr>
                <w:color w:val="0f1115"/>
                <w:sz w:val="20"/>
                <w:szCs w:val="20"/>
                <w:highlight w:val="white"/>
                <w:rtl w:val="0"/>
              </w:rPr>
              <w:t xml:space="preserve">50 m²</w:t>
            </w:r>
          </w:p>
        </w:tc>
        <w:tc>
          <w:tcPr>
            <w:tcBorders>
              <w:top w:color="000000" w:space="0" w:sz="0" w:val="nil"/>
              <w:left w:color="000000" w:space="0" w:sz="0" w:val="nil"/>
              <w:bottom w:color="000000" w:space="0" w:sz="7" w:val="single"/>
              <w:right w:color="000000" w:space="0" w:sz="0" w:val="nil"/>
            </w:tcBorders>
            <w:tcMar>
              <w:top w:w="-226.7716535433071" w:type="dxa"/>
              <w:left w:w="-226.7716535433071" w:type="dxa"/>
              <w:bottom w:w="-226.7716535433071" w:type="dxa"/>
              <w:right w:w="-226.7716535433071" w:type="dxa"/>
            </w:tcMar>
            <w:vAlign w:val="top"/>
          </w:tcPr>
          <w:p w:rsidR="00000000" w:rsidDel="00000000" w:rsidP="00000000" w:rsidRDefault="00000000" w:rsidRPr="00000000" w14:paraId="0000010B">
            <w:pPr>
              <w:shd w:fill="ffffff" w:val="clear"/>
              <w:tabs>
                <w:tab w:val="left" w:leader="none" w:pos="284"/>
              </w:tabs>
              <w:spacing w:before="240" w:lineRule="auto"/>
              <w:jc w:val="both"/>
              <w:rPr>
                <w:color w:val="0f1115"/>
                <w:sz w:val="20"/>
                <w:szCs w:val="20"/>
                <w:highlight w:val="white"/>
              </w:rPr>
            </w:pPr>
            <w:r w:rsidDel="00000000" w:rsidR="00000000" w:rsidRPr="00000000">
              <w:rPr>
                <w:color w:val="0f1115"/>
                <w:sz w:val="20"/>
                <w:szCs w:val="20"/>
                <w:highlight w:val="white"/>
                <w:rtl w:val="0"/>
              </w:rPr>
              <w:t xml:space="preserve">Alta</w:t>
            </w:r>
          </w:p>
        </w:tc>
        <w:tc>
          <w:tcPr>
            <w:tcBorders>
              <w:top w:color="000000" w:space="0" w:sz="0" w:val="nil"/>
              <w:left w:color="000000" w:space="0" w:sz="0" w:val="nil"/>
              <w:bottom w:color="000000" w:space="0" w:sz="7" w:val="single"/>
              <w:right w:color="000000" w:space="0" w:sz="0" w:val="nil"/>
            </w:tcBorders>
            <w:tcMar>
              <w:top w:w="-226.7716535433071" w:type="dxa"/>
              <w:left w:w="-226.7716535433071" w:type="dxa"/>
              <w:bottom w:w="-226.7716535433071" w:type="dxa"/>
              <w:right w:w="-226.7716535433071" w:type="dxa"/>
            </w:tcMar>
            <w:vAlign w:val="top"/>
          </w:tcPr>
          <w:p w:rsidR="00000000" w:rsidDel="00000000" w:rsidP="00000000" w:rsidRDefault="00000000" w:rsidRPr="00000000" w14:paraId="0000010C">
            <w:pPr>
              <w:shd w:fill="ffffff" w:val="clear"/>
              <w:tabs>
                <w:tab w:val="left" w:leader="none" w:pos="284"/>
              </w:tabs>
              <w:spacing w:before="240" w:lineRule="auto"/>
              <w:jc w:val="both"/>
              <w:rPr>
                <w:color w:val="0f1115"/>
                <w:sz w:val="20"/>
                <w:szCs w:val="20"/>
                <w:highlight w:val="white"/>
              </w:rPr>
            </w:pPr>
            <w:r w:rsidDel="00000000" w:rsidR="00000000" w:rsidRPr="00000000">
              <w:rPr>
                <w:color w:val="0f1115"/>
                <w:sz w:val="20"/>
                <w:szCs w:val="20"/>
                <w:highlight w:val="white"/>
                <w:rtl w:val="0"/>
              </w:rPr>
              <w:t xml:space="preserve">MT/MST/CM</w:t>
            </w:r>
          </w:p>
        </w:tc>
        <w:tc>
          <w:tcPr>
            <w:tcBorders>
              <w:top w:color="000000" w:space="0" w:sz="0" w:val="nil"/>
              <w:left w:color="000000" w:space="0" w:sz="0" w:val="nil"/>
              <w:bottom w:color="000000" w:space="0" w:sz="7" w:val="single"/>
              <w:right w:color="000000" w:space="0" w:sz="0" w:val="nil"/>
            </w:tcBorders>
            <w:tcMar>
              <w:top w:w="-226.7716535433071" w:type="dxa"/>
              <w:left w:w="-226.7716535433071" w:type="dxa"/>
              <w:bottom w:w="-226.7716535433071" w:type="dxa"/>
              <w:right w:w="-226.7716535433071" w:type="dxa"/>
            </w:tcMar>
            <w:vAlign w:val="top"/>
          </w:tcPr>
          <w:p w:rsidR="00000000" w:rsidDel="00000000" w:rsidP="00000000" w:rsidRDefault="00000000" w:rsidRPr="00000000" w14:paraId="0000010D">
            <w:pPr>
              <w:shd w:fill="ffffff" w:val="clear"/>
              <w:tabs>
                <w:tab w:val="left" w:leader="none" w:pos="284"/>
              </w:tabs>
              <w:spacing w:before="240" w:lineRule="auto"/>
              <w:jc w:val="both"/>
              <w:rPr>
                <w:color w:val="0f1115"/>
                <w:sz w:val="20"/>
                <w:szCs w:val="20"/>
                <w:highlight w:val="white"/>
              </w:rPr>
            </w:pPr>
            <w:r w:rsidDel="00000000" w:rsidR="00000000" w:rsidRPr="00000000">
              <w:rPr>
                <w:color w:val="0f1115"/>
                <w:sz w:val="20"/>
                <w:szCs w:val="20"/>
                <w:highlight w:val="white"/>
                <w:rtl w:val="0"/>
              </w:rPr>
              <w:t xml:space="preserve">Investidores/Universitários</w:t>
            </w:r>
          </w:p>
        </w:tc>
      </w:tr>
      <w:tr>
        <w:trPr>
          <w:cantSplit w:val="0"/>
          <w:tblHeader w:val="0"/>
        </w:trPr>
        <w:tc>
          <w:tcPr>
            <w:tcBorders>
              <w:top w:color="000000" w:space="0" w:sz="0" w:val="nil"/>
              <w:left w:color="000000" w:space="0" w:sz="0" w:val="nil"/>
              <w:bottom w:color="000000" w:space="0" w:sz="7" w:val="single"/>
              <w:right w:color="000000" w:space="0" w:sz="0" w:val="nil"/>
            </w:tcBorders>
            <w:tcMar>
              <w:top w:w="-226.7716535433071" w:type="dxa"/>
              <w:left w:w="-226.7716535433071" w:type="dxa"/>
              <w:bottom w:w="-226.7716535433071" w:type="dxa"/>
              <w:right w:w="-226.7716535433071" w:type="dxa"/>
            </w:tcMar>
            <w:vAlign w:val="top"/>
          </w:tcPr>
          <w:p w:rsidR="00000000" w:rsidDel="00000000" w:rsidP="00000000" w:rsidRDefault="00000000" w:rsidRPr="00000000" w14:paraId="0000010E">
            <w:pPr>
              <w:shd w:fill="ffffff" w:val="clear"/>
              <w:tabs>
                <w:tab w:val="left" w:leader="none" w:pos="284"/>
              </w:tabs>
              <w:spacing w:before="240" w:lineRule="auto"/>
              <w:ind w:firstLine="850.3937007874017"/>
              <w:rPr>
                <w:color w:val="0f1115"/>
                <w:sz w:val="20"/>
                <w:szCs w:val="20"/>
                <w:highlight w:val="white"/>
              </w:rPr>
            </w:pPr>
            <w:r w:rsidDel="00000000" w:rsidR="00000000" w:rsidRPr="00000000">
              <w:rPr>
                <w:color w:val="0f1115"/>
                <w:sz w:val="20"/>
                <w:szCs w:val="20"/>
                <w:highlight w:val="white"/>
                <w:rtl w:val="0"/>
              </w:rPr>
              <w:t xml:space="preserve">B</w:t>
            </w:r>
          </w:p>
        </w:tc>
        <w:tc>
          <w:tcPr>
            <w:tcBorders>
              <w:top w:color="000000" w:space="0" w:sz="0" w:val="nil"/>
              <w:left w:color="000000" w:space="0" w:sz="0" w:val="nil"/>
              <w:bottom w:color="000000" w:space="0" w:sz="7" w:val="single"/>
              <w:right w:color="000000" w:space="0" w:sz="0" w:val="nil"/>
            </w:tcBorders>
            <w:tcMar>
              <w:top w:w="-226.7716535433071" w:type="dxa"/>
              <w:left w:w="-226.7716535433071" w:type="dxa"/>
              <w:bottom w:w="-226.7716535433071" w:type="dxa"/>
              <w:right w:w="-226.7716535433071" w:type="dxa"/>
            </w:tcMar>
            <w:vAlign w:val="top"/>
          </w:tcPr>
          <w:p w:rsidR="00000000" w:rsidDel="00000000" w:rsidP="00000000" w:rsidRDefault="00000000" w:rsidRPr="00000000" w14:paraId="0000010F">
            <w:pPr>
              <w:shd w:fill="ffffff" w:val="clear"/>
              <w:tabs>
                <w:tab w:val="left" w:leader="none" w:pos="284"/>
              </w:tabs>
              <w:spacing w:before="240" w:lineRule="auto"/>
              <w:jc w:val="both"/>
              <w:rPr>
                <w:color w:val="0f1115"/>
                <w:sz w:val="20"/>
                <w:szCs w:val="20"/>
                <w:highlight w:val="white"/>
              </w:rPr>
            </w:pPr>
            <w:r w:rsidDel="00000000" w:rsidR="00000000" w:rsidRPr="00000000">
              <w:rPr>
                <w:color w:val="0f1115"/>
                <w:sz w:val="20"/>
                <w:szCs w:val="20"/>
                <w:highlight w:val="white"/>
                <w:rtl w:val="0"/>
              </w:rPr>
              <w:t xml:space="preserve">100 m²</w:t>
            </w:r>
          </w:p>
        </w:tc>
        <w:tc>
          <w:tcPr>
            <w:tcBorders>
              <w:top w:color="000000" w:space="0" w:sz="0" w:val="nil"/>
              <w:left w:color="000000" w:space="0" w:sz="0" w:val="nil"/>
              <w:bottom w:color="000000" w:space="0" w:sz="7" w:val="single"/>
              <w:right w:color="000000" w:space="0" w:sz="0" w:val="nil"/>
            </w:tcBorders>
            <w:tcMar>
              <w:top w:w="-226.7716535433071" w:type="dxa"/>
              <w:left w:w="-226.7716535433071" w:type="dxa"/>
              <w:bottom w:w="-226.7716535433071" w:type="dxa"/>
              <w:right w:w="-226.7716535433071" w:type="dxa"/>
            </w:tcMar>
            <w:vAlign w:val="top"/>
          </w:tcPr>
          <w:p w:rsidR="00000000" w:rsidDel="00000000" w:rsidP="00000000" w:rsidRDefault="00000000" w:rsidRPr="00000000" w14:paraId="00000110">
            <w:pPr>
              <w:shd w:fill="ffffff" w:val="clear"/>
              <w:tabs>
                <w:tab w:val="left" w:leader="none" w:pos="284"/>
              </w:tabs>
              <w:spacing w:before="240" w:lineRule="auto"/>
              <w:jc w:val="both"/>
              <w:rPr>
                <w:color w:val="0f1115"/>
                <w:sz w:val="20"/>
                <w:szCs w:val="20"/>
                <w:highlight w:val="white"/>
              </w:rPr>
            </w:pPr>
            <w:r w:rsidDel="00000000" w:rsidR="00000000" w:rsidRPr="00000000">
              <w:rPr>
                <w:color w:val="0f1115"/>
                <w:sz w:val="20"/>
                <w:szCs w:val="20"/>
                <w:highlight w:val="white"/>
                <w:rtl w:val="0"/>
              </w:rPr>
              <w:t xml:space="preserve">Média</w:t>
            </w:r>
          </w:p>
        </w:tc>
        <w:tc>
          <w:tcPr>
            <w:tcBorders>
              <w:top w:color="000000" w:space="0" w:sz="0" w:val="nil"/>
              <w:left w:color="000000" w:space="0" w:sz="0" w:val="nil"/>
              <w:bottom w:color="000000" w:space="0" w:sz="7" w:val="single"/>
              <w:right w:color="000000" w:space="0" w:sz="0" w:val="nil"/>
            </w:tcBorders>
            <w:tcMar>
              <w:top w:w="-226.7716535433071" w:type="dxa"/>
              <w:left w:w="-226.7716535433071" w:type="dxa"/>
              <w:bottom w:w="-226.7716535433071" w:type="dxa"/>
              <w:right w:w="-226.7716535433071" w:type="dxa"/>
            </w:tcMar>
            <w:vAlign w:val="top"/>
          </w:tcPr>
          <w:p w:rsidR="00000000" w:rsidDel="00000000" w:rsidP="00000000" w:rsidRDefault="00000000" w:rsidRPr="00000000" w14:paraId="00000111">
            <w:pPr>
              <w:shd w:fill="ffffff" w:val="clear"/>
              <w:tabs>
                <w:tab w:val="left" w:leader="none" w:pos="284"/>
              </w:tabs>
              <w:spacing w:before="240" w:lineRule="auto"/>
              <w:jc w:val="both"/>
              <w:rPr>
                <w:color w:val="0f1115"/>
                <w:sz w:val="20"/>
                <w:szCs w:val="20"/>
                <w:highlight w:val="white"/>
              </w:rPr>
            </w:pPr>
            <w:r w:rsidDel="00000000" w:rsidR="00000000" w:rsidRPr="00000000">
              <w:rPr>
                <w:color w:val="0f1115"/>
                <w:sz w:val="20"/>
                <w:szCs w:val="20"/>
                <w:highlight w:val="white"/>
                <w:rtl w:val="0"/>
              </w:rPr>
              <w:t xml:space="preserve">MT/MST</w:t>
            </w:r>
          </w:p>
        </w:tc>
        <w:tc>
          <w:tcPr>
            <w:tcBorders>
              <w:top w:color="000000" w:space="0" w:sz="0" w:val="nil"/>
              <w:left w:color="000000" w:space="0" w:sz="0" w:val="nil"/>
              <w:bottom w:color="000000" w:space="0" w:sz="7" w:val="single"/>
              <w:right w:color="000000" w:space="0" w:sz="0" w:val="nil"/>
            </w:tcBorders>
            <w:tcMar>
              <w:top w:w="-226.7716535433071" w:type="dxa"/>
              <w:left w:w="-226.7716535433071" w:type="dxa"/>
              <w:bottom w:w="-226.7716535433071" w:type="dxa"/>
              <w:right w:w="-226.7716535433071" w:type="dxa"/>
            </w:tcMar>
            <w:vAlign w:val="top"/>
          </w:tcPr>
          <w:p w:rsidR="00000000" w:rsidDel="00000000" w:rsidP="00000000" w:rsidRDefault="00000000" w:rsidRPr="00000000" w14:paraId="00000112">
            <w:pPr>
              <w:shd w:fill="ffffff" w:val="clear"/>
              <w:tabs>
                <w:tab w:val="left" w:leader="none" w:pos="284"/>
              </w:tabs>
              <w:spacing w:before="240" w:lineRule="auto"/>
              <w:jc w:val="both"/>
              <w:rPr>
                <w:color w:val="0f1115"/>
                <w:sz w:val="20"/>
                <w:szCs w:val="20"/>
                <w:highlight w:val="white"/>
              </w:rPr>
            </w:pPr>
            <w:r w:rsidDel="00000000" w:rsidR="00000000" w:rsidRPr="00000000">
              <w:rPr>
                <w:color w:val="0f1115"/>
                <w:sz w:val="20"/>
                <w:szCs w:val="20"/>
                <w:highlight w:val="white"/>
                <w:rtl w:val="0"/>
              </w:rPr>
              <w:t xml:space="preserve">Famílias/Jovens Casais</w:t>
            </w:r>
          </w:p>
        </w:tc>
      </w:tr>
      <w:tr>
        <w:trPr>
          <w:cantSplit w:val="0"/>
          <w:trHeight w:val="193.02978515625" w:hRule="atLeast"/>
          <w:tblHeader w:val="0"/>
        </w:trPr>
        <w:tc>
          <w:tcPr>
            <w:tcBorders>
              <w:top w:color="000000" w:space="0" w:sz="0" w:val="nil"/>
              <w:left w:color="000000" w:space="0" w:sz="0" w:val="nil"/>
              <w:bottom w:color="000000" w:space="0" w:sz="7" w:val="single"/>
              <w:right w:color="000000" w:space="0" w:sz="0" w:val="nil"/>
            </w:tcBorders>
            <w:tcMar>
              <w:top w:w="-226.7716535433071" w:type="dxa"/>
              <w:left w:w="-226.7716535433071" w:type="dxa"/>
              <w:bottom w:w="-226.7716535433071" w:type="dxa"/>
              <w:right w:w="-226.7716535433071" w:type="dxa"/>
            </w:tcMar>
            <w:vAlign w:val="top"/>
          </w:tcPr>
          <w:p w:rsidR="00000000" w:rsidDel="00000000" w:rsidP="00000000" w:rsidRDefault="00000000" w:rsidRPr="00000000" w14:paraId="00000113">
            <w:pPr>
              <w:shd w:fill="ffffff" w:val="clear"/>
              <w:tabs>
                <w:tab w:val="left" w:leader="none" w:pos="284"/>
              </w:tabs>
              <w:spacing w:before="240" w:lineRule="auto"/>
              <w:ind w:firstLine="850.3937007874017"/>
              <w:rPr>
                <w:color w:val="0f1115"/>
                <w:sz w:val="20"/>
                <w:szCs w:val="20"/>
                <w:highlight w:val="white"/>
              </w:rPr>
            </w:pPr>
            <w:r w:rsidDel="00000000" w:rsidR="00000000" w:rsidRPr="00000000">
              <w:rPr>
                <w:color w:val="0f1115"/>
                <w:sz w:val="20"/>
                <w:szCs w:val="20"/>
                <w:highlight w:val="white"/>
                <w:rtl w:val="0"/>
              </w:rPr>
              <w:t xml:space="preserve">A</w:t>
            </w:r>
          </w:p>
        </w:tc>
        <w:tc>
          <w:tcPr>
            <w:tcBorders>
              <w:top w:color="000000" w:space="0" w:sz="0" w:val="nil"/>
              <w:left w:color="000000" w:space="0" w:sz="0" w:val="nil"/>
              <w:bottom w:color="000000" w:space="0" w:sz="7" w:val="single"/>
              <w:right w:color="000000" w:space="0" w:sz="0" w:val="nil"/>
            </w:tcBorders>
            <w:tcMar>
              <w:top w:w="-226.7716535433071" w:type="dxa"/>
              <w:left w:w="-226.7716535433071" w:type="dxa"/>
              <w:bottom w:w="-226.7716535433071" w:type="dxa"/>
              <w:right w:w="-226.7716535433071" w:type="dxa"/>
            </w:tcMar>
            <w:vAlign w:val="top"/>
          </w:tcPr>
          <w:p w:rsidR="00000000" w:rsidDel="00000000" w:rsidP="00000000" w:rsidRDefault="00000000" w:rsidRPr="00000000" w14:paraId="00000114">
            <w:pPr>
              <w:shd w:fill="ffffff" w:val="clear"/>
              <w:tabs>
                <w:tab w:val="left" w:leader="none" w:pos="284"/>
              </w:tabs>
              <w:spacing w:before="240" w:lineRule="auto"/>
              <w:jc w:val="both"/>
              <w:rPr>
                <w:color w:val="0f1115"/>
                <w:sz w:val="20"/>
                <w:szCs w:val="20"/>
                <w:highlight w:val="white"/>
              </w:rPr>
            </w:pPr>
            <w:r w:rsidDel="00000000" w:rsidR="00000000" w:rsidRPr="00000000">
              <w:rPr>
                <w:color w:val="0f1115"/>
                <w:sz w:val="20"/>
                <w:szCs w:val="20"/>
                <w:highlight w:val="white"/>
                <w:rtl w:val="0"/>
              </w:rPr>
              <w:t xml:space="preserve">150 m²</w:t>
            </w:r>
          </w:p>
        </w:tc>
        <w:tc>
          <w:tcPr>
            <w:tcBorders>
              <w:top w:color="000000" w:space="0" w:sz="0" w:val="nil"/>
              <w:left w:color="000000" w:space="0" w:sz="0" w:val="nil"/>
              <w:bottom w:color="000000" w:space="0" w:sz="7" w:val="single"/>
              <w:right w:color="000000" w:space="0" w:sz="0" w:val="nil"/>
            </w:tcBorders>
            <w:tcMar>
              <w:top w:w="-226.7716535433071" w:type="dxa"/>
              <w:left w:w="-226.7716535433071" w:type="dxa"/>
              <w:bottom w:w="-226.7716535433071" w:type="dxa"/>
              <w:right w:w="-226.7716535433071" w:type="dxa"/>
            </w:tcMar>
            <w:vAlign w:val="top"/>
          </w:tcPr>
          <w:p w:rsidR="00000000" w:rsidDel="00000000" w:rsidP="00000000" w:rsidRDefault="00000000" w:rsidRPr="00000000" w14:paraId="00000115">
            <w:pPr>
              <w:shd w:fill="ffffff" w:val="clear"/>
              <w:tabs>
                <w:tab w:val="left" w:leader="none" w:pos="284"/>
              </w:tabs>
              <w:spacing w:before="240" w:lineRule="auto"/>
              <w:jc w:val="both"/>
              <w:rPr>
                <w:color w:val="0f1115"/>
                <w:sz w:val="20"/>
                <w:szCs w:val="20"/>
                <w:highlight w:val="white"/>
              </w:rPr>
            </w:pPr>
            <w:r w:rsidDel="00000000" w:rsidR="00000000" w:rsidRPr="00000000">
              <w:rPr>
                <w:color w:val="0f1115"/>
                <w:sz w:val="20"/>
                <w:szCs w:val="20"/>
                <w:highlight w:val="white"/>
                <w:rtl w:val="0"/>
              </w:rPr>
              <w:t xml:space="preserve">Baixa</w:t>
            </w:r>
          </w:p>
        </w:tc>
        <w:tc>
          <w:tcPr>
            <w:tcBorders>
              <w:top w:color="000000" w:space="0" w:sz="0" w:val="nil"/>
              <w:left w:color="000000" w:space="0" w:sz="0" w:val="nil"/>
              <w:bottom w:color="000000" w:space="0" w:sz="7" w:val="single"/>
              <w:right w:color="000000" w:space="0" w:sz="0" w:val="nil"/>
            </w:tcBorders>
            <w:tcMar>
              <w:top w:w="-226.7716535433071" w:type="dxa"/>
              <w:left w:w="-226.7716535433071" w:type="dxa"/>
              <w:bottom w:w="-226.7716535433071" w:type="dxa"/>
              <w:right w:w="-226.7716535433071" w:type="dxa"/>
            </w:tcMar>
            <w:vAlign w:val="top"/>
          </w:tcPr>
          <w:p w:rsidR="00000000" w:rsidDel="00000000" w:rsidP="00000000" w:rsidRDefault="00000000" w:rsidRPr="00000000" w14:paraId="00000116">
            <w:pPr>
              <w:shd w:fill="ffffff" w:val="clear"/>
              <w:tabs>
                <w:tab w:val="left" w:leader="none" w:pos="284"/>
              </w:tabs>
              <w:spacing w:before="240" w:lineRule="auto"/>
              <w:jc w:val="both"/>
              <w:rPr>
                <w:color w:val="0f1115"/>
                <w:sz w:val="20"/>
                <w:szCs w:val="20"/>
                <w:highlight w:val="white"/>
              </w:rPr>
            </w:pPr>
            <w:r w:rsidDel="00000000" w:rsidR="00000000" w:rsidRPr="00000000">
              <w:rPr>
                <w:color w:val="0f1115"/>
                <w:sz w:val="20"/>
                <w:szCs w:val="20"/>
                <w:highlight w:val="white"/>
                <w:rtl w:val="0"/>
              </w:rPr>
              <w:t xml:space="preserve">MT</w:t>
            </w:r>
          </w:p>
        </w:tc>
        <w:tc>
          <w:tcPr>
            <w:tcBorders>
              <w:top w:color="000000" w:space="0" w:sz="0" w:val="nil"/>
              <w:left w:color="000000" w:space="0" w:sz="0" w:val="nil"/>
              <w:bottom w:color="000000" w:space="0" w:sz="7" w:val="single"/>
              <w:right w:color="000000" w:space="0" w:sz="0" w:val="nil"/>
            </w:tcBorders>
            <w:tcMar>
              <w:top w:w="-226.7716535433071" w:type="dxa"/>
              <w:left w:w="-226.7716535433071" w:type="dxa"/>
              <w:bottom w:w="-226.7716535433071" w:type="dxa"/>
              <w:right w:w="-226.7716535433071" w:type="dxa"/>
            </w:tcMar>
            <w:vAlign w:val="top"/>
          </w:tcPr>
          <w:p w:rsidR="00000000" w:rsidDel="00000000" w:rsidP="00000000" w:rsidRDefault="00000000" w:rsidRPr="00000000" w14:paraId="00000117">
            <w:pPr>
              <w:shd w:fill="ffffff" w:val="clear"/>
              <w:tabs>
                <w:tab w:val="left" w:leader="none" w:pos="284"/>
              </w:tabs>
              <w:spacing w:before="240" w:lineRule="auto"/>
              <w:jc w:val="both"/>
              <w:rPr>
                <w:color w:val="0f1115"/>
                <w:sz w:val="20"/>
                <w:szCs w:val="20"/>
                <w:highlight w:val="white"/>
              </w:rPr>
            </w:pPr>
            <w:r w:rsidDel="00000000" w:rsidR="00000000" w:rsidRPr="00000000">
              <w:rPr>
                <w:color w:val="0f1115"/>
                <w:sz w:val="20"/>
                <w:szCs w:val="20"/>
                <w:highlight w:val="white"/>
                <w:rtl w:val="0"/>
              </w:rPr>
              <w:t xml:space="preserve">Alta Renda/Executivos</w:t>
            </w:r>
          </w:p>
        </w:tc>
      </w:tr>
    </w:tbl>
    <w:p w:rsidR="00000000" w:rsidDel="00000000" w:rsidP="00000000" w:rsidRDefault="00000000" w:rsidRPr="00000000" w14:paraId="00000118">
      <w:pPr>
        <w:jc w:val="center"/>
        <w:rPr>
          <w:color w:val="0f1115"/>
          <w:sz w:val="20"/>
          <w:szCs w:val="20"/>
        </w:rPr>
      </w:pPr>
      <w:r w:rsidDel="00000000" w:rsidR="00000000" w:rsidRPr="00000000">
        <w:rPr>
          <w:sz w:val="20"/>
          <w:szCs w:val="20"/>
          <w:rtl w:val="0"/>
        </w:rPr>
        <w:t xml:space="preserve">Fonte: Habite-se. Secretária de Obras de Campos dos Goytacazes. Elaboração do autor</w:t>
      </w:r>
      <w:r w:rsidDel="00000000" w:rsidR="00000000" w:rsidRPr="00000000">
        <w:rPr>
          <w:rtl w:val="0"/>
        </w:rPr>
      </w:r>
    </w:p>
    <w:p w:rsidR="00000000" w:rsidDel="00000000" w:rsidP="00000000" w:rsidRDefault="00000000" w:rsidRPr="00000000" w14:paraId="00000119">
      <w:pPr>
        <w:spacing w:line="276" w:lineRule="auto"/>
        <w:ind w:firstLine="851"/>
        <w:rPr>
          <w:sz w:val="22"/>
          <w:szCs w:val="22"/>
        </w:rPr>
      </w:pPr>
      <w:r w:rsidDel="00000000" w:rsidR="00000000" w:rsidRPr="00000000">
        <w:rPr>
          <w:rtl w:val="0"/>
        </w:rPr>
      </w:r>
    </w:p>
    <w:p w:rsidR="00000000" w:rsidDel="00000000" w:rsidP="00000000" w:rsidRDefault="00000000" w:rsidRPr="00000000" w14:paraId="0000011A">
      <w:pPr>
        <w:shd w:fill="ffffff" w:val="clear"/>
        <w:spacing w:before="240" w:line="360" w:lineRule="auto"/>
        <w:ind w:right="16.062992125985716" w:firstLine="850.3937007874017"/>
        <w:jc w:val="both"/>
        <w:rPr>
          <w:color w:val="0f1115"/>
        </w:rPr>
      </w:pPr>
      <w:r w:rsidDel="00000000" w:rsidR="00000000" w:rsidRPr="00000000">
        <w:rPr>
          <w:color w:val="0f1115"/>
          <w:rtl w:val="0"/>
        </w:rPr>
        <w:t xml:space="preserve">Cada perfil representa uma estratégia comercial distinta, demonstrando como as construtoras moldam a paisagem urbana para atender a diferentes estratos de poder aquisitivo e objetivos, adaptando-se às condições do solo e à localização. </w:t>
      </w:r>
    </w:p>
    <w:p w:rsidR="00000000" w:rsidDel="00000000" w:rsidP="00000000" w:rsidRDefault="00000000" w:rsidRPr="00000000" w14:paraId="0000011B">
      <w:pPr>
        <w:shd w:fill="ffffff" w:val="clear"/>
        <w:spacing w:before="0" w:line="360" w:lineRule="auto"/>
        <w:ind w:right="16.062992125985716" w:firstLine="850.3937007874017"/>
        <w:jc w:val="both"/>
        <w:rPr>
          <w:color w:val="0f1115"/>
        </w:rPr>
      </w:pPr>
      <w:r w:rsidDel="00000000" w:rsidR="00000000" w:rsidRPr="00000000">
        <w:rPr>
          <w:color w:val="0f1115"/>
          <w:rtl w:val="0"/>
        </w:rPr>
        <w:t xml:space="preserve">O Perfil C caracteriza-se por alta densidade e tipologias diversificadas (residenciais, comerciais e mistas), com plantas compactas voltadas para a praticidade. Seu público inclui famílias com rotinas intensas, jovens casais e investidores, atraídos pela acessibilidade, localização em vias principais e proximidade a equipamentos urbanos. Os empreendimentos oferecem áreas de lazer equiparadas a padrões superiores, voltados tanto como moradia quanto como investimento patrimonial.</w:t>
      </w:r>
    </w:p>
    <w:p w:rsidR="00000000" w:rsidDel="00000000" w:rsidP="00000000" w:rsidRDefault="00000000" w:rsidRPr="00000000" w14:paraId="0000011C">
      <w:pPr>
        <w:shd w:fill="ffffff" w:val="clear"/>
        <w:spacing w:line="360" w:lineRule="auto"/>
        <w:jc w:val="center"/>
        <w:rPr/>
      </w:pPr>
      <w:r w:rsidDel="00000000" w:rsidR="00000000" w:rsidRPr="00000000">
        <w:rPr>
          <w:rtl w:val="0"/>
        </w:rPr>
      </w:r>
    </w:p>
    <w:p w:rsidR="00000000" w:rsidDel="00000000" w:rsidP="00000000" w:rsidRDefault="00000000" w:rsidRPr="00000000" w14:paraId="0000011D">
      <w:pPr>
        <w:shd w:fill="ffffff" w:val="clear"/>
        <w:spacing w:line="360" w:lineRule="auto"/>
        <w:jc w:val="center"/>
        <w:rPr/>
      </w:pPr>
      <w:r w:rsidDel="00000000" w:rsidR="00000000" w:rsidRPr="00000000">
        <w:rPr>
          <w:rtl w:val="0"/>
        </w:rPr>
        <w:t xml:space="preserve">Figura 2 - Edifício Varandas do Tamandaré</w:t>
      </w:r>
    </w:p>
    <w:p w:rsidR="00000000" w:rsidDel="00000000" w:rsidP="00000000" w:rsidRDefault="00000000" w:rsidRPr="00000000" w14:paraId="0000011E">
      <w:pPr>
        <w:spacing w:line="360" w:lineRule="auto"/>
        <w:jc w:val="center"/>
        <w:rPr/>
      </w:pPr>
      <w:r w:rsidDel="00000000" w:rsidR="00000000" w:rsidRPr="00000000">
        <w:rPr/>
        <w:drawing>
          <wp:inline distB="114300" distT="114300" distL="114300" distR="114300">
            <wp:extent cx="2384588" cy="2568017"/>
            <wp:effectExtent b="0" l="0" r="0" t="0"/>
            <wp:docPr id="7"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384588" cy="2568017"/>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line="360" w:lineRule="auto"/>
        <w:jc w:val="center"/>
        <w:rPr>
          <w:color w:val="0f1115"/>
        </w:rPr>
      </w:pPr>
      <w:r w:rsidDel="00000000" w:rsidR="00000000" w:rsidRPr="00000000">
        <w:rPr>
          <w:sz w:val="20"/>
          <w:szCs w:val="20"/>
          <w:rtl w:val="0"/>
        </w:rPr>
        <w:t xml:space="preserve">Fonte: Elaboração do Autor </w:t>
      </w:r>
      <w:r w:rsidDel="00000000" w:rsidR="00000000" w:rsidRPr="00000000">
        <w:rPr>
          <w:rtl w:val="0"/>
        </w:rPr>
      </w:r>
    </w:p>
    <w:p w:rsidR="00000000" w:rsidDel="00000000" w:rsidP="00000000" w:rsidRDefault="00000000" w:rsidRPr="00000000" w14:paraId="00000120">
      <w:pPr>
        <w:shd w:fill="ffffff" w:val="clear"/>
        <w:spacing w:line="360" w:lineRule="auto"/>
        <w:ind w:firstLine="850.3937007874017"/>
        <w:jc w:val="both"/>
        <w:rPr>
          <w:color w:val="0f1115"/>
        </w:rPr>
      </w:pPr>
      <w:r w:rsidDel="00000000" w:rsidR="00000000" w:rsidRPr="00000000">
        <w:rPr>
          <w:rtl w:val="0"/>
        </w:rPr>
      </w:r>
    </w:p>
    <w:p w:rsidR="00000000" w:rsidDel="00000000" w:rsidP="00000000" w:rsidRDefault="00000000" w:rsidRPr="00000000" w14:paraId="00000121">
      <w:pPr>
        <w:shd w:fill="ffffff" w:val="clear"/>
        <w:spacing w:line="360" w:lineRule="auto"/>
        <w:ind w:firstLine="850.3937007874017"/>
        <w:jc w:val="both"/>
        <w:rPr>
          <w:color w:val="0f1115"/>
        </w:rPr>
      </w:pPr>
      <w:r w:rsidDel="00000000" w:rsidR="00000000" w:rsidRPr="00000000">
        <w:rPr>
          <w:color w:val="0f1115"/>
          <w:rtl w:val="0"/>
        </w:rPr>
        <w:t xml:space="preserve">O Perfil B apresenta densidade média (3 a 4 unidades/andar) e maior exclusividade, com predominância residencial e alguns usos mistos restritos ao térreo. As plantas são heterogêneas e compactas, direcionadas a famílias modernas, e as áreas de lazer são mais amplas. Localizam-se em vias acessíveis, porém em trechos menos movimentados, equilibrando conectividade e tranquilidade. </w:t>
      </w:r>
    </w:p>
    <w:p w:rsidR="00000000" w:rsidDel="00000000" w:rsidP="00000000" w:rsidRDefault="00000000" w:rsidRPr="00000000" w14:paraId="00000122">
      <w:pPr>
        <w:shd w:fill="ffffff" w:val="clear"/>
        <w:spacing w:line="360" w:lineRule="auto"/>
        <w:jc w:val="center"/>
        <w:rPr>
          <w:sz w:val="20"/>
          <w:szCs w:val="20"/>
        </w:rPr>
      </w:pPr>
      <w:r w:rsidDel="00000000" w:rsidR="00000000" w:rsidRPr="00000000">
        <w:rPr>
          <w:rtl w:val="0"/>
        </w:rPr>
      </w:r>
    </w:p>
    <w:p w:rsidR="00000000" w:rsidDel="00000000" w:rsidP="00000000" w:rsidRDefault="00000000" w:rsidRPr="00000000" w14:paraId="00000123">
      <w:pPr>
        <w:shd w:fill="ffffff" w:val="clear"/>
        <w:spacing w:line="360" w:lineRule="auto"/>
        <w:jc w:val="center"/>
        <w:rPr>
          <w:sz w:val="20"/>
          <w:szCs w:val="20"/>
        </w:rPr>
      </w:pPr>
      <w:r w:rsidDel="00000000" w:rsidR="00000000" w:rsidRPr="00000000">
        <w:rPr>
          <w:sz w:val="20"/>
          <w:szCs w:val="20"/>
          <w:rtl w:val="0"/>
        </w:rPr>
        <w:t xml:space="preserve">Figura 3 - Edifício Absoluto</w:t>
      </w:r>
    </w:p>
    <w:p w:rsidR="00000000" w:rsidDel="00000000" w:rsidP="00000000" w:rsidRDefault="00000000" w:rsidRPr="00000000" w14:paraId="00000124">
      <w:pPr>
        <w:spacing w:line="360" w:lineRule="auto"/>
        <w:jc w:val="center"/>
        <w:rPr/>
      </w:pPr>
      <w:r w:rsidDel="00000000" w:rsidR="00000000" w:rsidRPr="00000000">
        <w:rPr/>
        <w:drawing>
          <wp:inline distB="114300" distT="114300" distL="114300" distR="114300">
            <wp:extent cx="2313150" cy="2043419"/>
            <wp:effectExtent b="0" l="0" r="0" t="0"/>
            <wp:docPr id="2"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313150" cy="2043419"/>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spacing w:line="360" w:lineRule="auto"/>
        <w:jc w:val="center"/>
        <w:rPr>
          <w:sz w:val="20"/>
          <w:szCs w:val="20"/>
        </w:rPr>
      </w:pPr>
      <w:r w:rsidDel="00000000" w:rsidR="00000000" w:rsidRPr="00000000">
        <w:rPr>
          <w:sz w:val="20"/>
          <w:szCs w:val="20"/>
          <w:rtl w:val="0"/>
        </w:rPr>
        <w:t xml:space="preserve">Fonte: Elaboração do Autor</w:t>
      </w:r>
    </w:p>
    <w:p w:rsidR="00000000" w:rsidDel="00000000" w:rsidP="00000000" w:rsidRDefault="00000000" w:rsidRPr="00000000" w14:paraId="00000126">
      <w:pPr>
        <w:shd w:fill="ffffff" w:val="clear"/>
        <w:spacing w:line="360" w:lineRule="auto"/>
        <w:ind w:firstLine="850.3937007874017"/>
        <w:jc w:val="both"/>
        <w:rPr>
          <w:color w:val="0f1115"/>
        </w:rPr>
      </w:pPr>
      <w:r w:rsidDel="00000000" w:rsidR="00000000" w:rsidRPr="00000000">
        <w:rPr>
          <w:rtl w:val="0"/>
        </w:rPr>
      </w:r>
    </w:p>
    <w:p w:rsidR="00000000" w:rsidDel="00000000" w:rsidP="00000000" w:rsidRDefault="00000000" w:rsidRPr="00000000" w14:paraId="00000127">
      <w:pPr>
        <w:shd w:fill="ffffff" w:val="clear"/>
        <w:spacing w:line="360" w:lineRule="auto"/>
        <w:ind w:firstLine="850.3937007874017"/>
        <w:jc w:val="both"/>
        <w:rPr>
          <w:color w:val="0f1115"/>
        </w:rPr>
      </w:pPr>
      <w:r w:rsidDel="00000000" w:rsidR="00000000" w:rsidRPr="00000000">
        <w:rPr>
          <w:color w:val="0f1115"/>
          <w:rtl w:val="0"/>
        </w:rPr>
        <w:t xml:space="preserve">O Perfil A destina-se a um público de alto poder aquisitivo, com acabamento sofisticado, alta privacidade e infraestrutura luxuosa. A exclusividade é reforçada pela ausência de unidades comerciais e pela localização em vias secundárias, ainda que próximas a eixos principais. A arquitetura contemporânea e os sistemas de segurança diferenciados complementam a proposta de valor.</w:t>
        <w:br w:type="textWrapping"/>
      </w:r>
    </w:p>
    <w:p w:rsidR="00000000" w:rsidDel="00000000" w:rsidP="00000000" w:rsidRDefault="00000000" w:rsidRPr="00000000" w14:paraId="00000128">
      <w:pPr>
        <w:spacing w:line="360" w:lineRule="auto"/>
        <w:jc w:val="center"/>
        <w:rPr>
          <w:sz w:val="20"/>
          <w:szCs w:val="20"/>
        </w:rPr>
      </w:pPr>
      <w:r w:rsidDel="00000000" w:rsidR="00000000" w:rsidRPr="00000000">
        <w:rPr>
          <w:sz w:val="20"/>
          <w:szCs w:val="20"/>
          <w:rtl w:val="0"/>
        </w:rPr>
        <w:t xml:space="preserve">Figura 4 - Edifício Lumiere</w:t>
      </w:r>
    </w:p>
    <w:p w:rsidR="00000000" w:rsidDel="00000000" w:rsidP="00000000" w:rsidRDefault="00000000" w:rsidRPr="00000000" w14:paraId="00000129">
      <w:pPr>
        <w:spacing w:line="360" w:lineRule="auto"/>
        <w:jc w:val="center"/>
        <w:rPr/>
      </w:pPr>
      <w:r w:rsidDel="00000000" w:rsidR="00000000" w:rsidRPr="00000000">
        <w:rPr/>
        <w:drawing>
          <wp:inline distB="114300" distT="114300" distL="114300" distR="114300">
            <wp:extent cx="2522700" cy="2338317"/>
            <wp:effectExtent b="0" l="0" r="0" t="0"/>
            <wp:docPr id="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522700" cy="233831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2A">
      <w:pPr>
        <w:spacing w:line="360" w:lineRule="auto"/>
        <w:jc w:val="center"/>
        <w:rPr>
          <w:sz w:val="20"/>
          <w:szCs w:val="20"/>
        </w:rPr>
      </w:pPr>
      <w:r w:rsidDel="00000000" w:rsidR="00000000" w:rsidRPr="00000000">
        <w:rPr>
          <w:sz w:val="20"/>
          <w:szCs w:val="20"/>
          <w:rtl w:val="0"/>
        </w:rPr>
        <w:t xml:space="preserve">Fonte: Elaboração do Autor</w:t>
      </w:r>
    </w:p>
    <w:p w:rsidR="00000000" w:rsidDel="00000000" w:rsidP="00000000" w:rsidRDefault="00000000" w:rsidRPr="00000000" w14:paraId="0000012B">
      <w:pPr>
        <w:shd w:fill="ffffff" w:val="clear"/>
        <w:spacing w:line="360" w:lineRule="auto"/>
        <w:ind w:firstLine="850.3937007874017"/>
        <w:jc w:val="both"/>
        <w:rPr>
          <w:color w:val="0f1115"/>
        </w:rPr>
      </w:pPr>
      <w:r w:rsidDel="00000000" w:rsidR="00000000" w:rsidRPr="00000000">
        <w:rPr>
          <w:rtl w:val="0"/>
        </w:rPr>
      </w:r>
    </w:p>
    <w:p w:rsidR="00000000" w:rsidDel="00000000" w:rsidP="00000000" w:rsidRDefault="00000000" w:rsidRPr="00000000" w14:paraId="0000012C">
      <w:pPr>
        <w:shd w:fill="ffffff" w:val="clear"/>
        <w:spacing w:line="360" w:lineRule="auto"/>
        <w:ind w:firstLine="850.3937007874017"/>
        <w:jc w:val="both"/>
        <w:rPr/>
      </w:pPr>
      <w:r w:rsidDel="00000000" w:rsidR="00000000" w:rsidRPr="00000000">
        <w:rPr>
          <w:color w:val="0f1115"/>
          <w:rtl w:val="0"/>
        </w:rPr>
        <w:t xml:space="preserve">Há ainda casos híbridos, como o Edifício Vivant, que transita entre os perfis B e C, evidenciando a flexibilidade nas tipologias ofertadas. </w:t>
        <w:br w:type="textWrapping"/>
      </w:r>
      <w:r w:rsidDel="00000000" w:rsidR="00000000" w:rsidRPr="00000000">
        <w:rPr>
          <w:rtl w:val="0"/>
        </w:rPr>
      </w:r>
    </w:p>
    <w:p w:rsidR="00000000" w:rsidDel="00000000" w:rsidP="00000000" w:rsidRDefault="00000000" w:rsidRPr="00000000" w14:paraId="0000012D">
      <w:pPr>
        <w:spacing w:line="360" w:lineRule="auto"/>
        <w:jc w:val="center"/>
        <w:rPr>
          <w:sz w:val="20"/>
          <w:szCs w:val="20"/>
        </w:rPr>
      </w:pPr>
      <w:r w:rsidDel="00000000" w:rsidR="00000000" w:rsidRPr="00000000">
        <w:rPr>
          <w:sz w:val="20"/>
          <w:szCs w:val="20"/>
          <w:rtl w:val="0"/>
        </w:rPr>
        <w:t xml:space="preserve">Figura 5 - Edifício Vivant</w:t>
      </w:r>
    </w:p>
    <w:p w:rsidR="00000000" w:rsidDel="00000000" w:rsidP="00000000" w:rsidRDefault="00000000" w:rsidRPr="00000000" w14:paraId="0000012E">
      <w:pPr>
        <w:spacing w:line="360" w:lineRule="auto"/>
        <w:jc w:val="center"/>
        <w:rPr/>
      </w:pPr>
      <w:r w:rsidDel="00000000" w:rsidR="00000000" w:rsidRPr="00000000">
        <w:rPr/>
        <w:drawing>
          <wp:inline distB="114300" distT="114300" distL="114300" distR="114300">
            <wp:extent cx="2184563" cy="2426365"/>
            <wp:effectExtent b="0" l="0" r="0" t="0"/>
            <wp:docPr id="5"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2184563" cy="2426365"/>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line="360" w:lineRule="auto"/>
        <w:jc w:val="center"/>
        <w:rPr>
          <w:color w:val="0f1115"/>
        </w:rPr>
      </w:pPr>
      <w:r w:rsidDel="00000000" w:rsidR="00000000" w:rsidRPr="00000000">
        <w:rPr>
          <w:sz w:val="20"/>
          <w:szCs w:val="20"/>
          <w:rtl w:val="0"/>
        </w:rPr>
        <w:t xml:space="preserve">Fonte: Elaboração do Autor</w:t>
      </w:r>
      <w:r w:rsidDel="00000000" w:rsidR="00000000" w:rsidRPr="00000000">
        <w:rPr>
          <w:rtl w:val="0"/>
        </w:rPr>
      </w:r>
    </w:p>
    <w:p w:rsidR="00000000" w:rsidDel="00000000" w:rsidP="00000000" w:rsidRDefault="00000000" w:rsidRPr="00000000" w14:paraId="00000130">
      <w:pPr>
        <w:shd w:fill="ffffff" w:val="clear"/>
        <w:spacing w:line="360" w:lineRule="auto"/>
        <w:ind w:firstLine="850.3937007874017"/>
        <w:jc w:val="both"/>
        <w:rPr>
          <w:color w:val="0f1115"/>
        </w:rPr>
      </w:pPr>
      <w:r w:rsidDel="00000000" w:rsidR="00000000" w:rsidRPr="00000000">
        <w:rPr>
          <w:rtl w:val="0"/>
        </w:rPr>
      </w:r>
    </w:p>
    <w:p w:rsidR="00000000" w:rsidDel="00000000" w:rsidP="00000000" w:rsidRDefault="00000000" w:rsidRPr="00000000" w14:paraId="00000131">
      <w:pPr>
        <w:shd w:fill="ffffff" w:val="clear"/>
        <w:spacing w:line="360" w:lineRule="auto"/>
        <w:ind w:firstLine="850.3937007874017"/>
        <w:jc w:val="both"/>
        <w:rPr>
          <w:color w:val="0f1115"/>
        </w:rPr>
      </w:pPr>
      <w:r w:rsidDel="00000000" w:rsidR="00000000" w:rsidRPr="00000000">
        <w:rPr>
          <w:color w:val="0f1115"/>
          <w:rtl w:val="0"/>
        </w:rPr>
        <w:t xml:space="preserve">A interpretação dos dados, que culminou na categorização dos perfis imobiliários (A, B e C), transcende a mera descrição tipológica. Essa segmentação revela-se como a materialização de relações sociais desiguais e da lógica capitalista de valorização do território. Sob essa perspectiva, os três perfis identificados não representam opções neutras de moradia, mas sim mercadorias espaciais distintamente produzidas para classes sociais específicas. O Perfil C, com sua alta densidade e plantas compactas, constitui a resposta mercadológica à demanda das classes média e média-baixa por localização e acesso, ainda que à custa da redução do espaço privativo, mas também configura investimento imobiliário. Em posição diametralmente oposta, o Perfil A consolida-se como uma mercadoria de luxo, um produto de ostentação e segregação para uma elite econômica, no qual a exclusividade e a baixa densidade funcionam como signos de distinção social. O Perfil B, por sua vez, ocupa um espaço intermediário, atendendo a uma fração da classe média que aspira a certa distinção em relação ao padrão anterior, evidenciando como a paisagem urbana verticalizada espelha a hierarquia social vigente.</w:t>
      </w:r>
    </w:p>
    <w:p w:rsidR="00000000" w:rsidDel="00000000" w:rsidP="00000000" w:rsidRDefault="00000000" w:rsidRPr="00000000" w14:paraId="00000132">
      <w:pPr>
        <w:shd w:fill="ffffff" w:val="clear"/>
        <w:spacing w:line="360" w:lineRule="auto"/>
        <w:ind w:firstLine="850.3937007874017"/>
        <w:jc w:val="both"/>
        <w:rPr>
          <w:color w:val="0f1115"/>
        </w:rPr>
      </w:pPr>
      <w:r w:rsidDel="00000000" w:rsidR="00000000" w:rsidRPr="00000000">
        <w:rPr>
          <w:color w:val="0f1115"/>
          <w:rtl w:val="0"/>
        </w:rPr>
        <w:t xml:space="preserve">A localização estratégica de cada perfil obedece intrinsecamente à lógica de maximização da renda fundiária. Enquanto os perfis B e C buscam vias de grande acessibilidade para valorizar seu atributo principal - a localização. O Perfil A instala-se em vias secundárias, porém próximas à infraestrutura consolidada, produzindo uma nova modalidade de segregação. Esta não se dá necessariamente pela distância geográfica, mas pela criação de enclaves de alto padrão que, mesmo inseridos no tecido urbano, se fecham simbólica e fisicamente mediante acabamentos sofisticados, aparatos de segurança e a promessa de privacidade. Ademais, a atuação concertada de agentes imobiliários evidencia seu papel central na conformação desse cenário. Estes agentes não se limitam a responder a demandas preexistentes; eles as criam e as moldam ativamente, oferecendo produtos que cristalizam a segmentação socioespacial. Casos híbridos, como o Edifício Vivant, demonstram a flexibilidade estratégica desses atores em explorar nichos de mercado, revelando como o espaço é continuamente requalificado para extrair novo valor e atender a imperativos de acumulação.</w:t>
      </w:r>
    </w:p>
    <w:p w:rsidR="00000000" w:rsidDel="00000000" w:rsidP="00000000" w:rsidRDefault="00000000" w:rsidRPr="00000000" w14:paraId="00000133">
      <w:pPr>
        <w:spacing w:line="360" w:lineRule="auto"/>
        <w:ind w:firstLine="850.3937007874017"/>
        <w:jc w:val="both"/>
        <w:rPr/>
      </w:pPr>
      <w:r w:rsidDel="00000000" w:rsidR="00000000" w:rsidRPr="00000000">
        <w:rPr>
          <w:rtl w:val="0"/>
        </w:rPr>
        <w:t xml:space="preserve">Em todos os perfis se observa a presença de um discurso intrínseco que permeia diversos aspectos dos edifícios. Sobre isso Milton Santos (2006) afirma:</w:t>
      </w:r>
    </w:p>
    <w:p w:rsidR="00000000" w:rsidDel="00000000" w:rsidP="00000000" w:rsidRDefault="00000000" w:rsidRPr="00000000" w14:paraId="00000134">
      <w:pPr>
        <w:spacing w:line="276" w:lineRule="auto"/>
        <w:rPr/>
      </w:pPr>
      <w:r w:rsidDel="00000000" w:rsidR="00000000" w:rsidRPr="00000000">
        <w:rPr>
          <w:rtl w:val="0"/>
        </w:rPr>
      </w:r>
    </w:p>
    <w:p w:rsidR="00000000" w:rsidDel="00000000" w:rsidP="00000000" w:rsidRDefault="00000000" w:rsidRPr="00000000" w14:paraId="00000135">
      <w:pPr>
        <w:ind w:left="2267.71653543307" w:firstLine="0"/>
        <w:jc w:val="both"/>
        <w:rPr>
          <w:sz w:val="20"/>
          <w:szCs w:val="20"/>
        </w:rPr>
      </w:pPr>
      <w:r w:rsidDel="00000000" w:rsidR="00000000" w:rsidRPr="00000000">
        <w:rPr>
          <w:sz w:val="20"/>
          <w:szCs w:val="20"/>
          <w:rtl w:val="0"/>
        </w:rPr>
        <w:t xml:space="preserve">Os objetos têm um discurso que vem de sua estrutura e revela sua funcionalidade. É o discurso do uso, mas, também, o da sedução. E há o discurso das ações, do qual depende sua legitimação. Essa legitimação prévia tornou-se necessária para que a ação proposta seja mais docilmente aceita, e rnais ativa se torne na vida social. (Santos, 2006, p. 150 - 151)</w:t>
      </w:r>
    </w:p>
    <w:p w:rsidR="00000000" w:rsidDel="00000000" w:rsidP="00000000" w:rsidRDefault="00000000" w:rsidRPr="00000000" w14:paraId="00000136">
      <w:pPr>
        <w:jc w:val="both"/>
        <w:rPr>
          <w:sz w:val="20"/>
          <w:szCs w:val="20"/>
        </w:rPr>
      </w:pPr>
      <w:r w:rsidDel="00000000" w:rsidR="00000000" w:rsidRPr="00000000">
        <w:rPr>
          <w:rtl w:val="0"/>
        </w:rPr>
      </w:r>
    </w:p>
    <w:p w:rsidR="00000000" w:rsidDel="00000000" w:rsidP="00000000" w:rsidRDefault="00000000" w:rsidRPr="00000000" w14:paraId="00000137">
      <w:pPr>
        <w:jc w:val="both"/>
        <w:rPr>
          <w:sz w:val="20"/>
          <w:szCs w:val="20"/>
        </w:rPr>
      </w:pPr>
      <w:r w:rsidDel="00000000" w:rsidR="00000000" w:rsidRPr="00000000">
        <w:rPr>
          <w:rtl w:val="0"/>
        </w:rPr>
      </w:r>
    </w:p>
    <w:p w:rsidR="00000000" w:rsidDel="00000000" w:rsidP="00000000" w:rsidRDefault="00000000" w:rsidRPr="00000000" w14:paraId="00000138">
      <w:pPr>
        <w:spacing w:line="360" w:lineRule="auto"/>
        <w:ind w:firstLine="850.3937007874017"/>
        <w:jc w:val="both"/>
        <w:rPr/>
      </w:pPr>
      <w:r w:rsidDel="00000000" w:rsidR="00000000" w:rsidRPr="00000000">
        <w:rPr>
          <w:rtl w:val="0"/>
        </w:rPr>
        <w:t xml:space="preserve">Assim, todo objeto é precedido por um discurso. Os nomes que em grandes casos fazem alusão a palavras estrangeiras como </w:t>
      </w:r>
      <w:r w:rsidDel="00000000" w:rsidR="00000000" w:rsidRPr="00000000">
        <w:rPr>
          <w:i w:val="1"/>
          <w:rtl w:val="0"/>
        </w:rPr>
        <w:t xml:space="preserve">“lumiere”, “vivant” “excalibur”, “diamond tower” </w:t>
      </w:r>
      <w:r w:rsidDel="00000000" w:rsidR="00000000" w:rsidRPr="00000000">
        <w:rPr>
          <w:rtl w:val="0"/>
        </w:rPr>
        <w:t xml:space="preserve">e</w:t>
      </w:r>
      <w:r w:rsidDel="00000000" w:rsidR="00000000" w:rsidRPr="00000000">
        <w:rPr>
          <w:i w:val="1"/>
          <w:rtl w:val="0"/>
        </w:rPr>
        <w:t xml:space="preserve"> “luxor”</w:t>
      </w:r>
      <w:r w:rsidDel="00000000" w:rsidR="00000000" w:rsidRPr="00000000">
        <w:rPr>
          <w:rtl w:val="0"/>
        </w:rPr>
        <w:t xml:space="preserve"> remetem ao luxo, poder e exclusividade. A publicidade que afirma exclusividade, lazer, segurança, conforto, acessibilidade que também são baseadas em um discurso que o condomínio pode oferecer tudo isso de forma exclusiva, te distanciando do convívio </w:t>
      </w:r>
      <w:r w:rsidDel="00000000" w:rsidR="00000000" w:rsidRPr="00000000">
        <w:rPr>
          <w:rtl w:val="0"/>
        </w:rPr>
        <w:t xml:space="preserve">púlbico</w:t>
      </w:r>
      <w:r w:rsidDel="00000000" w:rsidR="00000000" w:rsidRPr="00000000">
        <w:rPr>
          <w:rtl w:val="0"/>
        </w:rPr>
        <w:t xml:space="preserve">. Esses são discursos construídos em torno desses empreendimentos que sustentam necessidades abstratas de existência, mas que servem a fins de mercado pois vende-se um produto que mexe com o imaginário do comprador. </w:t>
      </w:r>
    </w:p>
    <w:p w:rsidR="00000000" w:rsidDel="00000000" w:rsidP="00000000" w:rsidRDefault="00000000" w:rsidRPr="00000000" w14:paraId="00000139">
      <w:pPr>
        <w:spacing w:line="360" w:lineRule="auto"/>
        <w:jc w:val="both"/>
        <w:rPr/>
      </w:pPr>
      <w:r w:rsidDel="00000000" w:rsidR="00000000" w:rsidRPr="00000000">
        <w:rPr>
          <w:rtl w:val="0"/>
        </w:rPr>
      </w:r>
    </w:p>
    <w:p w:rsidR="00000000" w:rsidDel="00000000" w:rsidP="00000000" w:rsidRDefault="00000000" w:rsidRPr="00000000" w14:paraId="0000013A">
      <w:pPr>
        <w:spacing w:line="276" w:lineRule="auto"/>
        <w:rPr>
          <w:rFonts w:ascii="Arial" w:cs="Arial" w:eastAsia="Arial" w:hAnsi="Arial"/>
          <w:b w:val="1"/>
        </w:rPr>
      </w:pPr>
      <w:r w:rsidDel="00000000" w:rsidR="00000000" w:rsidRPr="00000000">
        <w:rPr>
          <w:rFonts w:ascii="Arial" w:cs="Arial" w:eastAsia="Arial" w:hAnsi="Arial"/>
          <w:b w:val="1"/>
          <w:rtl w:val="0"/>
        </w:rPr>
        <w:t xml:space="preserve">5 CONSIDERAÇÕES FINAIS</w:t>
      </w:r>
    </w:p>
    <w:p w:rsidR="00000000" w:rsidDel="00000000" w:rsidP="00000000" w:rsidRDefault="00000000" w:rsidRPr="00000000" w14:paraId="0000013B">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3C">
      <w:pPr>
        <w:shd w:fill="ffffff" w:val="clear"/>
        <w:spacing w:line="360" w:lineRule="auto"/>
        <w:ind w:firstLine="850.3937007874017"/>
        <w:jc w:val="both"/>
        <w:rPr>
          <w:color w:val="0f1115"/>
        </w:rPr>
      </w:pPr>
      <w:r w:rsidDel="00000000" w:rsidR="00000000" w:rsidRPr="00000000">
        <w:rPr>
          <w:color w:val="0f1115"/>
          <w:rtl w:val="0"/>
        </w:rPr>
        <w:t xml:space="preserve">Esta pesquisa demonstrou que a paisagem verticalizada e segregada dos bairros Parque Avenida Pelinca e Parque Tamandaré em Campos dos Goytacazes é o resultado palpável da interação entre a lógica da financeirização e um regime institucional local específico. A aplicação do quadro teórico da Geografia Econômica Institucional permitiu ir além da identificação dos agentes e dos padrões espaciais, revelando como as instituições atuaram como mediadoras fundamentais nesse processo. Os objetivos específicos traçados foram integralmente alcançados, e as evidências empíricas coletadas confirmam a tríade analítica proposta por Ron Martin: as instituições habilitaram, constrangeram e refrataram a produção do espaço.</w:t>
      </w:r>
    </w:p>
    <w:p w:rsidR="00000000" w:rsidDel="00000000" w:rsidP="00000000" w:rsidRDefault="00000000" w:rsidRPr="00000000" w14:paraId="0000013D">
      <w:pPr>
        <w:shd w:fill="ffffff" w:val="clear"/>
        <w:spacing w:line="360" w:lineRule="auto"/>
        <w:ind w:firstLine="850.3937007874017"/>
        <w:jc w:val="both"/>
        <w:rPr>
          <w:color w:val="0f1115"/>
        </w:rPr>
      </w:pPr>
      <w:r w:rsidDel="00000000" w:rsidR="00000000" w:rsidRPr="00000000">
        <w:rPr>
          <w:color w:val="0f1115"/>
          <w:rtl w:val="0"/>
        </w:rPr>
        <w:t xml:space="preserve">Em relação ao primeiro objetivo específico, ficou evidente como o ambiente institucional atuou como um poderoso habilitador do </w:t>
      </w:r>
      <w:r w:rsidDel="00000000" w:rsidR="00000000" w:rsidRPr="00000000">
        <w:rPr>
          <w:i w:val="1"/>
          <w:color w:val="0f1115"/>
          <w:rtl w:val="0"/>
        </w:rPr>
        <w:t xml:space="preserve">boom</w:t>
      </w:r>
      <w:r w:rsidDel="00000000" w:rsidR="00000000" w:rsidRPr="00000000">
        <w:rPr>
          <w:color w:val="0f1115"/>
          <w:rtl w:val="0"/>
        </w:rPr>
        <w:t xml:space="preserve"> construtivo. O Plano Diretor Municipal, ao definir a Zona ZR-4, criou o enquadramento legal que sinalizou e direcionou os investimentos para aquela área. Paralelamente, a consolidação do Sistema Financeiro Imobiliário (SFI) em escala nacional forneceu o fluxo de crédito indispensável para viabilizar financeiramente os empreendimentos. A correlação temporal entre a vigência dessas instituições e o pico de emissão de "habite-se" entre 2010 e 2015 é a prova material desse papel habilitador. Sem este arcabouço institucional, o ciclo de verticalização dificilmente teria assumido a intensidade e a localização observadas.</w:t>
      </w:r>
    </w:p>
    <w:p w:rsidR="00000000" w:rsidDel="00000000" w:rsidP="00000000" w:rsidRDefault="00000000" w:rsidRPr="00000000" w14:paraId="0000013E">
      <w:pPr>
        <w:shd w:fill="ffffff" w:val="clear"/>
        <w:spacing w:line="360" w:lineRule="auto"/>
        <w:ind w:firstLine="850.3937007874017"/>
        <w:jc w:val="both"/>
        <w:rPr>
          <w:color w:val="0f1115"/>
        </w:rPr>
      </w:pPr>
      <w:r w:rsidDel="00000000" w:rsidR="00000000" w:rsidRPr="00000000">
        <w:rPr>
          <w:color w:val="0f1115"/>
          <w:rtl w:val="0"/>
        </w:rPr>
        <w:t xml:space="preserve">No que tange ao segundo objetivo, a análise revelou os mecanismos pelos quais as instituições constrangeram as estratégias dos agentes. O próprio Plano Diretor, ao mesmo tempo que habilitou, impôs limites físicos aos empreendimentos. Mais significativo, porém, foi o constrangimento exercido sobre as relações de trabalho. A drástica redução de vínculos formais (CLT) em paralelo à manutenção do número de empresas ativas evidencia uma adaptação estratégica das construtoras (arranjos institucionais) a um </w:t>
      </w:r>
      <w:r w:rsidDel="00000000" w:rsidR="00000000" w:rsidRPr="00000000">
        <w:rPr>
          <w:i w:val="1"/>
          <w:color w:val="0f1115"/>
          <w:rtl w:val="0"/>
        </w:rPr>
        <w:t xml:space="preserve">ambiente institucional</w:t>
      </w:r>
      <w:r w:rsidDel="00000000" w:rsidR="00000000" w:rsidRPr="00000000">
        <w:rPr>
          <w:color w:val="0f1115"/>
          <w:rtl w:val="0"/>
        </w:rPr>
        <w:t xml:space="preserve"> marcado pela flexibilização trabalhista (MEI). Este constrangimento levou à precarização como forma de manter a rentabilidade, mostrando como as regras do jogo moldam não apenas a forma física da cidade, mas também suas relações sociais de produção.</w:t>
      </w:r>
    </w:p>
    <w:p w:rsidR="00000000" w:rsidDel="00000000" w:rsidP="00000000" w:rsidRDefault="00000000" w:rsidRPr="00000000" w14:paraId="0000013F">
      <w:pPr>
        <w:shd w:fill="ffffff" w:val="clear"/>
        <w:spacing w:line="360" w:lineRule="auto"/>
        <w:ind w:firstLine="850.3937007874017"/>
        <w:jc w:val="both"/>
        <w:rPr>
          <w:color w:val="0f1115"/>
        </w:rPr>
      </w:pPr>
      <w:r w:rsidDel="00000000" w:rsidR="00000000" w:rsidRPr="00000000">
        <w:rPr>
          <w:color w:val="0f1115"/>
          <w:rtl w:val="0"/>
        </w:rPr>
        <w:t xml:space="preserve">Por fim, o terceiro objetivo foi cumprido ao se interpretar os padrões espaciais e morfológicos como evidência da refração institucional. A financeirização é uma força global porém sem forma, mas foram as instituições locais que lhe deram uma forma concreta e única em Campos. A segmentação socioespacial claramente observada – com a consolidação do Parque Avenida Pelinca como polo comercial e de serviços e do Parque Tamandaré como área residencial de alto padrão – e a emergência dos perfis imobiliários A, B e C são o produto final desta refração. Estes perfis materializam convenções de mercado localmente específicas sobre valor, prestígio e investimento, que foram internalizadas e operacionalizadas pelos arranjos institucionais (as construtoras). A dependência de trajetória fica clara aqui: a valorização histórica desses bairros, suas infraestruturas e seu </w:t>
      </w:r>
      <w:r w:rsidDel="00000000" w:rsidR="00000000" w:rsidRPr="00000000">
        <w:rPr>
          <w:i w:val="1"/>
          <w:color w:val="0f1115"/>
          <w:rtl w:val="0"/>
        </w:rPr>
        <w:t xml:space="preserve">status</w:t>
      </w:r>
      <w:r w:rsidDel="00000000" w:rsidR="00000000" w:rsidRPr="00000000">
        <w:rPr>
          <w:color w:val="0f1115"/>
          <w:rtl w:val="0"/>
        </w:rPr>
        <w:t xml:space="preserve"> social anterior funcionaram como um "carregador de história", atraindo e moldando os novos investimentos de forma a reproduzir e acentuar hierarquias espaciais preexistentes.</w:t>
      </w:r>
    </w:p>
    <w:p w:rsidR="00000000" w:rsidDel="00000000" w:rsidP="00000000" w:rsidRDefault="00000000" w:rsidRPr="00000000" w14:paraId="00000140">
      <w:pPr>
        <w:shd w:fill="ffffff" w:val="clear"/>
        <w:spacing w:line="360" w:lineRule="auto"/>
        <w:ind w:firstLine="850.3937007874017"/>
        <w:jc w:val="both"/>
        <w:rPr>
          <w:color w:val="0f1115"/>
        </w:rPr>
      </w:pPr>
      <w:r w:rsidDel="00000000" w:rsidR="00000000" w:rsidRPr="00000000">
        <w:rPr>
          <w:color w:val="0f1115"/>
          <w:rtl w:val="0"/>
        </w:rPr>
        <w:t xml:space="preserve">Em síntese, a principal conclusão deste estudo é que a verticalização financeirizada em Campos dos Goytacazes não foi um processo autônomo ou impessoal do mercado. Ela foi profundamente institucionalizada. O Estado, longe de ser um espectador, foi o arquiteto do </w:t>
      </w:r>
      <w:r w:rsidDel="00000000" w:rsidR="00000000" w:rsidRPr="00000000">
        <w:rPr>
          <w:i w:val="1"/>
          <w:color w:val="0f1115"/>
          <w:rtl w:val="0"/>
        </w:rPr>
        <w:t xml:space="preserve">ambiente institucional</w:t>
      </w:r>
      <w:r w:rsidDel="00000000" w:rsidR="00000000" w:rsidRPr="00000000">
        <w:rPr>
          <w:color w:val="0f1115"/>
          <w:rtl w:val="0"/>
        </w:rPr>
        <w:t xml:space="preserve"> que estruturou todo o processo. As construtoras, por sua vez, não foram meras executoras, mas agentes estratégicos que, enquanto </w:t>
      </w:r>
      <w:r w:rsidDel="00000000" w:rsidR="00000000" w:rsidRPr="00000000">
        <w:rPr>
          <w:i w:val="1"/>
          <w:color w:val="0f1115"/>
          <w:rtl w:val="0"/>
        </w:rPr>
        <w:t xml:space="preserve">arranjos institucionais</w:t>
      </w:r>
      <w:r w:rsidDel="00000000" w:rsidR="00000000" w:rsidRPr="00000000">
        <w:rPr>
          <w:color w:val="0f1115"/>
          <w:rtl w:val="0"/>
        </w:rPr>
        <w:t xml:space="preserve">, navegaram, adaptaram-se e se aproveitaram dessas regras, cristalizando no espaço a lógica da financeirização de uma maneira particular, que é a assinatura socioespacial de Campos. A tipologia (A, B, C) mostrou-se, portanto, mais que uma categorização; é a chave para decifrar como as instituições locais refrataram forças econômicas globais, produzindo uma cidade simultaneamente mais densa e mais desigual. Para políticas urbanas futuras, fica o alerta de que intervenções que não levem em conta este potente e estruturador papel das instituições estarão fadadas a reproduzir, invariavelmente, os mesmos padrões de segregação.</w:t>
      </w:r>
    </w:p>
    <w:p w:rsidR="00000000" w:rsidDel="00000000" w:rsidP="00000000" w:rsidRDefault="00000000" w:rsidRPr="00000000" w14:paraId="00000141">
      <w:pPr>
        <w:shd w:fill="ffffff" w:val="clear"/>
        <w:spacing w:line="360" w:lineRule="auto"/>
        <w:jc w:val="both"/>
        <w:rPr>
          <w:color w:val="0f1115"/>
          <w:highlight w:val="white"/>
        </w:rPr>
      </w:pPr>
      <w:r w:rsidDel="00000000" w:rsidR="00000000" w:rsidRPr="00000000">
        <w:rPr>
          <w:rtl w:val="0"/>
        </w:rPr>
      </w:r>
    </w:p>
    <w:p w:rsidR="00000000" w:rsidDel="00000000" w:rsidP="00000000" w:rsidRDefault="00000000" w:rsidRPr="00000000" w14:paraId="00000142">
      <w:pPr>
        <w:shd w:fill="ffffff" w:val="clear"/>
        <w:spacing w:line="360" w:lineRule="auto"/>
        <w:jc w:val="both"/>
        <w:rPr>
          <w:rFonts w:ascii="Roboto" w:cs="Roboto" w:eastAsia="Roboto" w:hAnsi="Roboto"/>
          <w:color w:val="0f1115"/>
        </w:rPr>
      </w:pPr>
      <w:r w:rsidDel="00000000" w:rsidR="00000000" w:rsidRPr="00000000">
        <w:rPr>
          <w:rFonts w:ascii="Roboto" w:cs="Roboto" w:eastAsia="Roboto" w:hAnsi="Roboto"/>
          <w:color w:val="0f1115"/>
          <w:rtl w:val="0"/>
        </w:rPr>
        <w:t xml:space="preserve">REFERÊNCIAS</w:t>
      </w:r>
    </w:p>
    <w:p w:rsidR="00000000" w:rsidDel="00000000" w:rsidP="00000000" w:rsidRDefault="00000000" w:rsidRPr="00000000" w14:paraId="00000143">
      <w:pPr>
        <w:jc w:val="both"/>
        <w:rPr/>
      </w:pPr>
      <w:r w:rsidDel="00000000" w:rsidR="00000000" w:rsidRPr="00000000">
        <w:rPr>
          <w:rtl w:val="0"/>
        </w:rPr>
        <w:t xml:space="preserve">AMORIM, Wagner Vinicius. Da dinâmica da acumulação capitalista à produção e à produção do espaço. In: AMORIM, W. V. A produção social do espaço urbano em Londrina - PR: a valorização imobiliária e a reestruturação urbana. Programa de Pós-Graduação em Geografia. Presidente Prudente/SP, 2011.</w:t>
      </w:r>
    </w:p>
    <w:p w:rsidR="00000000" w:rsidDel="00000000" w:rsidP="00000000" w:rsidRDefault="00000000" w:rsidRPr="00000000" w14:paraId="00000144">
      <w:pPr>
        <w:jc w:val="both"/>
        <w:rPr/>
      </w:pPr>
      <w:r w:rsidDel="00000000" w:rsidR="00000000" w:rsidRPr="00000000">
        <w:rPr>
          <w:rtl w:val="0"/>
        </w:rPr>
      </w:r>
    </w:p>
    <w:p w:rsidR="00000000" w:rsidDel="00000000" w:rsidP="00000000" w:rsidRDefault="00000000" w:rsidRPr="00000000" w14:paraId="00000145">
      <w:pPr>
        <w:jc w:val="both"/>
        <w:rPr/>
      </w:pPr>
      <w:r w:rsidDel="00000000" w:rsidR="00000000" w:rsidRPr="00000000">
        <w:rPr>
          <w:rtl w:val="0"/>
        </w:rPr>
        <w:t xml:space="preserve">BRASIL. Banco Central do Brasil. Resolução n.º 265, de 25 nov. 2022. Dispõe sobre a estrutura de gerenciamento de riscos, a estrutura de gerenciamento de capital e a política de divulgação de informações de instituições autorizadas a funcionar pelo Banco Central do Brasil. Diário Oficial da União: seção 1, Brasília, DF, 25 nov. 2022.</w:t>
        <w:br w:type="textWrapping"/>
      </w:r>
    </w:p>
    <w:p w:rsidR="00000000" w:rsidDel="00000000" w:rsidP="00000000" w:rsidRDefault="00000000" w:rsidRPr="00000000" w14:paraId="00000146">
      <w:pPr>
        <w:jc w:val="both"/>
        <w:rPr/>
      </w:pPr>
      <w:r w:rsidDel="00000000" w:rsidR="00000000" w:rsidRPr="00000000">
        <w:rPr>
          <w:rtl w:val="0"/>
        </w:rPr>
        <w:t xml:space="preserve">BRASIL. Banco Central do Brasil. Resolução n.º 4.557, de 23 fev. 2017. Dispõe sobre a estrutura de gerenciamento de riscos, a estrutura de gerenciamento de capital e a política de divulgação de informações pelas instituições financeiras e demais instituições autorizadas. Diário Oficial da União: seção 1, Brasília, DF, 23 fev. 2017.</w:t>
        <w:br w:type="textWrapping"/>
      </w:r>
    </w:p>
    <w:p w:rsidR="00000000" w:rsidDel="00000000" w:rsidP="00000000" w:rsidRDefault="00000000" w:rsidRPr="00000000" w14:paraId="00000147">
      <w:pPr>
        <w:jc w:val="both"/>
        <w:rPr/>
      </w:pPr>
      <w:r w:rsidDel="00000000" w:rsidR="00000000" w:rsidRPr="00000000">
        <w:rPr>
          <w:rtl w:val="0"/>
        </w:rPr>
        <w:t xml:space="preserve">BRASIL. Decreto-Lei n.º 2.291, de 21 nov. 1986. Extingue o Banco Nacional da Habitação – BNH, e dá outras providências. Diário Oficial da União: 24 nov. 1986, p. 17554.</w:t>
        <w:br w:type="textWrapping"/>
      </w:r>
    </w:p>
    <w:p w:rsidR="00000000" w:rsidDel="00000000" w:rsidP="00000000" w:rsidRDefault="00000000" w:rsidRPr="00000000" w14:paraId="00000148">
      <w:pPr>
        <w:jc w:val="both"/>
        <w:rPr/>
      </w:pPr>
      <w:r w:rsidDel="00000000" w:rsidR="00000000" w:rsidRPr="00000000">
        <w:rPr>
          <w:rtl w:val="0"/>
        </w:rPr>
        <w:t xml:space="preserve">BRASIL. Lei Complementar n.º 128, de 19 dez. 2008. Altera a Lei Complementar n.º 123, de 14 dez. 2006, altera as Leis n.º 8.212, de 24 jul. 1991, n.º 8.213, de 24 jul. 1991, n.º 10.406, de 10 jan. 2002 – Código Civil, n.º 8.029, de 12 abr. 1990, e dá outras providências. Diário Oficial da União: 22 dez. 2008..</w:t>
      </w:r>
    </w:p>
    <w:p w:rsidR="00000000" w:rsidDel="00000000" w:rsidP="00000000" w:rsidRDefault="00000000" w:rsidRPr="00000000" w14:paraId="00000149">
      <w:pPr>
        <w:shd w:fill="ffffff" w:val="clear"/>
        <w:rPr>
          <w:color w:val="0f1115"/>
        </w:rPr>
      </w:pPr>
      <w:r w:rsidDel="00000000" w:rsidR="00000000" w:rsidRPr="00000000">
        <w:rPr>
          <w:rtl w:val="0"/>
        </w:rPr>
      </w:r>
    </w:p>
    <w:p w:rsidR="00000000" w:rsidDel="00000000" w:rsidP="00000000" w:rsidRDefault="00000000" w:rsidRPr="00000000" w14:paraId="0000014A">
      <w:pPr>
        <w:shd w:fill="ffffff" w:val="clear"/>
        <w:rPr>
          <w:color w:val="0f1115"/>
        </w:rPr>
      </w:pPr>
      <w:r w:rsidDel="00000000" w:rsidR="00000000" w:rsidRPr="00000000">
        <w:rPr>
          <w:color w:val="0f1115"/>
          <w:rtl w:val="0"/>
        </w:rPr>
        <w:t xml:space="preserve">BRASIL. Lei nº 4.380, de 21 de agosto de 1964. Estabelece o Sistema Financeiro da Habitação, cria o Banco Nacional da Habitação e dá outras providências. Diário Oficial da União, Brasília, DF, 21 ago. 1964.</w:t>
      </w:r>
    </w:p>
    <w:p w:rsidR="00000000" w:rsidDel="00000000" w:rsidP="00000000" w:rsidRDefault="00000000" w:rsidRPr="00000000" w14:paraId="0000014B">
      <w:pPr>
        <w:shd w:fill="ffffff" w:val="clear"/>
        <w:rPr>
          <w:color w:val="0f1115"/>
        </w:rPr>
      </w:pPr>
      <w:r w:rsidDel="00000000" w:rsidR="00000000" w:rsidRPr="00000000">
        <w:rPr>
          <w:rtl w:val="0"/>
        </w:rPr>
      </w:r>
    </w:p>
    <w:p w:rsidR="00000000" w:rsidDel="00000000" w:rsidP="00000000" w:rsidRDefault="00000000" w:rsidRPr="00000000" w14:paraId="0000014C">
      <w:pPr>
        <w:shd w:fill="ffffff" w:val="clear"/>
        <w:rPr>
          <w:color w:val="0f1115"/>
        </w:rPr>
      </w:pPr>
      <w:r w:rsidDel="00000000" w:rsidR="00000000" w:rsidRPr="00000000">
        <w:rPr>
          <w:color w:val="0f1115"/>
          <w:rtl w:val="0"/>
        </w:rPr>
        <w:t xml:space="preserve">BRASIL. Lei nº 6.766, de 19 de dezembro de 1979. Dispõe sobre o Parcelamento do Solo Urbano e dá outras providências. Diário Oficial da União, Brasília, DF, 19 dez. 1979.</w:t>
      </w:r>
    </w:p>
    <w:p w:rsidR="00000000" w:rsidDel="00000000" w:rsidP="00000000" w:rsidRDefault="00000000" w:rsidRPr="00000000" w14:paraId="0000014D">
      <w:pPr>
        <w:shd w:fill="ffffff" w:val="clear"/>
        <w:rPr>
          <w:color w:val="0f1115"/>
        </w:rPr>
      </w:pPr>
      <w:r w:rsidDel="00000000" w:rsidR="00000000" w:rsidRPr="00000000">
        <w:rPr>
          <w:rtl w:val="0"/>
        </w:rPr>
      </w:r>
    </w:p>
    <w:p w:rsidR="00000000" w:rsidDel="00000000" w:rsidP="00000000" w:rsidRDefault="00000000" w:rsidRPr="00000000" w14:paraId="0000014E">
      <w:pPr>
        <w:shd w:fill="ffffff" w:val="clear"/>
        <w:rPr>
          <w:color w:val="0f1115"/>
        </w:rPr>
      </w:pPr>
      <w:r w:rsidDel="00000000" w:rsidR="00000000" w:rsidRPr="00000000">
        <w:rPr>
          <w:color w:val="0f1115"/>
          <w:rtl w:val="0"/>
        </w:rPr>
        <w:t xml:space="preserve">BRASIL. Lei n.º 8.036, de 11 de maio de 1990. Dispõe sobre o Fundo de Garantia do Tempo de Serviço (FGTS) e dá outras providências. Diário Oficial da União: seção 1, Brasília, DF, 14 mai. 1990</w:t>
      </w:r>
    </w:p>
    <w:p w:rsidR="00000000" w:rsidDel="00000000" w:rsidP="00000000" w:rsidRDefault="00000000" w:rsidRPr="00000000" w14:paraId="0000014F">
      <w:pPr>
        <w:shd w:fill="ffffff" w:val="clear"/>
        <w:rPr>
          <w:color w:val="0f1115"/>
        </w:rPr>
      </w:pPr>
      <w:r w:rsidDel="00000000" w:rsidR="00000000" w:rsidRPr="00000000">
        <w:rPr>
          <w:rtl w:val="0"/>
        </w:rPr>
      </w:r>
    </w:p>
    <w:p w:rsidR="00000000" w:rsidDel="00000000" w:rsidP="00000000" w:rsidRDefault="00000000" w:rsidRPr="00000000" w14:paraId="00000150">
      <w:pPr>
        <w:shd w:fill="ffffff" w:val="clear"/>
        <w:rPr>
          <w:color w:val="0f1115"/>
        </w:rPr>
      </w:pPr>
      <w:r w:rsidDel="00000000" w:rsidR="00000000" w:rsidRPr="00000000">
        <w:rPr>
          <w:color w:val="0f1115"/>
          <w:rtl w:val="0"/>
        </w:rPr>
        <w:t xml:space="preserve">BRASIL. Lei nº 9.514, de 20 de novembro de 1997. Estabelece o Sistema de Financiamento Imobiliário, institui a alienação fiduciária de bem imóvel e dá outras providências. Diário Oficial da União, Brasília, DF, 20 nov. 1997.</w:t>
      </w:r>
    </w:p>
    <w:p w:rsidR="00000000" w:rsidDel="00000000" w:rsidP="00000000" w:rsidRDefault="00000000" w:rsidRPr="00000000" w14:paraId="00000151">
      <w:pPr>
        <w:shd w:fill="ffffff" w:val="clear"/>
        <w:rPr>
          <w:color w:val="0f1115"/>
        </w:rPr>
      </w:pPr>
      <w:r w:rsidDel="00000000" w:rsidR="00000000" w:rsidRPr="00000000">
        <w:rPr>
          <w:rtl w:val="0"/>
        </w:rPr>
      </w:r>
    </w:p>
    <w:p w:rsidR="00000000" w:rsidDel="00000000" w:rsidP="00000000" w:rsidRDefault="00000000" w:rsidRPr="00000000" w14:paraId="00000152">
      <w:pPr>
        <w:shd w:fill="ffffff" w:val="clear"/>
        <w:rPr>
          <w:color w:val="0f1115"/>
        </w:rPr>
      </w:pPr>
      <w:r w:rsidDel="00000000" w:rsidR="00000000" w:rsidRPr="00000000">
        <w:rPr>
          <w:color w:val="0f1115"/>
          <w:rtl w:val="0"/>
        </w:rPr>
        <w:t xml:space="preserve">BRASIL. Lei nº 10.257, de 10 de julho de 2001. </w:t>
      </w:r>
      <w:r w:rsidDel="00000000" w:rsidR="00000000" w:rsidRPr="00000000">
        <w:rPr>
          <w:rtl w:val="0"/>
        </w:rPr>
        <w:t xml:space="preserve">Lei denominada Estatuto da Cidade. Diário Oficial da União, Brasília</w:t>
      </w:r>
      <w:r w:rsidDel="00000000" w:rsidR="00000000" w:rsidRPr="00000000">
        <w:rPr>
          <w:color w:val="0f1115"/>
          <w:rtl w:val="0"/>
        </w:rPr>
        <w:t xml:space="preserve">. Diário Oficial da União, Brasília, DF, 11 jul. 2001.</w:t>
      </w:r>
    </w:p>
    <w:p w:rsidR="00000000" w:rsidDel="00000000" w:rsidP="00000000" w:rsidRDefault="00000000" w:rsidRPr="00000000" w14:paraId="00000153">
      <w:pPr>
        <w:shd w:fill="ffffff" w:val="clear"/>
        <w:rPr>
          <w:color w:val="0f1115"/>
        </w:rPr>
      </w:pPr>
      <w:r w:rsidDel="00000000" w:rsidR="00000000" w:rsidRPr="00000000">
        <w:rPr>
          <w:rtl w:val="0"/>
        </w:rPr>
      </w:r>
    </w:p>
    <w:p w:rsidR="00000000" w:rsidDel="00000000" w:rsidP="00000000" w:rsidRDefault="00000000" w:rsidRPr="00000000" w14:paraId="00000154">
      <w:pPr>
        <w:jc w:val="both"/>
        <w:rPr>
          <w:color w:val="0f1115"/>
        </w:rPr>
      </w:pPr>
      <w:r w:rsidDel="00000000" w:rsidR="00000000" w:rsidRPr="00000000">
        <w:rPr>
          <w:rtl w:val="0"/>
        </w:rPr>
        <w:t xml:space="preserve">BRASIL. Lei n.º 10.406, de 10 jan. 2002. Institui o Código Civil. Diário Oficial da União: 11 jan. 2002</w:t>
      </w:r>
      <w:r w:rsidDel="00000000" w:rsidR="00000000" w:rsidRPr="00000000">
        <w:rPr>
          <w:rtl w:val="0"/>
        </w:rPr>
      </w:r>
    </w:p>
    <w:p w:rsidR="00000000" w:rsidDel="00000000" w:rsidP="00000000" w:rsidRDefault="00000000" w:rsidRPr="00000000" w14:paraId="00000155">
      <w:pPr>
        <w:shd w:fill="ffffff" w:val="clear"/>
        <w:rPr>
          <w:color w:val="0f1115"/>
        </w:rPr>
      </w:pPr>
      <w:r w:rsidDel="00000000" w:rsidR="00000000" w:rsidRPr="00000000">
        <w:rPr>
          <w:rtl w:val="0"/>
        </w:rPr>
      </w:r>
    </w:p>
    <w:p w:rsidR="00000000" w:rsidDel="00000000" w:rsidP="00000000" w:rsidRDefault="00000000" w:rsidRPr="00000000" w14:paraId="00000156">
      <w:pPr>
        <w:shd w:fill="ffffff" w:val="clear"/>
        <w:rPr>
          <w:color w:val="0f1115"/>
        </w:rPr>
      </w:pPr>
      <w:r w:rsidDel="00000000" w:rsidR="00000000" w:rsidRPr="00000000">
        <w:rPr>
          <w:color w:val="0f1115"/>
          <w:rtl w:val="0"/>
        </w:rPr>
        <w:t xml:space="preserve">BREDA, </w:t>
      </w:r>
      <w:r w:rsidDel="00000000" w:rsidR="00000000" w:rsidRPr="00000000">
        <w:rPr>
          <w:rtl w:val="0"/>
        </w:rPr>
        <w:t xml:space="preserve"> Fausto M. A produção imobiliária sob a dominância financeira: algumas implicações para a esfera produtiva e a renda da terra. In: PEREIRA, P. C. X (Org). </w:t>
      </w:r>
      <w:r w:rsidDel="00000000" w:rsidR="00000000" w:rsidRPr="00000000">
        <w:rPr>
          <w:i w:val="1"/>
          <w:rtl w:val="0"/>
        </w:rPr>
        <w:t xml:space="preserve">Imediato total e global na produção do espaço: A financeirização da cidade de São Paulo no Século XX!</w:t>
      </w:r>
      <w:r w:rsidDel="00000000" w:rsidR="00000000" w:rsidRPr="00000000">
        <w:rPr>
          <w:rtl w:val="0"/>
        </w:rPr>
        <w:t xml:space="preserve"> FAUUSP. São Paulo, 2018.</w:t>
      </w:r>
      <w:r w:rsidDel="00000000" w:rsidR="00000000" w:rsidRPr="00000000">
        <w:rPr>
          <w:rtl w:val="0"/>
        </w:rPr>
      </w:r>
    </w:p>
    <w:p w:rsidR="00000000" w:rsidDel="00000000" w:rsidP="00000000" w:rsidRDefault="00000000" w:rsidRPr="00000000" w14:paraId="00000157">
      <w:pPr>
        <w:shd w:fill="ffffff" w:val="clear"/>
        <w:rPr>
          <w:color w:val="0f1115"/>
        </w:rPr>
      </w:pPr>
      <w:r w:rsidDel="00000000" w:rsidR="00000000" w:rsidRPr="00000000">
        <w:rPr>
          <w:rtl w:val="0"/>
        </w:rPr>
      </w:r>
    </w:p>
    <w:p w:rsidR="00000000" w:rsidDel="00000000" w:rsidP="00000000" w:rsidRDefault="00000000" w:rsidRPr="00000000" w14:paraId="00000158">
      <w:pPr>
        <w:shd w:fill="ffffff" w:val="clear"/>
        <w:rPr>
          <w:color w:val="0f1115"/>
        </w:rPr>
      </w:pPr>
      <w:r w:rsidDel="00000000" w:rsidR="00000000" w:rsidRPr="00000000">
        <w:rPr>
          <w:color w:val="0f1115"/>
          <w:rtl w:val="0"/>
        </w:rPr>
        <w:t xml:space="preserve">CAMPOS DOS GOYTACAZES. Lei Complementar nº 016, de 10 de dezembro de 2020. Institui o Plano Diretor do Município de Campos dos Goytacazes e dá outras providências. Diário Oficial do Município, Campos dos Goytacazes, 11 dez. 2020.</w:t>
      </w:r>
    </w:p>
    <w:p w:rsidR="00000000" w:rsidDel="00000000" w:rsidP="00000000" w:rsidRDefault="00000000" w:rsidRPr="00000000" w14:paraId="00000159">
      <w:pPr>
        <w:shd w:fill="ffffff" w:val="clear"/>
        <w:rPr>
          <w:color w:val="0f1115"/>
        </w:rPr>
      </w:pPr>
      <w:r w:rsidDel="00000000" w:rsidR="00000000" w:rsidRPr="00000000">
        <w:rPr>
          <w:rtl w:val="0"/>
        </w:rPr>
      </w:r>
    </w:p>
    <w:p w:rsidR="00000000" w:rsidDel="00000000" w:rsidP="00000000" w:rsidRDefault="00000000" w:rsidRPr="00000000" w14:paraId="0000015A">
      <w:pPr>
        <w:shd w:fill="ffffff" w:val="clear"/>
        <w:rPr>
          <w:color w:val="0f1115"/>
        </w:rPr>
      </w:pPr>
      <w:r w:rsidDel="00000000" w:rsidR="00000000" w:rsidRPr="00000000">
        <w:rPr>
          <w:color w:val="0f1115"/>
          <w:rtl w:val="0"/>
        </w:rPr>
        <w:t xml:space="preserve">CAMPOS DOS GOYTACAZES (RJ)</w:t>
      </w:r>
      <w:r w:rsidDel="00000000" w:rsidR="00000000" w:rsidRPr="00000000">
        <w:rPr>
          <w:b w:val="1"/>
          <w:color w:val="0f1115"/>
          <w:rtl w:val="0"/>
        </w:rPr>
        <w:t xml:space="preserve">.</w:t>
      </w:r>
      <w:r w:rsidDel="00000000" w:rsidR="00000000" w:rsidRPr="00000000">
        <w:rPr>
          <w:color w:val="0f1115"/>
          <w:rtl w:val="0"/>
        </w:rPr>
        <w:t xml:space="preserve"> </w:t>
      </w:r>
      <w:r w:rsidDel="00000000" w:rsidR="00000000" w:rsidRPr="00000000">
        <w:rPr>
          <w:i w:val="1"/>
          <w:color w:val="0f1115"/>
          <w:rtl w:val="0"/>
        </w:rPr>
        <w:t xml:space="preserve">Lei nº 7.974, de 31 de março de 2008.</w:t>
      </w:r>
      <w:r w:rsidDel="00000000" w:rsidR="00000000" w:rsidRPr="00000000">
        <w:rPr>
          <w:color w:val="0f1115"/>
          <w:rtl w:val="0"/>
        </w:rPr>
        <w:t xml:space="preserve"> Institui a Lei de Uso e Ocupação do Solo Urbano do Município de Campos dos Goytacazes. </w:t>
      </w:r>
      <w:r w:rsidDel="00000000" w:rsidR="00000000" w:rsidRPr="00000000">
        <w:rPr>
          <w:i w:val="1"/>
          <w:color w:val="0f1115"/>
          <w:rtl w:val="0"/>
        </w:rPr>
        <w:t xml:space="preserve">Diário Oficial do Município de Campos dos Goytacazes</w:t>
      </w:r>
      <w:r w:rsidDel="00000000" w:rsidR="00000000" w:rsidRPr="00000000">
        <w:rPr>
          <w:color w:val="0f1115"/>
          <w:rtl w:val="0"/>
        </w:rPr>
        <w:t xml:space="preserve">, Campos dos Goytacazes, RJ, 31 mar. 2008. Disponível em:</w:t>
      </w:r>
      <w:hyperlink r:id="rId14">
        <w:r w:rsidDel="00000000" w:rsidR="00000000" w:rsidRPr="00000000">
          <w:rPr>
            <w:color w:val="0f1115"/>
            <w:rtl w:val="0"/>
          </w:rPr>
          <w:t xml:space="preserve"> </w:t>
        </w:r>
      </w:hyperlink>
      <w:hyperlink r:id="rId15">
        <w:r w:rsidDel="00000000" w:rsidR="00000000" w:rsidRPr="00000000">
          <w:rPr>
            <w:color w:val="1155cc"/>
            <w:u w:val="single"/>
            <w:rtl w:val="0"/>
          </w:rPr>
          <w:t xml:space="preserve">https://leismunicipais.com.br/a1/rj/c/campos-dos-goytacazes/lei-ordinaria/2007/797/7974/lei-ordinaria-n-7974-2007-institui-a-lei-de-uso-e-ocupacao-do-solo-urbano-do-municipio-de-campos-dos-goytacazes</w:t>
        </w:r>
      </w:hyperlink>
      <w:r w:rsidDel="00000000" w:rsidR="00000000" w:rsidRPr="00000000">
        <w:rPr>
          <w:color w:val="0f1115"/>
          <w:rtl w:val="0"/>
        </w:rPr>
        <w:t xml:space="preserve">. Acesso em: 27 out. 2025.</w:t>
      </w:r>
    </w:p>
    <w:p w:rsidR="00000000" w:rsidDel="00000000" w:rsidP="00000000" w:rsidRDefault="00000000" w:rsidRPr="00000000" w14:paraId="0000015B">
      <w:pPr>
        <w:shd w:fill="ffffff" w:val="clear"/>
        <w:rPr>
          <w:color w:val="0f1115"/>
        </w:rPr>
      </w:pPr>
      <w:r w:rsidDel="00000000" w:rsidR="00000000" w:rsidRPr="00000000">
        <w:rPr>
          <w:rtl w:val="0"/>
        </w:rPr>
      </w:r>
    </w:p>
    <w:p w:rsidR="00000000" w:rsidDel="00000000" w:rsidP="00000000" w:rsidRDefault="00000000" w:rsidRPr="00000000" w14:paraId="0000015C">
      <w:pPr>
        <w:shd w:fill="ffffff" w:val="clear"/>
        <w:rPr>
          <w:color w:val="0f1115"/>
        </w:rPr>
      </w:pPr>
      <w:r w:rsidDel="00000000" w:rsidR="00000000" w:rsidRPr="00000000">
        <w:rPr>
          <w:rtl w:val="0"/>
        </w:rPr>
        <w:t xml:space="preserve">CORRÊA, Roberto L. O Espaço Urbano. São Paulo, Ática, 2ª Ed, 1999</w:t>
      </w:r>
      <w:r w:rsidDel="00000000" w:rsidR="00000000" w:rsidRPr="00000000">
        <w:rPr>
          <w:color w:val="0f1115"/>
          <w:rtl w:val="0"/>
        </w:rPr>
        <w:t xml:space="preserve">.</w:t>
      </w:r>
    </w:p>
    <w:p w:rsidR="00000000" w:rsidDel="00000000" w:rsidP="00000000" w:rsidRDefault="00000000" w:rsidRPr="00000000" w14:paraId="0000015D">
      <w:pPr>
        <w:shd w:fill="ffffff" w:val="clear"/>
        <w:rPr>
          <w:color w:val="0f1115"/>
        </w:rPr>
      </w:pPr>
      <w:r w:rsidDel="00000000" w:rsidR="00000000" w:rsidRPr="00000000">
        <w:rPr>
          <w:rtl w:val="0"/>
        </w:rPr>
      </w:r>
    </w:p>
    <w:p w:rsidR="00000000" w:rsidDel="00000000" w:rsidP="00000000" w:rsidRDefault="00000000" w:rsidRPr="00000000" w14:paraId="0000015E">
      <w:pPr>
        <w:shd w:fill="ffffff" w:val="clear"/>
        <w:rPr>
          <w:color w:val="0f1115"/>
        </w:rPr>
      </w:pPr>
      <w:r w:rsidDel="00000000" w:rsidR="00000000" w:rsidRPr="00000000">
        <w:rPr>
          <w:color w:val="0f1115"/>
          <w:rtl w:val="0"/>
        </w:rPr>
        <w:t xml:space="preserve">COSTA, G. M. </w:t>
      </w:r>
      <w:r w:rsidDel="00000000" w:rsidR="00000000" w:rsidRPr="00000000">
        <w:rPr>
          <w:rtl w:val="0"/>
        </w:rPr>
        <w:t xml:space="preserve">O espaço construído e o fenômeno da verticalização: um estudo dos bairros Ponta Negra em Natal (Brasil) e Poblenou em Barcelona (Espanha). In: </w:t>
      </w:r>
      <w:r w:rsidDel="00000000" w:rsidR="00000000" w:rsidRPr="00000000">
        <w:rPr>
          <w:i w:val="1"/>
          <w:rtl w:val="0"/>
        </w:rPr>
        <w:t xml:space="preserve">VII CONGRESSO BRASILEIRO DE GEÓGRAFOS</w:t>
      </w:r>
      <w:r w:rsidDel="00000000" w:rsidR="00000000" w:rsidRPr="00000000">
        <w:rPr>
          <w:rtl w:val="0"/>
        </w:rPr>
        <w:t xml:space="preserve">, 2014, Vitória/ES. </w:t>
      </w:r>
      <w:r w:rsidDel="00000000" w:rsidR="00000000" w:rsidRPr="00000000">
        <w:rPr>
          <w:rtl w:val="0"/>
        </w:rPr>
      </w:r>
    </w:p>
    <w:p w:rsidR="00000000" w:rsidDel="00000000" w:rsidP="00000000" w:rsidRDefault="00000000" w:rsidRPr="00000000" w14:paraId="0000015F">
      <w:pPr>
        <w:shd w:fill="ffffff" w:val="clear"/>
        <w:rPr>
          <w:color w:val="0f1115"/>
        </w:rPr>
      </w:pPr>
      <w:r w:rsidDel="00000000" w:rsidR="00000000" w:rsidRPr="00000000">
        <w:rPr>
          <w:rtl w:val="0"/>
        </w:rPr>
      </w:r>
    </w:p>
    <w:p w:rsidR="00000000" w:rsidDel="00000000" w:rsidP="00000000" w:rsidRDefault="00000000" w:rsidRPr="00000000" w14:paraId="00000160">
      <w:pPr>
        <w:shd w:fill="ffffff" w:val="clear"/>
        <w:rPr>
          <w:color w:val="0f1115"/>
        </w:rPr>
      </w:pPr>
      <w:r w:rsidDel="00000000" w:rsidR="00000000" w:rsidRPr="00000000">
        <w:rPr>
          <w:color w:val="0f1115"/>
          <w:rtl w:val="0"/>
        </w:rPr>
        <w:t xml:space="preserve">EPSTEIN, G. A. Financialization and the world economy. Cheltenham: Edward Elgar, 2005.</w:t>
      </w:r>
    </w:p>
    <w:p w:rsidR="00000000" w:rsidDel="00000000" w:rsidP="00000000" w:rsidRDefault="00000000" w:rsidRPr="00000000" w14:paraId="00000161">
      <w:pPr>
        <w:shd w:fill="ffffff" w:val="clear"/>
        <w:rPr>
          <w:color w:val="0f1115"/>
        </w:rPr>
      </w:pPr>
      <w:r w:rsidDel="00000000" w:rsidR="00000000" w:rsidRPr="00000000">
        <w:rPr>
          <w:rtl w:val="0"/>
        </w:rPr>
      </w:r>
    </w:p>
    <w:p w:rsidR="00000000" w:rsidDel="00000000" w:rsidP="00000000" w:rsidRDefault="00000000" w:rsidRPr="00000000" w14:paraId="00000162">
      <w:pPr>
        <w:shd w:fill="ffffff" w:val="clear"/>
        <w:rPr>
          <w:color w:val="0f1115"/>
        </w:rPr>
      </w:pPr>
      <w:r w:rsidDel="00000000" w:rsidR="00000000" w:rsidRPr="00000000">
        <w:rPr>
          <w:rtl w:val="0"/>
        </w:rPr>
        <w:t xml:space="preserve">Fresca, T. M., &amp; Oliveira, E. L. de. (2017). SESSENTA ANOS DE VERTICALIZAÇÃO EM LONDRINA/PR. Revista Da ANPEGE, 11(16), 85–121. </w:t>
      </w:r>
      <w:hyperlink r:id="rId16">
        <w:r w:rsidDel="00000000" w:rsidR="00000000" w:rsidRPr="00000000">
          <w:rPr>
            <w:color w:val="1155cc"/>
            <w:u w:val="single"/>
            <w:rtl w:val="0"/>
          </w:rPr>
          <w:t xml:space="preserve">https://doi.org/10.5418/RA2015.1116.0005</w:t>
        </w:r>
      </w:hyperlink>
      <w:r w:rsidDel="00000000" w:rsidR="00000000" w:rsidRPr="00000000">
        <w:rPr>
          <w:color w:val="0f1115"/>
          <w:rtl w:val="0"/>
        </w:rPr>
        <w:t xml:space="preserve">.</w:t>
      </w:r>
    </w:p>
    <w:p w:rsidR="00000000" w:rsidDel="00000000" w:rsidP="00000000" w:rsidRDefault="00000000" w:rsidRPr="00000000" w14:paraId="00000163">
      <w:pPr>
        <w:shd w:fill="ffffff" w:val="clear"/>
        <w:rPr>
          <w:color w:val="0f1115"/>
        </w:rPr>
      </w:pPr>
      <w:r w:rsidDel="00000000" w:rsidR="00000000" w:rsidRPr="00000000">
        <w:rPr>
          <w:rtl w:val="0"/>
        </w:rPr>
      </w:r>
    </w:p>
    <w:p w:rsidR="00000000" w:rsidDel="00000000" w:rsidP="00000000" w:rsidRDefault="00000000" w:rsidRPr="00000000" w14:paraId="00000164">
      <w:pPr>
        <w:shd w:fill="ffffff" w:val="clear"/>
        <w:rPr>
          <w:color w:val="0f1115"/>
        </w:rPr>
      </w:pPr>
      <w:r w:rsidDel="00000000" w:rsidR="00000000" w:rsidRPr="00000000">
        <w:rPr>
          <w:color w:val="0f1115"/>
          <w:rtl w:val="0"/>
        </w:rPr>
        <w:t xml:space="preserve">HARVEY, D. A produção capitalista do espaço. São Paulo: Annablume, 2005.</w:t>
      </w:r>
    </w:p>
    <w:p w:rsidR="00000000" w:rsidDel="00000000" w:rsidP="00000000" w:rsidRDefault="00000000" w:rsidRPr="00000000" w14:paraId="00000165">
      <w:pPr>
        <w:shd w:fill="ffffff" w:val="clear"/>
        <w:rPr>
          <w:color w:val="0f1115"/>
        </w:rPr>
      </w:pPr>
      <w:r w:rsidDel="00000000" w:rsidR="00000000" w:rsidRPr="00000000">
        <w:rPr>
          <w:rtl w:val="0"/>
        </w:rPr>
      </w:r>
    </w:p>
    <w:p w:rsidR="00000000" w:rsidDel="00000000" w:rsidP="00000000" w:rsidRDefault="00000000" w:rsidRPr="00000000" w14:paraId="00000166">
      <w:pPr>
        <w:shd w:fill="ffffff" w:val="clear"/>
        <w:rPr/>
      </w:pPr>
      <w:r w:rsidDel="00000000" w:rsidR="00000000" w:rsidRPr="00000000">
        <w:rPr>
          <w:color w:val="0f1115"/>
          <w:rtl w:val="0"/>
        </w:rPr>
        <w:t xml:space="preserve">JIN, Y. </w:t>
      </w:r>
      <w:r w:rsidDel="00000000" w:rsidR="00000000" w:rsidRPr="00000000">
        <w:rPr>
          <w:rtl w:val="0"/>
        </w:rPr>
        <w:t xml:space="preserve">Urban Verticality Shaped by a Vertical Terrain: Lessons From Chongqing, China. Asia Research Institute, National University of Singapore,. 20 September 2022</w:t>
      </w:r>
    </w:p>
    <w:p w:rsidR="00000000" w:rsidDel="00000000" w:rsidP="00000000" w:rsidRDefault="00000000" w:rsidRPr="00000000" w14:paraId="00000167">
      <w:pPr>
        <w:shd w:fill="ffffff" w:val="clear"/>
        <w:rPr/>
      </w:pPr>
      <w:r w:rsidDel="00000000" w:rsidR="00000000" w:rsidRPr="00000000">
        <w:rPr>
          <w:rtl w:val="0"/>
        </w:rPr>
      </w:r>
    </w:p>
    <w:p w:rsidR="00000000" w:rsidDel="00000000" w:rsidP="00000000" w:rsidRDefault="00000000" w:rsidRPr="00000000" w14:paraId="00000168">
      <w:pPr>
        <w:jc w:val="both"/>
        <w:rPr>
          <w:color w:val="0f1115"/>
        </w:rPr>
      </w:pPr>
      <w:r w:rsidDel="00000000" w:rsidR="00000000" w:rsidRPr="00000000">
        <w:rPr>
          <w:rtl w:val="0"/>
        </w:rPr>
        <w:t xml:space="preserve">KLINK; SOUZA, 2017. Financeirização: conceitos, experiências e a relevância para o campo do planejamento urbano brasileiro. Cad. Metrop., São Paulo, v. 19, n. 39, pp. 379-406, maio/ago 2017. Disponível em: </w:t>
      </w:r>
      <w:hyperlink r:id="rId17">
        <w:r w:rsidDel="00000000" w:rsidR="00000000" w:rsidRPr="00000000">
          <w:rPr>
            <w:color w:val="1155cc"/>
            <w:u w:val="single"/>
            <w:rtl w:val="0"/>
          </w:rPr>
          <w:t xml:space="preserve">https://www.scielo.br/j/cm/a/wnqNTmk8zCWNXp5x3pFRyYp/?format=pdf&amp;lang=pt</w:t>
        </w:r>
      </w:hyperlink>
      <w:r w:rsidDel="00000000" w:rsidR="00000000" w:rsidRPr="00000000">
        <w:rPr>
          <w:rtl w:val="0"/>
        </w:rPr>
        <w:t xml:space="preserve"> Acesso em 23 julho 2025</w:t>
      </w:r>
      <w:r w:rsidDel="00000000" w:rsidR="00000000" w:rsidRPr="00000000">
        <w:rPr>
          <w:color w:val="0f1115"/>
          <w:rtl w:val="0"/>
        </w:rPr>
        <w:t xml:space="preserve">.</w:t>
      </w:r>
    </w:p>
    <w:p w:rsidR="00000000" w:rsidDel="00000000" w:rsidP="00000000" w:rsidRDefault="00000000" w:rsidRPr="00000000" w14:paraId="00000169">
      <w:pPr>
        <w:shd w:fill="ffffff" w:val="clear"/>
        <w:rPr>
          <w:color w:val="0f1115"/>
        </w:rPr>
      </w:pPr>
      <w:r w:rsidDel="00000000" w:rsidR="00000000" w:rsidRPr="00000000">
        <w:rPr>
          <w:rtl w:val="0"/>
        </w:rPr>
      </w:r>
    </w:p>
    <w:p w:rsidR="00000000" w:rsidDel="00000000" w:rsidP="00000000" w:rsidRDefault="00000000" w:rsidRPr="00000000" w14:paraId="0000016A">
      <w:pPr>
        <w:shd w:fill="ffffff" w:val="clear"/>
        <w:rPr>
          <w:color w:val="0f1115"/>
        </w:rPr>
      </w:pPr>
      <w:r w:rsidDel="00000000" w:rsidR="00000000" w:rsidRPr="00000000">
        <w:rPr>
          <w:color w:val="0f1115"/>
          <w:rtl w:val="0"/>
        </w:rPr>
        <w:t xml:space="preserve">LEFEBVRE, Henri. A produção do espaço. Trad. Doralice Barros Pereira e Sérgio Martins (do original: La production de l’espace. 4e éd. Paris: Éditions Anthropos, 2000). Primeira versão: início - fev.2006</w:t>
      </w:r>
    </w:p>
    <w:p w:rsidR="00000000" w:rsidDel="00000000" w:rsidP="00000000" w:rsidRDefault="00000000" w:rsidRPr="00000000" w14:paraId="0000016B">
      <w:pPr>
        <w:shd w:fill="ffffff" w:val="clear"/>
        <w:rPr>
          <w:color w:val="0f1115"/>
        </w:rPr>
      </w:pPr>
      <w:r w:rsidDel="00000000" w:rsidR="00000000" w:rsidRPr="00000000">
        <w:rPr>
          <w:rtl w:val="0"/>
        </w:rPr>
      </w:r>
    </w:p>
    <w:p w:rsidR="00000000" w:rsidDel="00000000" w:rsidP="00000000" w:rsidRDefault="00000000" w:rsidRPr="00000000" w14:paraId="0000016C">
      <w:pPr>
        <w:jc w:val="both"/>
        <w:rPr>
          <w:color w:val="0f1115"/>
        </w:rPr>
      </w:pPr>
      <w:r w:rsidDel="00000000" w:rsidR="00000000" w:rsidRPr="00000000">
        <w:rPr>
          <w:rtl w:val="0"/>
        </w:rPr>
        <w:t xml:space="preserve">LÖWEN SAHR, Cicilian Luiza. Dimensões de análise da verticalização: exemplos da cidade média de Ponta Grossa/PR. Revista de História Regional, v. 5, n. 1, p. 9-36, 2000</w:t>
      </w:r>
      <w:r w:rsidDel="00000000" w:rsidR="00000000" w:rsidRPr="00000000">
        <w:rPr>
          <w:rtl w:val="0"/>
        </w:rPr>
      </w:r>
    </w:p>
    <w:p w:rsidR="00000000" w:rsidDel="00000000" w:rsidP="00000000" w:rsidRDefault="00000000" w:rsidRPr="00000000" w14:paraId="0000016D">
      <w:pPr>
        <w:shd w:fill="ffffff" w:val="clear"/>
        <w:rPr>
          <w:color w:val="0f1115"/>
        </w:rPr>
      </w:pPr>
      <w:r w:rsidDel="00000000" w:rsidR="00000000" w:rsidRPr="00000000">
        <w:rPr>
          <w:rtl w:val="0"/>
        </w:rPr>
      </w:r>
    </w:p>
    <w:p w:rsidR="00000000" w:rsidDel="00000000" w:rsidP="00000000" w:rsidRDefault="00000000" w:rsidRPr="00000000" w14:paraId="0000016E">
      <w:pPr>
        <w:jc w:val="both"/>
        <w:rPr>
          <w:color w:val="0f1115"/>
        </w:rPr>
      </w:pPr>
      <w:r w:rsidDel="00000000" w:rsidR="00000000" w:rsidRPr="00000000">
        <w:rPr>
          <w:rtl w:val="0"/>
        </w:rPr>
        <w:t xml:space="preserve">MENDES, Cesar Miranda. O edifício no jardim, um plano destruído. A verticalização de Maringá. Tese (Doutorado em Geografia), Faculdade de Filosofia, Ciências Humanas e Letras, Universidade de São Paulo, São Paulo, 1992</w:t>
      </w:r>
      <w:r w:rsidDel="00000000" w:rsidR="00000000" w:rsidRPr="00000000">
        <w:rPr>
          <w:rtl w:val="0"/>
        </w:rPr>
      </w:r>
    </w:p>
    <w:p w:rsidR="00000000" w:rsidDel="00000000" w:rsidP="00000000" w:rsidRDefault="00000000" w:rsidRPr="00000000" w14:paraId="0000016F">
      <w:pPr>
        <w:shd w:fill="ffffff" w:val="clear"/>
        <w:rPr>
          <w:color w:val="0f1115"/>
        </w:rPr>
      </w:pPr>
      <w:r w:rsidDel="00000000" w:rsidR="00000000" w:rsidRPr="00000000">
        <w:rPr>
          <w:rtl w:val="0"/>
        </w:rPr>
      </w:r>
    </w:p>
    <w:p w:rsidR="00000000" w:rsidDel="00000000" w:rsidP="00000000" w:rsidRDefault="00000000" w:rsidRPr="00000000" w14:paraId="00000170">
      <w:pPr>
        <w:jc w:val="both"/>
        <w:rPr>
          <w:color w:val="0f1115"/>
        </w:rPr>
      </w:pPr>
      <w:r w:rsidDel="00000000" w:rsidR="00000000" w:rsidRPr="00000000">
        <w:rPr>
          <w:rtl w:val="0"/>
        </w:rPr>
        <w:t xml:space="preserve">PEREIRA, Paulo C X. Para uma discussão sobre o valor e o preço na produção imobiliária. In: PEREIRA P C X. et al. (Org). </w:t>
      </w:r>
      <w:r w:rsidDel="00000000" w:rsidR="00000000" w:rsidRPr="00000000">
        <w:rPr>
          <w:i w:val="1"/>
          <w:rtl w:val="0"/>
        </w:rPr>
        <w:t xml:space="preserve">Imediato Global e Total na produção do espaço: A financeirização da cidade de São Paulo no Século XXI.</w:t>
      </w:r>
      <w:r w:rsidDel="00000000" w:rsidR="00000000" w:rsidRPr="00000000">
        <w:rPr>
          <w:rtl w:val="0"/>
        </w:rPr>
        <w:t xml:space="preserve"> São Paulo. FAUUSP. 2018</w:t>
      </w:r>
      <w:r w:rsidDel="00000000" w:rsidR="00000000" w:rsidRPr="00000000">
        <w:rPr>
          <w:rtl w:val="0"/>
        </w:rPr>
      </w:r>
    </w:p>
    <w:p w:rsidR="00000000" w:rsidDel="00000000" w:rsidP="00000000" w:rsidRDefault="00000000" w:rsidRPr="00000000" w14:paraId="00000171">
      <w:pPr>
        <w:shd w:fill="ffffff" w:val="clear"/>
        <w:rPr>
          <w:color w:val="0f1115"/>
        </w:rPr>
      </w:pPr>
      <w:r w:rsidDel="00000000" w:rsidR="00000000" w:rsidRPr="00000000">
        <w:rPr>
          <w:rtl w:val="0"/>
        </w:rPr>
      </w:r>
    </w:p>
    <w:p w:rsidR="00000000" w:rsidDel="00000000" w:rsidP="00000000" w:rsidRDefault="00000000" w:rsidRPr="00000000" w14:paraId="00000172">
      <w:pPr>
        <w:jc w:val="both"/>
        <w:rPr>
          <w:color w:val="0f1115"/>
        </w:rPr>
      </w:pPr>
      <w:r w:rsidDel="00000000" w:rsidR="00000000" w:rsidRPr="00000000">
        <w:rPr>
          <w:rtl w:val="0"/>
        </w:rPr>
        <w:t xml:space="preserve">SANFELICI, Daniel. Financeirização e a produção do espaço urbano no Brasil: uma contribuição ao debate. Universidade de São Paulo, São Paulo, Brasil 2013. Disponível em http:// www.scielo.cl/scielo.php?</w:t>
      </w:r>
      <w:hyperlink r:id="rId18">
        <w:r w:rsidDel="00000000" w:rsidR="00000000" w:rsidRPr="00000000">
          <w:rPr>
            <w:color w:val="1155cc"/>
            <w:u w:val="single"/>
            <w:rtl w:val="0"/>
          </w:rPr>
          <w:t xml:space="preserve">script=sci_arttext&amp;pid=S0250-71612013000300002</w:t>
        </w:r>
      </w:hyperlink>
      <w:r w:rsidDel="00000000" w:rsidR="00000000" w:rsidRPr="00000000">
        <w:rPr>
          <w:rtl w:val="0"/>
        </w:rPr>
        <w:t xml:space="preserve">. Acesso em 23 julho 2025</w:t>
      </w:r>
      <w:r w:rsidDel="00000000" w:rsidR="00000000" w:rsidRPr="00000000">
        <w:rPr>
          <w:rtl w:val="0"/>
        </w:rPr>
      </w:r>
    </w:p>
    <w:p w:rsidR="00000000" w:rsidDel="00000000" w:rsidP="00000000" w:rsidRDefault="00000000" w:rsidRPr="00000000" w14:paraId="00000173">
      <w:pPr>
        <w:shd w:fill="ffffff" w:val="clear"/>
        <w:rPr>
          <w:color w:val="0f1115"/>
        </w:rPr>
      </w:pPr>
      <w:r w:rsidDel="00000000" w:rsidR="00000000" w:rsidRPr="00000000">
        <w:rPr>
          <w:rtl w:val="0"/>
        </w:rPr>
      </w:r>
    </w:p>
    <w:p w:rsidR="00000000" w:rsidDel="00000000" w:rsidP="00000000" w:rsidRDefault="00000000" w:rsidRPr="00000000" w14:paraId="00000174">
      <w:pPr>
        <w:rPr>
          <w:color w:val="eef0ff"/>
          <w:shd w:fill="1c1d20" w:val="clear"/>
        </w:rPr>
      </w:pPr>
      <w:r w:rsidDel="00000000" w:rsidR="00000000" w:rsidRPr="00000000">
        <w:rPr>
          <w:rtl w:val="0"/>
        </w:rPr>
        <w:t xml:space="preserve">SANTOS, Milton. A Natureza do Espaço: técnica e tempo, razão e emoção. 4. ed. São Paulo: Edusp, 2006</w:t>
      </w:r>
      <w:r w:rsidDel="00000000" w:rsidR="00000000" w:rsidRPr="00000000">
        <w:rPr>
          <w:rtl w:val="0"/>
        </w:rPr>
      </w:r>
    </w:p>
    <w:p w:rsidR="00000000" w:rsidDel="00000000" w:rsidP="00000000" w:rsidRDefault="00000000" w:rsidRPr="00000000" w14:paraId="00000175">
      <w:pPr>
        <w:jc w:val="both"/>
        <w:rPr>
          <w:color w:val="eef0ff"/>
          <w:shd w:fill="1c1d20" w:val="clear"/>
        </w:rPr>
      </w:pPr>
      <w:r w:rsidDel="00000000" w:rsidR="00000000" w:rsidRPr="00000000">
        <w:rPr>
          <w:rtl w:val="0"/>
        </w:rPr>
      </w:r>
    </w:p>
    <w:p w:rsidR="00000000" w:rsidDel="00000000" w:rsidP="00000000" w:rsidRDefault="00000000" w:rsidRPr="00000000" w14:paraId="00000176">
      <w:pPr>
        <w:jc w:val="both"/>
        <w:rPr>
          <w:color w:val="0f1115"/>
        </w:rPr>
      </w:pPr>
      <w:r w:rsidDel="00000000" w:rsidR="00000000" w:rsidRPr="00000000">
        <w:rPr>
          <w:rtl w:val="0"/>
        </w:rPr>
        <w:t xml:space="preserve">TOWS, Ricardo Luiz. O processo de verticalização de Londrina e de Maringá (PR) Brasil: O Estado e o capital imobiliário na produção do espaço. 2010. 265f. Dissertação (Mestrado em Geografia), Universidade Estadual de Maringá, Maringá, 2010</w:t>
      </w:r>
      <w:r w:rsidDel="00000000" w:rsidR="00000000" w:rsidRPr="00000000">
        <w:rPr>
          <w:rtl w:val="0"/>
        </w:rPr>
      </w:r>
    </w:p>
    <w:p w:rsidR="00000000" w:rsidDel="00000000" w:rsidP="00000000" w:rsidRDefault="00000000" w:rsidRPr="00000000" w14:paraId="00000177">
      <w:pPr>
        <w:jc w:val="both"/>
        <w:rPr/>
      </w:pPr>
      <w:r w:rsidDel="00000000" w:rsidR="00000000" w:rsidRPr="00000000">
        <w:rPr>
          <w:rtl w:val="0"/>
        </w:rPr>
        <w:t xml:space="preserve">VILLAÇA, Flávio. A Localização como mercadoria. São Paulo: FAUUSP, 1978.</w:t>
      </w:r>
      <w:r w:rsidDel="00000000" w:rsidR="00000000" w:rsidRPr="00000000">
        <w:rPr>
          <w:rtl w:val="0"/>
        </w:rPr>
      </w:r>
    </w:p>
    <w:p w:rsidR="00000000" w:rsidDel="00000000" w:rsidP="00000000" w:rsidRDefault="00000000" w:rsidRPr="00000000" w14:paraId="00000178">
      <w:pPr>
        <w:spacing w:after="0" w:before="0" w:line="240" w:lineRule="auto"/>
        <w:ind w:left="0" w:firstLine="0"/>
        <w:rPr>
          <w:b w:val="1"/>
          <w:sz w:val="28"/>
          <w:szCs w:val="28"/>
        </w:rPr>
      </w:pPr>
      <w:r w:rsidDel="00000000" w:rsidR="00000000" w:rsidRPr="00000000">
        <w:rPr>
          <w:rtl w:val="0"/>
        </w:rPr>
      </w:r>
    </w:p>
    <w:sectPr>
      <w:headerReference r:id="rId19" w:type="default"/>
      <w:headerReference r:id="rId20" w:type="first"/>
      <w:footerReference r:id="rId21" w:type="default"/>
      <w:pgSz w:h="16838" w:w="11906" w:orient="portrait"/>
      <w:pgMar w:bottom="1417" w:top="1417" w:left="1701" w:right="1701" w:header="284"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7D">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Mestrando em Geografia, Universidade Federal Fluminense. E-mail:pablorangel@id.uff.br</w:t>
      </w:r>
    </w:p>
  </w:footnote>
  <w:footnote w:id="1">
    <w:p w:rsidR="00000000" w:rsidDel="00000000" w:rsidP="00000000" w:rsidRDefault="00000000" w:rsidRPr="00000000" w14:paraId="0000017E">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Professor do Curso de Geografia, Universidade Federal Fluminense. E-mail:leandrobruno@id.uff.br</w:t>
      </w:r>
    </w:p>
  </w:footnote>
  <w:footnote w:id="2">
    <w:p w:rsidR="00000000" w:rsidDel="00000000" w:rsidP="00000000" w:rsidRDefault="00000000" w:rsidRPr="00000000" w14:paraId="0000017F">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0f1115"/>
          <w:sz w:val="20"/>
          <w:szCs w:val="20"/>
          <w:highlight w:val="white"/>
          <w:rtl w:val="0"/>
        </w:rPr>
        <w:t xml:space="preserve">O "habite-se" é o documento municipal que atesta a conclusão da obra em conformidade com as normas do Código de Obras, declarando o imóvel apto para habitação. Na dinâmica imobiliária, este certificado torna-se um instrumento crucial para a segurança jurídica do comprador e para a agilização das transações. Sua emissão é etapa fundamental para a regularização perante os órgãos públicos e para a obtenção de financiamento bancário, influenciando diretamente a valorização do imóvel.</w:t>
      </w:r>
      <w:r w:rsidDel="00000000" w:rsidR="00000000" w:rsidRPr="00000000">
        <w:rPr>
          <w:rtl w:val="0"/>
        </w:rPr>
      </w:r>
    </w:p>
  </w:footnote>
  <w:footnote w:id="3">
    <w:p w:rsidR="00000000" w:rsidDel="00000000" w:rsidP="00000000" w:rsidRDefault="00000000" w:rsidRPr="00000000" w14:paraId="00000180">
      <w:pPr>
        <w:rPr>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sz w:val="20"/>
          <w:szCs w:val="20"/>
          <w:rtl w:val="0"/>
        </w:rPr>
        <w:t xml:space="preserve">Que viria a ser extinto em 1986 no governo de José Sarney com a Lei  nº 2.291, de 21 de novembro de 1986</w:t>
      </w:r>
      <w:hyperlink r:id="rId1">
        <w:r w:rsidDel="00000000" w:rsidR="00000000" w:rsidRPr="00000000">
          <w:rPr>
            <w:color w:val="1155cc"/>
            <w:sz w:val="20"/>
            <w:szCs w:val="20"/>
            <w:u w:val="single"/>
            <w:rtl w:val="0"/>
          </w:rPr>
          <w:t xml:space="preserve">.</w:t>
        </w:r>
      </w:hyperlink>
      <w:r w:rsidDel="00000000" w:rsidR="00000000" w:rsidRPr="00000000">
        <w:rPr>
          <w:sz w:val="20"/>
          <w:szCs w:val="20"/>
          <w:rtl w:val="0"/>
        </w:rPr>
        <w:t xml:space="preserve"> Suas atribuições então foram completamente absorvidas pela Caixa Econômica Federal.</w:t>
      </w:r>
    </w:p>
  </w:footnote>
  <w:footnote w:id="4">
    <w:p w:rsidR="00000000" w:rsidDel="00000000" w:rsidP="00000000" w:rsidRDefault="00000000" w:rsidRPr="00000000" w14:paraId="00000181">
      <w:pPr>
        <w:jc w:val="both"/>
        <w:rPr>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sz w:val="20"/>
          <w:szCs w:val="20"/>
          <w:rtl w:val="0"/>
        </w:rPr>
        <w:t xml:space="preserve">Está disposta na  Lei nº 4380/64 (arts. 44 a 53), funcionando como um título de renda fixa emitido por instituições financeiras, como bancos e sociedades de crédito imobiliário, com o objetivo de captar recursos para financiar o setor imobiliário. Na prática, é um instrumento de investimento em que o investidor "empresta" dinheiro a essas instituições em troca de uma remuneração (juros e, em alguns casos, correção monetária). com a evolução do mercado financeiro surgiram novos títulos lastreados em créditos imobiliários, como a Letra de Crédito Imobiliário (LCI) e, mais recentemente, a Letra Imobiliária Garantida (LIG).</w:t>
      </w:r>
    </w:p>
  </w:footnote>
  <w:footnote w:id="5">
    <w:p w:rsidR="00000000" w:rsidDel="00000000" w:rsidP="00000000" w:rsidRDefault="00000000" w:rsidRPr="00000000" w14:paraId="00000182">
      <w:pPr>
        <w:spacing w:line="276" w:lineRule="auto"/>
        <w:jc w:val="both"/>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O MEI surgiu como forma de oferecer uma alternativa simplificada para a formalização de trabalhadores autônomos e pequenos negócios que antes atuavam na informalidade. Sua criação é da Lei Complementar nº 128, de 19 de dezembro de 2008, que alterou a Lei Complementar nº 123, de 14 de dezembro de 2006, conhecida como a Lei Geral da Microempresa e da Empresa de Pequeno Porte. A alteração incluiu a figura do Microempreendedor Individual (MEI) como uma nova categoria jurídica e empresarial. </w:t>
      </w:r>
      <w:r w:rsidDel="00000000" w:rsidR="00000000" w:rsidRPr="00000000">
        <w:rPr>
          <w:rtl w:val="0"/>
        </w:rPr>
      </w:r>
    </w:p>
  </w:footnote>
  <w:footnote w:id="6">
    <w:p w:rsidR="00000000" w:rsidDel="00000000" w:rsidP="00000000" w:rsidRDefault="00000000" w:rsidRPr="00000000" w14:paraId="00000183">
      <w:pPr>
        <w:jc w:val="both"/>
        <w:rPr>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sz w:val="20"/>
          <w:szCs w:val="20"/>
          <w:rtl w:val="0"/>
        </w:rPr>
        <w:t xml:space="preserve">A PJE funciona como um nome fantasia ou um apelido para a Sociedade de Propósito Específico (SPE), que é estabelecida na Lei nº 10.406, DE 10 de janeiro de 2002. É uma empresa criada para um objetivo único </w:t>
      </w:r>
      <w:r w:rsidDel="00000000" w:rsidR="00000000" w:rsidRPr="00000000">
        <w:rPr>
          <w:sz w:val="18"/>
          <w:szCs w:val="18"/>
          <w:rtl w:val="0"/>
        </w:rPr>
        <w:t xml:space="preserve">e com prazo determinado, como a realização de um projeto. Sua finalidade é isolar riscos e unir esforços de diferentes empresas para um empreendimento específico. Ao final do projeto, a SPE é dissolvida, cumprindo seu propósito inicial.</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364807</wp:posOffset>
          </wp:positionH>
          <wp:positionV relativeFrom="paragraph">
            <wp:posOffset>172085</wp:posOffset>
          </wp:positionV>
          <wp:extent cx="4670425" cy="1297305"/>
          <wp:effectExtent b="0" l="0" r="0" t="0"/>
          <wp:wrapSquare wrapText="bothSides" distB="0" distT="0" distL="114300" distR="11430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670425" cy="12973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Pr>
  </w:style>
  <w:style w:type="table" w:styleId="Table3">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4.jpg"/><Relationship Id="rId10" Type="http://schemas.openxmlformats.org/officeDocument/2006/relationships/image" Target="media/image2.jpg"/><Relationship Id="rId21" Type="http://schemas.openxmlformats.org/officeDocument/2006/relationships/footer" Target="footer1.xml"/><Relationship Id="rId13" Type="http://schemas.openxmlformats.org/officeDocument/2006/relationships/image" Target="media/image7.jp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jpg"/><Relationship Id="rId15" Type="http://schemas.openxmlformats.org/officeDocument/2006/relationships/hyperlink" Target="https://leismunicipais.com.br/a1/rj/c/campos-dos-goytacazes/lei-ordinaria/2007/797/7974/lei-ordinaria-n-7974-2007-institui-a-lei-de-uso-e-ocupacao-do-solo-urbano-do-municipio-de-campos-dos-goytacazes?utm_source=chatgpt.com" TargetMode="External"/><Relationship Id="rId14" Type="http://schemas.openxmlformats.org/officeDocument/2006/relationships/hyperlink" Target="https://leismunicipais.com.br/a1/rj/c/campos-dos-goytacazes/lei-ordinaria/2007/797/7974/lei-ordinaria-n-7974-2007-institui-a-lei-de-uso-e-ocupacao-do-solo-urbano-do-municipio-de-campos-dos-goytacazes?utm_source=chatgpt.com" TargetMode="External"/><Relationship Id="rId17" Type="http://schemas.openxmlformats.org/officeDocument/2006/relationships/hyperlink" Target="https://www.scielo.br/j/cm/a/wnqNTmk8zCWNXp5x3pFRyYp/?format=pdf&amp;lang=pt" TargetMode="External"/><Relationship Id="rId16" Type="http://schemas.openxmlformats.org/officeDocument/2006/relationships/hyperlink" Target="https://doi.org/10.5418/RA2015.1116.0005" TargetMode="External"/><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hyperlink" Target="https://www.scielo.cl/scielo.php?script=sci_arttext&amp;pid=S0250-71612013000300002" TargetMode="External"/><Relationship Id="rId7" Type="http://schemas.openxmlformats.org/officeDocument/2006/relationships/image" Target="media/image3.jpg"/><Relationship Id="rId8" Type="http://schemas.openxmlformats.org/officeDocument/2006/relationships/hyperlink" Target="https://www.robertomoraes.com.br/2010/04/mapa-do-zoneamento-urbano-de-campos.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legislacao.planalto.gov.br/legisla/legislacao.nsf/Viw_Identificacao/DEL%202.291-1986?OpenDocu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