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14C" w:rsidRDefault="005A314C" w:rsidP="004739E0">
      <w:pPr>
        <w:shd w:val="clear" w:color="auto" w:fill="FFFFFF"/>
        <w:spacing w:line="360" w:lineRule="auto"/>
        <w:ind w:left="357"/>
        <w:rPr>
          <w:rFonts w:ascii="Arial" w:hAnsi="Arial" w:cs="Arial"/>
          <w:color w:val="212529"/>
          <w:sz w:val="18"/>
          <w:szCs w:val="18"/>
        </w:rPr>
      </w:pPr>
    </w:p>
    <w:p w:rsidR="005A314C" w:rsidRDefault="005A314C" w:rsidP="004739E0">
      <w:pPr>
        <w:shd w:val="clear" w:color="auto" w:fill="FFFFFF"/>
        <w:spacing w:line="360" w:lineRule="auto"/>
        <w:ind w:left="357"/>
        <w:rPr>
          <w:rFonts w:ascii="Arial" w:hAnsi="Arial" w:cs="Arial"/>
          <w:color w:val="212529"/>
          <w:sz w:val="18"/>
          <w:szCs w:val="18"/>
        </w:rPr>
      </w:pPr>
    </w:p>
    <w:p w:rsidR="005A314C" w:rsidRDefault="005A314C" w:rsidP="004739E0">
      <w:pPr>
        <w:shd w:val="clear" w:color="auto" w:fill="FFFFFF"/>
        <w:spacing w:line="360" w:lineRule="auto"/>
        <w:ind w:left="357"/>
        <w:rPr>
          <w:rFonts w:ascii="Arial" w:hAnsi="Arial" w:cs="Arial"/>
          <w:color w:val="212529"/>
          <w:sz w:val="18"/>
          <w:szCs w:val="18"/>
        </w:rPr>
      </w:pPr>
    </w:p>
    <w:p w:rsidR="000414E8" w:rsidRPr="004739E0" w:rsidRDefault="000414E8" w:rsidP="00136A83">
      <w:pPr>
        <w:pStyle w:val="IDpaper-Title"/>
        <w:widowControl/>
        <w:spacing w:line="360" w:lineRule="auto"/>
        <w:ind w:left="0"/>
        <w:rPr>
          <w:rFonts w:cs="Arial"/>
          <w:sz w:val="18"/>
          <w:lang w:val="pt-BR"/>
        </w:rPr>
      </w:pPr>
    </w:p>
    <w:p w:rsidR="005E648F" w:rsidRDefault="001C7D2F" w:rsidP="00CA0BDD">
      <w:pPr>
        <w:pStyle w:val="NormalWeb"/>
        <w:shd w:val="clear" w:color="auto" w:fill="FAFAFA"/>
        <w:jc w:val="both"/>
        <w:rPr>
          <w:rFonts w:ascii="Arial" w:hAnsi="Arial" w:cs="Arial"/>
          <w:b/>
          <w:bCs/>
        </w:rPr>
      </w:pPr>
      <w:bookmarkStart w:id="0" w:name="_Hlk120915664"/>
      <w:r w:rsidRPr="001C7D2F">
        <w:rPr>
          <w:rFonts w:ascii="Arial" w:hAnsi="Arial" w:cs="Arial"/>
          <w:b/>
        </w:rPr>
        <w:t xml:space="preserve">Eixo Temático: </w:t>
      </w:r>
      <w:r w:rsidRPr="001C7D2F">
        <w:rPr>
          <w:rFonts w:ascii="Arial" w:hAnsi="Arial" w:cs="Arial"/>
          <w:b/>
          <w:bCs/>
        </w:rPr>
        <w:t xml:space="preserve">GT5 </w:t>
      </w:r>
      <w:r w:rsidRPr="001C7D2F">
        <w:rPr>
          <w:rFonts w:ascii="Arial" w:hAnsi="Arial" w:cs="Arial" w:hint="eastAsia"/>
          <w:b/>
          <w:bCs/>
        </w:rPr>
        <w:t>–</w:t>
      </w:r>
      <w:r w:rsidRPr="001C7D2F">
        <w:rPr>
          <w:rFonts w:ascii="Arial" w:hAnsi="Arial" w:cs="Arial"/>
          <w:b/>
          <w:bCs/>
        </w:rPr>
        <w:t xml:space="preserve"> Propostas de instrumentos para diagn</w:t>
      </w:r>
      <w:r w:rsidRPr="001C7D2F">
        <w:rPr>
          <w:rFonts w:ascii="Arial" w:hAnsi="Arial" w:cs="Arial" w:hint="eastAsia"/>
          <w:b/>
          <w:bCs/>
        </w:rPr>
        <w:t>ó</w:t>
      </w:r>
      <w:r w:rsidRPr="001C7D2F">
        <w:rPr>
          <w:rFonts w:ascii="Arial" w:hAnsi="Arial" w:cs="Arial"/>
          <w:b/>
          <w:bCs/>
        </w:rPr>
        <w:t>stico, metodologias e ferramentas de gest</w:t>
      </w:r>
      <w:r w:rsidRPr="001C7D2F">
        <w:rPr>
          <w:rFonts w:ascii="Arial" w:hAnsi="Arial" w:cs="Arial" w:hint="eastAsia"/>
          <w:b/>
          <w:bCs/>
        </w:rPr>
        <w:t>ã</w:t>
      </w:r>
      <w:r w:rsidRPr="001C7D2F">
        <w:rPr>
          <w:rFonts w:ascii="Arial" w:hAnsi="Arial" w:cs="Arial"/>
          <w:b/>
          <w:bCs/>
        </w:rPr>
        <w:t>o p</w:t>
      </w:r>
      <w:r w:rsidRPr="001C7D2F">
        <w:rPr>
          <w:rFonts w:ascii="Arial" w:hAnsi="Arial" w:cs="Arial" w:hint="eastAsia"/>
          <w:b/>
          <w:bCs/>
        </w:rPr>
        <w:t>ú</w:t>
      </w:r>
      <w:r w:rsidRPr="001C7D2F">
        <w:rPr>
          <w:rFonts w:ascii="Arial" w:hAnsi="Arial" w:cs="Arial"/>
          <w:b/>
          <w:bCs/>
        </w:rPr>
        <w:t>blica</w:t>
      </w:r>
      <w:bookmarkEnd w:id="0"/>
    </w:p>
    <w:p w:rsidR="00CA0BDD" w:rsidRPr="00CA0BDD" w:rsidRDefault="00CA0BDD" w:rsidP="00CA0BDD">
      <w:pPr>
        <w:pStyle w:val="NormalWeb"/>
        <w:shd w:val="clear" w:color="auto" w:fill="FAFAFA"/>
        <w:jc w:val="both"/>
        <w:rPr>
          <w:rFonts w:ascii="Arial" w:hAnsi="Arial" w:cs="Arial"/>
          <w:b/>
        </w:rPr>
      </w:pPr>
    </w:p>
    <w:p w:rsidR="00062C9D" w:rsidRDefault="00123566" w:rsidP="00CA0BDD">
      <w:pPr>
        <w:jc w:val="center"/>
        <w:rPr>
          <w:rFonts w:ascii="Arial" w:hAnsi="Arial" w:cs="Arial"/>
          <w:b/>
          <w:sz w:val="28"/>
          <w:szCs w:val="28"/>
          <w:lang w:val="en-US"/>
        </w:rPr>
      </w:pPr>
      <w:r>
        <w:rPr>
          <w:rFonts w:ascii="Arial" w:hAnsi="Arial" w:cs="Arial"/>
          <w:b/>
          <w:sz w:val="28"/>
          <w:szCs w:val="28"/>
          <w:lang w:val="en-US"/>
        </w:rPr>
        <w:t xml:space="preserve">INDICADORES SOCIOECONÔMICOS DO TERRITÓRIO DE ITAPERUNA: UM DIAGNÓSTICO </w:t>
      </w:r>
      <w:r w:rsidR="005D6482">
        <w:rPr>
          <w:rFonts w:ascii="Arial" w:hAnsi="Arial" w:cs="Arial"/>
          <w:b/>
          <w:sz w:val="28"/>
          <w:szCs w:val="28"/>
          <w:lang w:val="en-US"/>
        </w:rPr>
        <w:t xml:space="preserve">DO </w:t>
      </w:r>
      <w:r>
        <w:rPr>
          <w:rFonts w:ascii="Arial" w:hAnsi="Arial" w:cs="Arial"/>
          <w:b/>
          <w:sz w:val="28"/>
          <w:szCs w:val="28"/>
          <w:lang w:val="en-US"/>
        </w:rPr>
        <w:t>POLO</w:t>
      </w:r>
      <w:r w:rsidR="005D6482">
        <w:rPr>
          <w:rFonts w:ascii="Arial" w:hAnsi="Arial" w:cs="Arial"/>
          <w:b/>
          <w:sz w:val="28"/>
          <w:szCs w:val="28"/>
          <w:lang w:val="en-US"/>
        </w:rPr>
        <w:t xml:space="preserve"> REGIONAL</w:t>
      </w:r>
      <w:r w:rsidR="000949FC">
        <w:rPr>
          <w:rFonts w:ascii="Arial" w:hAnsi="Arial" w:cs="Arial"/>
          <w:b/>
          <w:sz w:val="28"/>
          <w:szCs w:val="28"/>
          <w:lang w:val="en-US"/>
        </w:rPr>
        <w:t xml:space="preserve"> DO NOROESTE DO ESTADO DO RIO DE JANEIRO</w:t>
      </w:r>
    </w:p>
    <w:p w:rsidR="00B12650" w:rsidRPr="004739E0" w:rsidRDefault="00B12650" w:rsidP="004739E0">
      <w:pPr>
        <w:pStyle w:val="IDpaper-TitleEnglish"/>
        <w:widowControl/>
        <w:spacing w:after="0" w:line="360" w:lineRule="auto"/>
        <w:ind w:left="0"/>
        <w:jc w:val="center"/>
        <w:rPr>
          <w:rFonts w:cs="Arial"/>
          <w:szCs w:val="24"/>
          <w:lang w:val="pt-BR"/>
        </w:rPr>
      </w:pPr>
    </w:p>
    <w:p w:rsidR="00B12650" w:rsidRPr="00D10589" w:rsidRDefault="00123566" w:rsidP="00D10589">
      <w:pPr>
        <w:pStyle w:val="IDpaper-Title"/>
        <w:widowControl/>
        <w:spacing w:line="360" w:lineRule="auto"/>
        <w:ind w:left="0"/>
        <w:jc w:val="center"/>
        <w:rPr>
          <w:rFonts w:cs="Arial"/>
          <w:b w:val="0"/>
          <w:bCs/>
          <w:i/>
          <w:iCs/>
          <w:szCs w:val="28"/>
          <w:lang w:val="pt-BR"/>
        </w:rPr>
      </w:pPr>
      <w:bookmarkStart w:id="1" w:name="_Hlk131925215"/>
      <w:r>
        <w:rPr>
          <w:rFonts w:cs="Arial"/>
          <w:b w:val="0"/>
          <w:bCs/>
          <w:i/>
          <w:iCs/>
          <w:szCs w:val="28"/>
          <w:lang w:val="pt-BR"/>
        </w:rPr>
        <w:t>SOCIOECONOMIC INDICATORS OF THE TERRITORY OF ITAPE</w:t>
      </w:r>
      <w:r w:rsidR="000949FC">
        <w:rPr>
          <w:rFonts w:cs="Arial"/>
          <w:b w:val="0"/>
          <w:bCs/>
          <w:i/>
          <w:iCs/>
          <w:szCs w:val="28"/>
          <w:lang w:val="pt-BR"/>
        </w:rPr>
        <w:t>RUNA: A DIAGNOSIS</w:t>
      </w:r>
      <w:r>
        <w:rPr>
          <w:rFonts w:cs="Arial"/>
          <w:b w:val="0"/>
          <w:bCs/>
          <w:i/>
          <w:iCs/>
          <w:szCs w:val="28"/>
          <w:lang w:val="pt-BR"/>
        </w:rPr>
        <w:t xml:space="preserve"> OF THE </w:t>
      </w:r>
      <w:r w:rsidR="000949FC">
        <w:rPr>
          <w:rFonts w:cs="Arial"/>
          <w:b w:val="0"/>
          <w:bCs/>
          <w:i/>
          <w:iCs/>
          <w:szCs w:val="28"/>
          <w:lang w:val="pt-BR"/>
        </w:rPr>
        <w:t>REGIONAL POLE OF THE NORTHWEST</w:t>
      </w:r>
      <w:r>
        <w:rPr>
          <w:rFonts w:cs="Arial"/>
          <w:b w:val="0"/>
          <w:bCs/>
          <w:i/>
          <w:iCs/>
          <w:szCs w:val="28"/>
          <w:lang w:val="pt-BR"/>
        </w:rPr>
        <w:t xml:space="preserve"> OF</w:t>
      </w:r>
      <w:r w:rsidR="000949FC">
        <w:rPr>
          <w:rFonts w:cs="Arial"/>
          <w:b w:val="0"/>
          <w:bCs/>
          <w:i/>
          <w:iCs/>
          <w:szCs w:val="28"/>
          <w:lang w:val="pt-BR"/>
        </w:rPr>
        <w:t xml:space="preserve"> THE STATE OF RIO DE JANEIRO</w:t>
      </w:r>
    </w:p>
    <w:bookmarkEnd w:id="1"/>
    <w:p w:rsidR="00D12011" w:rsidRPr="004739E0" w:rsidRDefault="00D12011" w:rsidP="004739E0">
      <w:pPr>
        <w:pStyle w:val="IDpaper-TitleEnglish"/>
        <w:widowControl/>
        <w:spacing w:after="0" w:line="360" w:lineRule="auto"/>
        <w:jc w:val="center"/>
        <w:rPr>
          <w:rFonts w:cs="Arial"/>
          <w:sz w:val="20"/>
          <w:lang w:val="pt-BR"/>
        </w:rPr>
      </w:pPr>
    </w:p>
    <w:p w:rsidR="00D12011" w:rsidRPr="00D10589" w:rsidRDefault="00123566" w:rsidP="00D12011">
      <w:pPr>
        <w:widowControl w:val="0"/>
        <w:shd w:val="clear" w:color="auto" w:fill="FFFFFF"/>
        <w:tabs>
          <w:tab w:val="left" w:pos="709"/>
          <w:tab w:val="left" w:pos="3119"/>
          <w:tab w:val="left" w:pos="5812"/>
        </w:tabs>
        <w:spacing w:line="276" w:lineRule="auto"/>
        <w:jc w:val="right"/>
        <w:outlineLvl w:val="0"/>
        <w:rPr>
          <w:rFonts w:ascii="Arial" w:hAnsi="Arial" w:cs="Arial"/>
          <w:sz w:val="18"/>
          <w:szCs w:val="18"/>
        </w:rPr>
      </w:pPr>
      <w:r w:rsidRPr="00D10589">
        <w:rPr>
          <w:rFonts w:ascii="Arial" w:hAnsi="Arial" w:cs="Arial"/>
          <w:sz w:val="18"/>
          <w:szCs w:val="18"/>
        </w:rPr>
        <w:t>Juan Carlos dos Santos Galante</w:t>
      </w:r>
      <w:r w:rsidR="00D12011" w:rsidRPr="00D10589">
        <w:rPr>
          <w:rStyle w:val="FootnoteReference"/>
          <w:rFonts w:ascii="Arial" w:hAnsi="Arial" w:cs="Arial"/>
          <w:sz w:val="18"/>
          <w:szCs w:val="18"/>
        </w:rPr>
        <w:footnoteReference w:id="1"/>
      </w:r>
    </w:p>
    <w:p w:rsidR="00D12011" w:rsidRPr="00D10589" w:rsidRDefault="00154070" w:rsidP="00D12011">
      <w:pPr>
        <w:widowControl w:val="0"/>
        <w:shd w:val="clear" w:color="auto" w:fill="FFFFFF"/>
        <w:tabs>
          <w:tab w:val="left" w:pos="709"/>
          <w:tab w:val="left" w:pos="3119"/>
          <w:tab w:val="left" w:pos="5812"/>
        </w:tabs>
        <w:spacing w:line="276" w:lineRule="auto"/>
        <w:jc w:val="right"/>
        <w:outlineLvl w:val="0"/>
        <w:rPr>
          <w:rFonts w:ascii="Arial" w:hAnsi="Arial" w:cs="Arial"/>
          <w:sz w:val="18"/>
          <w:szCs w:val="18"/>
        </w:rPr>
      </w:pPr>
      <w:r>
        <w:rPr>
          <w:rFonts w:ascii="Arial" w:hAnsi="Arial" w:cs="Arial"/>
          <w:sz w:val="18"/>
          <w:szCs w:val="18"/>
        </w:rPr>
        <w:t>Rodrigo Anido Lira</w:t>
      </w:r>
      <w:r w:rsidR="00D12011" w:rsidRPr="00D10589">
        <w:rPr>
          <w:rStyle w:val="FootnoteReference"/>
          <w:rFonts w:ascii="Arial" w:hAnsi="Arial" w:cs="Arial"/>
          <w:sz w:val="18"/>
          <w:szCs w:val="18"/>
        </w:rPr>
        <w:footnoteReference w:id="2"/>
      </w:r>
    </w:p>
    <w:p w:rsidR="00062C9D" w:rsidRPr="00D10589" w:rsidRDefault="00062C9D" w:rsidP="00D12011">
      <w:pPr>
        <w:widowControl w:val="0"/>
        <w:shd w:val="clear" w:color="auto" w:fill="FFFFFF"/>
        <w:tabs>
          <w:tab w:val="left" w:pos="709"/>
          <w:tab w:val="left" w:pos="3119"/>
          <w:tab w:val="left" w:pos="5812"/>
        </w:tabs>
        <w:spacing w:line="276" w:lineRule="auto"/>
        <w:jc w:val="right"/>
        <w:outlineLvl w:val="0"/>
        <w:rPr>
          <w:rFonts w:ascii="Arial" w:hAnsi="Arial" w:cs="Arial"/>
          <w:sz w:val="18"/>
          <w:szCs w:val="18"/>
        </w:rPr>
      </w:pPr>
      <w:r w:rsidRPr="00D10589">
        <w:rPr>
          <w:rFonts w:ascii="Arial" w:hAnsi="Arial" w:cs="Arial"/>
          <w:sz w:val="18"/>
          <w:szCs w:val="18"/>
        </w:rPr>
        <w:tab/>
      </w:r>
      <w:r w:rsidR="00154070">
        <w:rPr>
          <w:rFonts w:ascii="Arial" w:hAnsi="Arial" w:cs="Arial"/>
          <w:sz w:val="18"/>
          <w:szCs w:val="18"/>
        </w:rPr>
        <w:t>Romeu e Silva Neto</w:t>
      </w:r>
      <w:r w:rsidRPr="00D10589">
        <w:rPr>
          <w:rStyle w:val="FootnoteReference"/>
          <w:rFonts w:ascii="Arial" w:hAnsi="Arial" w:cs="Arial"/>
          <w:sz w:val="18"/>
          <w:szCs w:val="18"/>
        </w:rPr>
        <w:footnoteReference w:id="3"/>
      </w:r>
    </w:p>
    <w:p w:rsidR="00A80B40" w:rsidRDefault="00A80B40" w:rsidP="000949FC">
      <w:pPr>
        <w:widowControl w:val="0"/>
        <w:shd w:val="clear" w:color="auto" w:fill="FFFFFF"/>
        <w:tabs>
          <w:tab w:val="left" w:pos="709"/>
          <w:tab w:val="left" w:pos="3119"/>
          <w:tab w:val="left" w:pos="5812"/>
        </w:tabs>
        <w:spacing w:line="276" w:lineRule="auto"/>
        <w:jc w:val="right"/>
        <w:outlineLvl w:val="0"/>
        <w:rPr>
          <w:rFonts w:ascii="Arial" w:hAnsi="Arial" w:cs="Arial"/>
          <w:color w:val="FF0000"/>
          <w:sz w:val="18"/>
          <w:szCs w:val="18"/>
        </w:rPr>
      </w:pPr>
    </w:p>
    <w:p w:rsidR="00506622" w:rsidRDefault="00D12011" w:rsidP="000949FC">
      <w:pPr>
        <w:widowControl w:val="0"/>
        <w:shd w:val="clear" w:color="auto" w:fill="FFFFFF"/>
        <w:tabs>
          <w:tab w:val="left" w:pos="709"/>
          <w:tab w:val="left" w:pos="3119"/>
          <w:tab w:val="left" w:pos="5812"/>
        </w:tabs>
        <w:spacing w:line="276" w:lineRule="auto"/>
        <w:jc w:val="right"/>
        <w:outlineLvl w:val="0"/>
        <w:rPr>
          <w:rFonts w:ascii="Arial" w:hAnsi="Arial" w:cs="Arial"/>
          <w:color w:val="FF0000"/>
          <w:sz w:val="18"/>
          <w:szCs w:val="18"/>
        </w:rPr>
      </w:pPr>
      <w:r>
        <w:rPr>
          <w:rFonts w:ascii="Arial" w:hAnsi="Arial" w:cs="Arial"/>
          <w:color w:val="FF0000"/>
          <w:sz w:val="18"/>
          <w:szCs w:val="18"/>
        </w:rPr>
        <w:t>...</w:t>
      </w:r>
    </w:p>
    <w:p w:rsidR="00D12011"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rsidR="00D12011" w:rsidRPr="004739E0"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rsidR="00BC20F8" w:rsidRPr="000949FC" w:rsidRDefault="00506622" w:rsidP="009E2AAF">
      <w:pPr>
        <w:autoSpaceDE w:val="0"/>
        <w:autoSpaceDN w:val="0"/>
        <w:adjustRightInd w:val="0"/>
        <w:spacing w:line="276" w:lineRule="auto"/>
        <w:jc w:val="both"/>
        <w:rPr>
          <w:rFonts w:ascii="Arial" w:hAnsi="Arial" w:cs="Arial"/>
          <w:b/>
          <w:sz w:val="20"/>
          <w:szCs w:val="20"/>
        </w:rPr>
      </w:pPr>
      <w:r w:rsidRPr="00220D27">
        <w:rPr>
          <w:rFonts w:ascii="Arial" w:hAnsi="Arial" w:cs="Arial"/>
          <w:b/>
          <w:sz w:val="20"/>
          <w:szCs w:val="20"/>
        </w:rPr>
        <w:t>RESUMO</w:t>
      </w:r>
      <w:r w:rsidR="000949FC">
        <w:rPr>
          <w:rFonts w:ascii="Arial" w:hAnsi="Arial" w:cs="Arial"/>
          <w:b/>
          <w:sz w:val="20"/>
          <w:szCs w:val="20"/>
        </w:rPr>
        <w:t xml:space="preserve">: </w:t>
      </w:r>
      <w:r w:rsidR="000949FC" w:rsidRPr="00D91F18">
        <w:rPr>
          <w:rFonts w:ascii="Arial" w:hAnsi="Arial" w:cs="Arial"/>
          <w:sz w:val="20"/>
          <w:szCs w:val="20"/>
          <w:lang w:val="en-US"/>
        </w:rPr>
        <w:t>Trata-se de um estudo bibliográfico sobre o desempenho socioeconômico de Itaperuna, no Noro</w:t>
      </w:r>
      <w:r w:rsidR="000949FC">
        <w:rPr>
          <w:rFonts w:ascii="Arial" w:hAnsi="Arial" w:cs="Arial"/>
          <w:sz w:val="20"/>
          <w:szCs w:val="20"/>
          <w:lang w:val="en-US"/>
        </w:rPr>
        <w:t>este Fluminense</w:t>
      </w:r>
      <w:r w:rsidR="000949FC" w:rsidRPr="00D91F18">
        <w:rPr>
          <w:rFonts w:ascii="Arial" w:hAnsi="Arial" w:cs="Arial"/>
          <w:sz w:val="20"/>
          <w:szCs w:val="20"/>
          <w:lang w:val="en-US"/>
        </w:rPr>
        <w:t>, quanto à performance do território em relação aos seguintes indicadores sintéticos: Índice Firjan de Desenvolvimento Municipal (IFDM), Índice de D</w:t>
      </w:r>
      <w:r w:rsidR="00154070">
        <w:rPr>
          <w:rFonts w:ascii="Arial" w:hAnsi="Arial" w:cs="Arial"/>
          <w:sz w:val="20"/>
          <w:szCs w:val="20"/>
          <w:lang w:val="en-US"/>
        </w:rPr>
        <w:t xml:space="preserve">esenvolvimento Humano (IDH) e </w:t>
      </w:r>
      <w:r w:rsidR="000949FC" w:rsidRPr="00D91F18">
        <w:rPr>
          <w:rFonts w:ascii="Arial" w:hAnsi="Arial" w:cs="Arial"/>
          <w:sz w:val="20"/>
          <w:szCs w:val="20"/>
          <w:lang w:val="en-US"/>
        </w:rPr>
        <w:t xml:space="preserve">Índice de Vulnerabilidade Social (IVS). </w:t>
      </w:r>
      <w:r w:rsidR="000949FC" w:rsidRPr="00C32CCC">
        <w:rPr>
          <w:rFonts w:ascii="Arial" w:hAnsi="Arial" w:cs="Arial"/>
          <w:sz w:val="20"/>
          <w:szCs w:val="20"/>
          <w:lang w:val="en-US"/>
        </w:rPr>
        <w:t>O objetivo deste artigo é o de demon</w:t>
      </w:r>
      <w:r w:rsidR="00E86F8F">
        <w:rPr>
          <w:rFonts w:ascii="Arial" w:hAnsi="Arial" w:cs="Arial"/>
          <w:sz w:val="20"/>
          <w:szCs w:val="20"/>
          <w:lang w:val="en-US"/>
        </w:rPr>
        <w:t xml:space="preserve">strar </w:t>
      </w:r>
      <w:proofErr w:type="gramStart"/>
      <w:r w:rsidR="00E86F8F">
        <w:rPr>
          <w:rFonts w:ascii="Arial" w:hAnsi="Arial" w:cs="Arial"/>
          <w:sz w:val="20"/>
          <w:szCs w:val="20"/>
          <w:lang w:val="en-US"/>
        </w:rPr>
        <w:t>a</w:t>
      </w:r>
      <w:proofErr w:type="gramEnd"/>
      <w:r w:rsidR="00E86F8F">
        <w:rPr>
          <w:rFonts w:ascii="Arial" w:hAnsi="Arial" w:cs="Arial"/>
          <w:sz w:val="20"/>
          <w:szCs w:val="20"/>
          <w:lang w:val="en-US"/>
        </w:rPr>
        <w:t xml:space="preserve"> importância do uso dest</w:t>
      </w:r>
      <w:r w:rsidR="000949FC" w:rsidRPr="00C32CCC">
        <w:rPr>
          <w:rFonts w:ascii="Arial" w:hAnsi="Arial" w:cs="Arial"/>
          <w:sz w:val="20"/>
          <w:szCs w:val="20"/>
          <w:lang w:val="en-US"/>
        </w:rPr>
        <w:t>es índices para diagnosticar e propor inte</w:t>
      </w:r>
      <w:r w:rsidR="000949FC">
        <w:rPr>
          <w:rFonts w:ascii="Arial" w:hAnsi="Arial" w:cs="Arial"/>
          <w:sz w:val="20"/>
          <w:szCs w:val="20"/>
          <w:lang w:val="en-US"/>
        </w:rPr>
        <w:t>r</w:t>
      </w:r>
      <w:r w:rsidR="000949FC" w:rsidRPr="00C32CCC">
        <w:rPr>
          <w:rFonts w:ascii="Arial" w:hAnsi="Arial" w:cs="Arial"/>
          <w:sz w:val="20"/>
          <w:szCs w:val="20"/>
          <w:lang w:val="en-US"/>
        </w:rPr>
        <w:t>venções nas á</w:t>
      </w:r>
      <w:r w:rsidR="000949FC">
        <w:rPr>
          <w:rFonts w:ascii="Arial" w:hAnsi="Arial" w:cs="Arial"/>
          <w:sz w:val="20"/>
          <w:szCs w:val="20"/>
          <w:lang w:val="en-US"/>
        </w:rPr>
        <w:t xml:space="preserve">reas onde </w:t>
      </w:r>
      <w:r w:rsidR="000949FC" w:rsidRPr="00C32CCC">
        <w:rPr>
          <w:rFonts w:ascii="Arial" w:hAnsi="Arial" w:cs="Arial"/>
          <w:sz w:val="20"/>
          <w:szCs w:val="20"/>
          <w:lang w:val="en-US"/>
        </w:rPr>
        <w:t>precisa melhorar</w:t>
      </w:r>
      <w:r w:rsidR="000949FC" w:rsidRPr="00D91F18">
        <w:rPr>
          <w:rFonts w:ascii="Arial" w:hAnsi="Arial" w:cs="Arial"/>
          <w:sz w:val="20"/>
          <w:szCs w:val="20"/>
          <w:lang w:val="en-US"/>
        </w:rPr>
        <w:t xml:space="preserve">. Isto feito a partir de um recorte </w:t>
      </w:r>
      <w:r w:rsidR="000949FC" w:rsidRPr="00093F60">
        <w:rPr>
          <w:rFonts w:ascii="Arial" w:hAnsi="Arial" w:cs="Arial"/>
          <w:sz w:val="20"/>
          <w:szCs w:val="20"/>
          <w:lang w:val="en-US"/>
        </w:rPr>
        <w:t xml:space="preserve">parcial </w:t>
      </w:r>
      <w:r w:rsidR="00E86F8F">
        <w:rPr>
          <w:rFonts w:ascii="Arial" w:hAnsi="Arial" w:cs="Arial"/>
          <w:sz w:val="20"/>
          <w:szCs w:val="20"/>
          <w:lang w:val="en-US"/>
        </w:rPr>
        <w:t>da realidade daquele</w:t>
      </w:r>
      <w:r w:rsidR="000949FC" w:rsidRPr="00D91F18">
        <w:rPr>
          <w:rFonts w:ascii="Arial" w:hAnsi="Arial" w:cs="Arial"/>
          <w:sz w:val="20"/>
          <w:szCs w:val="20"/>
          <w:lang w:val="en-US"/>
        </w:rPr>
        <w:t xml:space="preserve"> município, </w:t>
      </w:r>
      <w:r w:rsidR="007F2704">
        <w:rPr>
          <w:rFonts w:ascii="Arial" w:hAnsi="Arial" w:cs="Arial"/>
          <w:sz w:val="20"/>
          <w:szCs w:val="20"/>
          <w:lang w:val="en-US"/>
        </w:rPr>
        <w:t xml:space="preserve">mostrando seu desempenho </w:t>
      </w:r>
      <w:proofErr w:type="gramStart"/>
      <w:r w:rsidR="007F2704">
        <w:rPr>
          <w:rFonts w:ascii="Arial" w:hAnsi="Arial" w:cs="Arial"/>
          <w:sz w:val="20"/>
          <w:szCs w:val="20"/>
          <w:lang w:val="en-US"/>
        </w:rPr>
        <w:t>como</w:t>
      </w:r>
      <w:proofErr w:type="gramEnd"/>
      <w:r w:rsidR="007F2704">
        <w:rPr>
          <w:rFonts w:ascii="Arial" w:hAnsi="Arial" w:cs="Arial"/>
          <w:sz w:val="20"/>
          <w:szCs w:val="20"/>
          <w:lang w:val="en-US"/>
        </w:rPr>
        <w:t xml:space="preserve"> </w:t>
      </w:r>
      <w:r w:rsidR="000949FC" w:rsidRPr="007D69FF">
        <w:rPr>
          <w:rFonts w:ascii="Arial" w:hAnsi="Arial" w:cs="Arial"/>
          <w:sz w:val="20"/>
          <w:szCs w:val="20"/>
          <w:lang w:val="en-US"/>
        </w:rPr>
        <w:t>polo regional</w:t>
      </w:r>
      <w:r w:rsidR="000949FC" w:rsidRPr="00D91F18">
        <w:rPr>
          <w:rFonts w:ascii="Arial" w:hAnsi="Arial" w:cs="Arial"/>
          <w:sz w:val="20"/>
          <w:szCs w:val="20"/>
          <w:lang w:val="en-US"/>
        </w:rPr>
        <w:t xml:space="preserve"> e a sua expressividade alcançada </w:t>
      </w:r>
      <w:r w:rsidR="000949FC" w:rsidRPr="007D69FF">
        <w:rPr>
          <w:rFonts w:ascii="Arial" w:hAnsi="Arial" w:cs="Arial"/>
          <w:sz w:val="20"/>
          <w:szCs w:val="20"/>
          <w:lang w:val="en-US"/>
        </w:rPr>
        <w:t>em relação ao Estado do Rio de Janeiro</w:t>
      </w:r>
      <w:r w:rsidR="000949FC" w:rsidRPr="00D91F18">
        <w:rPr>
          <w:rFonts w:ascii="Arial" w:hAnsi="Arial" w:cs="Arial"/>
          <w:sz w:val="20"/>
          <w:szCs w:val="20"/>
          <w:lang w:val="en-US"/>
        </w:rPr>
        <w:t xml:space="preserve">. Itaperuna possui uma economia baseada </w:t>
      </w:r>
      <w:proofErr w:type="gramStart"/>
      <w:r w:rsidR="000949FC" w:rsidRPr="00D91F18">
        <w:rPr>
          <w:rFonts w:ascii="Arial" w:hAnsi="Arial" w:cs="Arial"/>
          <w:sz w:val="20"/>
          <w:szCs w:val="20"/>
          <w:lang w:val="en-US"/>
        </w:rPr>
        <w:t>na</w:t>
      </w:r>
      <w:proofErr w:type="gramEnd"/>
      <w:r w:rsidR="000949FC" w:rsidRPr="00D91F18">
        <w:rPr>
          <w:rFonts w:ascii="Arial" w:hAnsi="Arial" w:cs="Arial"/>
          <w:sz w:val="20"/>
          <w:szCs w:val="20"/>
          <w:lang w:val="en-US"/>
        </w:rPr>
        <w:t xml:space="preserve"> agropecuária, na indústria, no turismo e </w:t>
      </w:r>
      <w:r w:rsidR="000949FC">
        <w:rPr>
          <w:rFonts w:ascii="Arial" w:hAnsi="Arial" w:cs="Arial"/>
          <w:sz w:val="20"/>
          <w:szCs w:val="20"/>
          <w:lang w:val="en-US"/>
        </w:rPr>
        <w:t>destaca-s</w:t>
      </w:r>
      <w:r w:rsidR="000949FC" w:rsidRPr="00D91F18">
        <w:rPr>
          <w:rFonts w:ascii="Arial" w:hAnsi="Arial" w:cs="Arial"/>
          <w:sz w:val="20"/>
          <w:szCs w:val="20"/>
          <w:lang w:val="en-US"/>
        </w:rPr>
        <w:t xml:space="preserve">e na prestação de serviços. Metodologicamente são usados: artigos e os índices já relacionados, que espelham números sobre a educação, </w:t>
      </w:r>
      <w:r w:rsidR="00E86F8F">
        <w:rPr>
          <w:rFonts w:ascii="Arial" w:hAnsi="Arial" w:cs="Arial"/>
          <w:sz w:val="20"/>
          <w:szCs w:val="20"/>
          <w:lang w:val="en-US"/>
        </w:rPr>
        <w:t xml:space="preserve">a </w:t>
      </w:r>
      <w:r w:rsidR="000949FC" w:rsidRPr="00D91F18">
        <w:rPr>
          <w:rFonts w:ascii="Arial" w:hAnsi="Arial" w:cs="Arial"/>
          <w:sz w:val="20"/>
          <w:szCs w:val="20"/>
          <w:lang w:val="en-US"/>
        </w:rPr>
        <w:t xml:space="preserve">saúde e </w:t>
      </w:r>
      <w:r w:rsidR="00E86F8F">
        <w:rPr>
          <w:rFonts w:ascii="Arial" w:hAnsi="Arial" w:cs="Arial"/>
          <w:sz w:val="20"/>
          <w:szCs w:val="20"/>
          <w:lang w:val="en-US"/>
        </w:rPr>
        <w:t xml:space="preserve">o </w:t>
      </w:r>
      <w:r w:rsidR="000949FC" w:rsidRPr="00D91F18">
        <w:rPr>
          <w:rFonts w:ascii="Arial" w:hAnsi="Arial" w:cs="Arial"/>
          <w:sz w:val="20"/>
          <w:szCs w:val="20"/>
          <w:lang w:val="en-US"/>
        </w:rPr>
        <w:t>emprego, dentre outras variáveis; dados populacionais e socioeconômicos do Instituto Brasileiro de Geografia e Estatística (IBGE).</w:t>
      </w:r>
    </w:p>
    <w:p w:rsidR="000949FC" w:rsidRPr="004739E0" w:rsidRDefault="000949FC" w:rsidP="009E2AAF">
      <w:pPr>
        <w:autoSpaceDE w:val="0"/>
        <w:autoSpaceDN w:val="0"/>
        <w:adjustRightInd w:val="0"/>
        <w:spacing w:line="276" w:lineRule="auto"/>
        <w:jc w:val="both"/>
        <w:rPr>
          <w:rFonts w:ascii="Arial" w:hAnsi="Arial" w:cs="Arial"/>
          <w:b/>
          <w:sz w:val="18"/>
          <w:szCs w:val="18"/>
        </w:rPr>
      </w:pPr>
    </w:p>
    <w:p w:rsidR="00235886" w:rsidRPr="00D10589" w:rsidRDefault="00506622" w:rsidP="00D10589">
      <w:pPr>
        <w:spacing w:line="276" w:lineRule="auto"/>
        <w:jc w:val="both"/>
        <w:rPr>
          <w:rFonts w:ascii="Arial" w:hAnsi="Arial" w:cs="Arial"/>
          <w:sz w:val="18"/>
          <w:szCs w:val="18"/>
        </w:rPr>
      </w:pPr>
      <w:r w:rsidRPr="00136A83">
        <w:rPr>
          <w:rFonts w:ascii="Arial" w:hAnsi="Arial" w:cs="Arial"/>
          <w:b/>
          <w:sz w:val="20"/>
          <w:szCs w:val="20"/>
        </w:rPr>
        <w:t xml:space="preserve">PALAVRAS-CHAVE: </w:t>
      </w:r>
      <w:r w:rsidR="00BC20F8">
        <w:rPr>
          <w:rFonts w:ascii="Arial" w:hAnsi="Arial" w:cs="Arial"/>
          <w:sz w:val="20"/>
          <w:szCs w:val="20"/>
          <w:lang w:val="en-US"/>
        </w:rPr>
        <w:t>Indicadores</w:t>
      </w:r>
      <w:r w:rsidR="000949FC">
        <w:rPr>
          <w:rFonts w:ascii="Arial" w:hAnsi="Arial" w:cs="Arial"/>
          <w:sz w:val="20"/>
          <w:szCs w:val="20"/>
          <w:lang w:val="en-US"/>
        </w:rPr>
        <w:t xml:space="preserve">. </w:t>
      </w:r>
      <w:proofErr w:type="gramStart"/>
      <w:r w:rsidR="000949FC">
        <w:rPr>
          <w:rFonts w:ascii="Arial" w:hAnsi="Arial" w:cs="Arial"/>
          <w:sz w:val="20"/>
          <w:szCs w:val="20"/>
          <w:lang w:val="en-US"/>
        </w:rPr>
        <w:t>Região.</w:t>
      </w:r>
      <w:proofErr w:type="gramEnd"/>
      <w:r w:rsidR="000949FC">
        <w:rPr>
          <w:rFonts w:ascii="Arial" w:hAnsi="Arial" w:cs="Arial"/>
          <w:sz w:val="20"/>
          <w:szCs w:val="20"/>
          <w:lang w:val="en-US"/>
        </w:rPr>
        <w:t xml:space="preserve"> </w:t>
      </w:r>
      <w:proofErr w:type="gramStart"/>
      <w:r w:rsidR="00BC20F8" w:rsidRPr="00D91F18">
        <w:rPr>
          <w:rFonts w:ascii="Arial" w:hAnsi="Arial" w:cs="Arial"/>
          <w:sz w:val="20"/>
          <w:szCs w:val="20"/>
          <w:lang w:val="en-US"/>
        </w:rPr>
        <w:t>Território</w:t>
      </w:r>
      <w:r w:rsidR="000949FC">
        <w:rPr>
          <w:rFonts w:ascii="Arial" w:hAnsi="Arial" w:cs="Arial"/>
          <w:sz w:val="20"/>
          <w:szCs w:val="20"/>
        </w:rPr>
        <w:t>.</w:t>
      </w:r>
      <w:proofErr w:type="gramEnd"/>
    </w:p>
    <w:p w:rsidR="00CA0BDD" w:rsidRDefault="00CA0BDD" w:rsidP="00235886">
      <w:pPr>
        <w:pStyle w:val="IDpaper-Title"/>
        <w:spacing w:line="276" w:lineRule="auto"/>
        <w:ind w:left="0"/>
        <w:jc w:val="both"/>
        <w:rPr>
          <w:rFonts w:cs="Arial"/>
          <w:bCs/>
          <w:i/>
          <w:iCs/>
          <w:kern w:val="0"/>
          <w:sz w:val="20"/>
          <w:lang w:val="en-US" w:eastAsia="pt-BR"/>
        </w:rPr>
      </w:pPr>
    </w:p>
    <w:p w:rsidR="00CA0BDD" w:rsidRDefault="00CA0BDD" w:rsidP="00235886">
      <w:pPr>
        <w:pStyle w:val="IDpaper-Title"/>
        <w:spacing w:line="276" w:lineRule="auto"/>
        <w:ind w:left="0"/>
        <w:jc w:val="both"/>
        <w:rPr>
          <w:rFonts w:cs="Arial"/>
          <w:bCs/>
          <w:i/>
          <w:iCs/>
          <w:kern w:val="0"/>
          <w:sz w:val="20"/>
          <w:lang w:val="en-US" w:eastAsia="pt-BR"/>
        </w:rPr>
      </w:pPr>
    </w:p>
    <w:p w:rsidR="00CA0BDD" w:rsidRDefault="00CA0BDD" w:rsidP="00235886">
      <w:pPr>
        <w:pStyle w:val="IDpaper-Title"/>
        <w:spacing w:line="276" w:lineRule="auto"/>
        <w:ind w:left="0"/>
        <w:jc w:val="both"/>
        <w:rPr>
          <w:rFonts w:cs="Arial"/>
          <w:bCs/>
          <w:i/>
          <w:iCs/>
          <w:kern w:val="0"/>
          <w:sz w:val="20"/>
          <w:lang w:val="en-US" w:eastAsia="pt-BR"/>
        </w:rPr>
      </w:pPr>
    </w:p>
    <w:p w:rsidR="00235886" w:rsidRPr="00D10589" w:rsidRDefault="00B8206A" w:rsidP="00235886">
      <w:pPr>
        <w:pStyle w:val="IDpaper-Title"/>
        <w:spacing w:line="276" w:lineRule="auto"/>
        <w:ind w:left="0"/>
        <w:jc w:val="both"/>
        <w:rPr>
          <w:rStyle w:val="y2iqfc"/>
          <w:rFonts w:cs="Arial"/>
          <w:b w:val="0"/>
          <w:i/>
          <w:iCs/>
          <w:kern w:val="0"/>
          <w:sz w:val="20"/>
          <w:lang w:val="en-US" w:eastAsia="pt-BR"/>
        </w:rPr>
      </w:pPr>
      <w:r>
        <w:rPr>
          <w:rFonts w:cs="Arial"/>
          <w:bCs/>
          <w:i/>
          <w:iCs/>
          <w:kern w:val="0"/>
          <w:sz w:val="20"/>
          <w:lang w:val="en-US" w:eastAsia="pt-BR"/>
        </w:rPr>
        <w:lastRenderedPageBreak/>
        <w:t>ABSTRACT</w:t>
      </w:r>
      <w:r w:rsidR="00D10589">
        <w:rPr>
          <w:rFonts w:cs="Arial"/>
          <w:bCs/>
          <w:i/>
          <w:iCs/>
          <w:kern w:val="0"/>
          <w:sz w:val="20"/>
          <w:lang w:val="en-US" w:eastAsia="pt-BR"/>
        </w:rPr>
        <w:t xml:space="preserve">: </w:t>
      </w:r>
      <w:r w:rsidR="00D10589" w:rsidRPr="00D10589">
        <w:rPr>
          <w:rFonts w:cs="Arial"/>
          <w:b w:val="0"/>
          <w:i/>
          <w:sz w:val="20"/>
        </w:rPr>
        <w:t xml:space="preserve">This is a bibliographic study on the socioeconomic performance of Itaperuna, </w:t>
      </w:r>
      <w:r w:rsidR="00D10589" w:rsidRPr="00D10589">
        <w:rPr>
          <w:rStyle w:val="y2iqfc"/>
          <w:rFonts w:cs="Arial"/>
          <w:b w:val="0"/>
          <w:i/>
          <w:sz w:val="20"/>
        </w:rPr>
        <w:t>in the Northwest Flumin</w:t>
      </w:r>
      <w:r w:rsidR="00A80B40">
        <w:rPr>
          <w:rStyle w:val="y2iqfc"/>
          <w:rFonts w:cs="Arial"/>
          <w:b w:val="0"/>
          <w:i/>
          <w:sz w:val="20"/>
        </w:rPr>
        <w:t>ense, regarding the achievement of the territory</w:t>
      </w:r>
      <w:r w:rsidR="00D10589" w:rsidRPr="00D10589">
        <w:rPr>
          <w:rStyle w:val="y2iqfc"/>
          <w:rFonts w:cs="Arial"/>
          <w:b w:val="0"/>
          <w:i/>
          <w:sz w:val="20"/>
        </w:rPr>
        <w:t xml:space="preserve"> in relation to the following synthetic indicators: </w:t>
      </w:r>
      <w:r w:rsidR="00D10589" w:rsidRPr="00D10589">
        <w:rPr>
          <w:rStyle w:val="y2iqfc"/>
          <w:rFonts w:cs="Arial"/>
          <w:b w:val="0"/>
          <w:i/>
          <w:color w:val="1F1F1F"/>
          <w:sz w:val="20"/>
        </w:rPr>
        <w:t xml:space="preserve">Firjan Municipal Development Index (IFDM), Human Development </w:t>
      </w:r>
      <w:r w:rsidR="00154070">
        <w:rPr>
          <w:rStyle w:val="y2iqfc"/>
          <w:rFonts w:cs="Arial"/>
          <w:b w:val="0"/>
          <w:i/>
          <w:color w:val="1F1F1F"/>
          <w:sz w:val="20"/>
        </w:rPr>
        <w:t xml:space="preserve">Index (IDH) and </w:t>
      </w:r>
      <w:r w:rsidR="00D10589" w:rsidRPr="00D10589">
        <w:rPr>
          <w:rStyle w:val="y2iqfc"/>
          <w:rFonts w:cs="Arial"/>
          <w:b w:val="0"/>
          <w:i/>
          <w:color w:val="1F1F1F"/>
          <w:sz w:val="20"/>
        </w:rPr>
        <w:t>Social Vulnerability Index (IVS). The objective of this article is to demonstrate the importance of using these indexes to diagnose and propose interventions in areas where improvement is needed.</w:t>
      </w:r>
      <w:r w:rsidR="00D10589" w:rsidRPr="00D10589">
        <w:rPr>
          <w:rFonts w:ascii="inherit" w:hAnsi="inherit"/>
          <w:b w:val="0"/>
          <w:i/>
          <w:color w:val="1F1F1F"/>
          <w:sz w:val="20"/>
        </w:rPr>
        <w:t xml:space="preserve"> </w:t>
      </w:r>
      <w:r w:rsidR="00D10589" w:rsidRPr="00D10589">
        <w:rPr>
          <w:rStyle w:val="y2iqfc"/>
          <w:rFonts w:cs="Arial"/>
          <w:b w:val="0"/>
          <w:i/>
          <w:color w:val="1F1F1F"/>
          <w:sz w:val="20"/>
        </w:rPr>
        <w:t>Thi</w:t>
      </w:r>
      <w:r w:rsidR="00CD24B7">
        <w:rPr>
          <w:rStyle w:val="y2iqfc"/>
          <w:rFonts w:cs="Arial"/>
          <w:b w:val="0"/>
          <w:i/>
          <w:color w:val="1F1F1F"/>
          <w:sz w:val="20"/>
        </w:rPr>
        <w:t>s is done based on a partial analysis</w:t>
      </w:r>
      <w:r w:rsidR="00D10589" w:rsidRPr="00D10589">
        <w:rPr>
          <w:rStyle w:val="y2iqfc"/>
          <w:rFonts w:cs="Arial"/>
          <w:b w:val="0"/>
          <w:i/>
          <w:color w:val="1F1F1F"/>
          <w:sz w:val="20"/>
        </w:rPr>
        <w:t xml:space="preserve"> of t</w:t>
      </w:r>
      <w:r w:rsidR="00CD24B7">
        <w:rPr>
          <w:rStyle w:val="y2iqfc"/>
          <w:rFonts w:cs="Arial"/>
          <w:b w:val="0"/>
          <w:i/>
          <w:color w:val="1F1F1F"/>
          <w:sz w:val="20"/>
        </w:rPr>
        <w:t xml:space="preserve">he </w:t>
      </w:r>
      <w:r w:rsidR="00D10589" w:rsidRPr="00D10589">
        <w:rPr>
          <w:rStyle w:val="y2iqfc"/>
          <w:rFonts w:cs="Arial"/>
          <w:b w:val="0"/>
          <w:i/>
          <w:color w:val="1F1F1F"/>
          <w:sz w:val="20"/>
        </w:rPr>
        <w:t>reality</w:t>
      </w:r>
      <w:r w:rsidR="00CD24B7">
        <w:rPr>
          <w:rStyle w:val="y2iqfc"/>
          <w:rFonts w:cs="Arial"/>
          <w:b w:val="0"/>
          <w:i/>
          <w:color w:val="1F1F1F"/>
          <w:sz w:val="20"/>
        </w:rPr>
        <w:t xml:space="preserve"> of that municipality</w:t>
      </w:r>
      <w:r w:rsidR="00D10589" w:rsidRPr="00D10589">
        <w:rPr>
          <w:rStyle w:val="y2iqfc"/>
          <w:rFonts w:cs="Arial"/>
          <w:b w:val="0"/>
          <w:i/>
          <w:color w:val="1F1F1F"/>
          <w:sz w:val="20"/>
        </w:rPr>
        <w:t>,</w:t>
      </w:r>
      <w:r w:rsidR="00D10589" w:rsidRPr="00D10589">
        <w:rPr>
          <w:rFonts w:ascii="inherit" w:hAnsi="inherit"/>
          <w:b w:val="0"/>
          <w:i/>
          <w:color w:val="1F1F1F"/>
          <w:sz w:val="20"/>
        </w:rPr>
        <w:t xml:space="preserve"> </w:t>
      </w:r>
      <w:r w:rsidR="00CD24B7">
        <w:rPr>
          <w:rStyle w:val="y2iqfc"/>
          <w:rFonts w:cs="Arial"/>
          <w:b w:val="0"/>
          <w:i/>
          <w:color w:val="1F1F1F"/>
          <w:sz w:val="20"/>
        </w:rPr>
        <w:t>show</w:t>
      </w:r>
      <w:r w:rsidR="00D10589" w:rsidRPr="00D10589">
        <w:rPr>
          <w:rStyle w:val="y2iqfc"/>
          <w:rFonts w:cs="Arial"/>
          <w:b w:val="0"/>
          <w:i/>
          <w:color w:val="1F1F1F"/>
          <w:sz w:val="20"/>
        </w:rPr>
        <w:t>ing its</w:t>
      </w:r>
      <w:r w:rsidR="007F2704">
        <w:rPr>
          <w:rStyle w:val="y2iqfc"/>
          <w:rFonts w:cs="Arial"/>
          <w:b w:val="0"/>
          <w:i/>
          <w:color w:val="1F1F1F"/>
          <w:sz w:val="20"/>
        </w:rPr>
        <w:t xml:space="preserve"> performance as a regional hub </w:t>
      </w:r>
      <w:r w:rsidR="00D10589" w:rsidRPr="00D10589">
        <w:rPr>
          <w:rStyle w:val="y2iqfc"/>
          <w:rFonts w:cs="Arial"/>
          <w:b w:val="0"/>
          <w:i/>
          <w:color w:val="1F1F1F"/>
          <w:sz w:val="20"/>
        </w:rPr>
        <w:t>and its expressiveness achieved in relation to the State of Rio de Janeiro. Itaperuna has an economy based on agriculture and livestock, industry, tourism and stands out in the provision of services. Methodologically they are used: articles and the indexes already listed, which reflect numbers on education, health and employment, among other variables; population and socioeconomic data from the Brazilian Institute of Geography and Statistics (IBGE)</w:t>
      </w:r>
      <w:r w:rsidR="00D10589">
        <w:rPr>
          <w:rStyle w:val="y2iqfc"/>
          <w:rFonts w:cs="Arial"/>
          <w:b w:val="0"/>
          <w:i/>
          <w:color w:val="1F1F1F"/>
          <w:sz w:val="20"/>
        </w:rPr>
        <w:t>.</w:t>
      </w:r>
    </w:p>
    <w:p w:rsidR="00D10589" w:rsidRPr="00D10589" w:rsidRDefault="00D10589" w:rsidP="00235886">
      <w:pPr>
        <w:pStyle w:val="IDpaper-Title"/>
        <w:spacing w:line="276" w:lineRule="auto"/>
        <w:ind w:left="0"/>
        <w:jc w:val="both"/>
        <w:rPr>
          <w:rFonts w:cs="Arial"/>
          <w:b w:val="0"/>
          <w:i/>
          <w:iCs/>
          <w:kern w:val="0"/>
          <w:sz w:val="20"/>
          <w:lang w:eastAsia="pt-BR"/>
        </w:rPr>
      </w:pPr>
    </w:p>
    <w:p w:rsidR="00E53F1F" w:rsidRDefault="00235886" w:rsidP="00235886">
      <w:pPr>
        <w:pStyle w:val="IDpaper-Title"/>
        <w:widowControl/>
        <w:spacing w:line="276" w:lineRule="auto"/>
        <w:ind w:left="0"/>
        <w:jc w:val="both"/>
        <w:rPr>
          <w:rFonts w:cs="Arial"/>
          <w:b w:val="0"/>
          <w:i/>
          <w:iCs/>
          <w:kern w:val="0"/>
          <w:sz w:val="20"/>
          <w:lang w:eastAsia="pt-BR"/>
        </w:rPr>
      </w:pPr>
      <w:r w:rsidRPr="00136A83">
        <w:rPr>
          <w:rFonts w:cs="Arial"/>
          <w:bCs/>
          <w:i/>
          <w:iCs/>
          <w:kern w:val="0"/>
          <w:sz w:val="20"/>
          <w:lang w:eastAsia="pt-BR"/>
        </w:rPr>
        <w:t>KEYWORDS:</w:t>
      </w:r>
      <w:r w:rsidR="00BC20F8">
        <w:rPr>
          <w:rFonts w:cs="Arial"/>
          <w:b w:val="0"/>
          <w:i/>
          <w:iCs/>
          <w:kern w:val="0"/>
          <w:sz w:val="20"/>
          <w:lang w:eastAsia="pt-BR"/>
        </w:rPr>
        <w:t xml:space="preserve"> </w:t>
      </w:r>
      <w:r w:rsidR="00BC20F8" w:rsidRPr="00BC20F8">
        <w:rPr>
          <w:rFonts w:cs="Arial"/>
          <w:b w:val="0"/>
          <w:i/>
          <w:sz w:val="20"/>
          <w:lang w:val="en-US"/>
        </w:rPr>
        <w:t xml:space="preserve">Indicators. </w:t>
      </w:r>
      <w:proofErr w:type="gramStart"/>
      <w:r w:rsidR="00BC20F8" w:rsidRPr="00BC20F8">
        <w:rPr>
          <w:rFonts w:cs="Arial"/>
          <w:b w:val="0"/>
          <w:i/>
          <w:sz w:val="20"/>
          <w:lang w:val="en-US"/>
        </w:rPr>
        <w:t>Region.</w:t>
      </w:r>
      <w:proofErr w:type="gramEnd"/>
      <w:r w:rsidR="00BC20F8" w:rsidRPr="00BC20F8">
        <w:rPr>
          <w:rFonts w:cs="Arial"/>
          <w:b w:val="0"/>
          <w:i/>
          <w:sz w:val="20"/>
          <w:lang w:val="en-US"/>
        </w:rPr>
        <w:t xml:space="preserve"> </w:t>
      </w:r>
      <w:proofErr w:type="gramStart"/>
      <w:r w:rsidR="00BC20F8" w:rsidRPr="00BC20F8">
        <w:rPr>
          <w:rFonts w:cs="Arial"/>
          <w:b w:val="0"/>
          <w:i/>
          <w:sz w:val="20"/>
          <w:lang w:val="en-US"/>
        </w:rPr>
        <w:t>Territory</w:t>
      </w:r>
      <w:r w:rsidR="00D10589">
        <w:rPr>
          <w:rFonts w:cs="Arial"/>
          <w:b w:val="0"/>
          <w:i/>
          <w:iCs/>
          <w:kern w:val="0"/>
          <w:sz w:val="20"/>
          <w:lang w:eastAsia="pt-BR"/>
        </w:rPr>
        <w:t>.</w:t>
      </w:r>
      <w:proofErr w:type="gramEnd"/>
    </w:p>
    <w:p w:rsidR="006C4C09" w:rsidRDefault="006C4C09" w:rsidP="006C4C09">
      <w:pPr>
        <w:pStyle w:val="IDpaper-Title"/>
        <w:widowControl/>
        <w:spacing w:line="360" w:lineRule="auto"/>
        <w:ind w:left="0"/>
        <w:jc w:val="both"/>
        <w:rPr>
          <w:rFonts w:cs="Arial"/>
          <w:b w:val="0"/>
          <w:i/>
          <w:iCs/>
          <w:color w:val="FF0000"/>
          <w:kern w:val="0"/>
          <w:sz w:val="20"/>
          <w:lang w:val="pt-BR" w:eastAsia="pt-BR"/>
        </w:rPr>
      </w:pPr>
    </w:p>
    <w:p w:rsidR="00CA0BDD" w:rsidRDefault="00CA0BDD" w:rsidP="006C4C09">
      <w:pPr>
        <w:pStyle w:val="IDpaper-Title"/>
        <w:widowControl/>
        <w:spacing w:line="360" w:lineRule="auto"/>
        <w:ind w:left="0"/>
        <w:jc w:val="both"/>
        <w:rPr>
          <w:rFonts w:cs="Arial"/>
          <w:b w:val="0"/>
          <w:i/>
          <w:iCs/>
          <w:color w:val="FF0000"/>
          <w:kern w:val="0"/>
          <w:sz w:val="20"/>
          <w:lang w:val="pt-BR" w:eastAsia="pt-BR"/>
        </w:rPr>
      </w:pPr>
    </w:p>
    <w:p w:rsidR="00CA0BDD" w:rsidRPr="004739E0" w:rsidRDefault="00CA0BDD" w:rsidP="006C4C09">
      <w:pPr>
        <w:pStyle w:val="IDpaper-Title"/>
        <w:widowControl/>
        <w:spacing w:line="360" w:lineRule="auto"/>
        <w:ind w:left="0"/>
        <w:jc w:val="both"/>
        <w:rPr>
          <w:rFonts w:cs="Arial"/>
          <w:b w:val="0"/>
          <w:i/>
          <w:iCs/>
          <w:kern w:val="0"/>
          <w:sz w:val="18"/>
          <w:szCs w:val="18"/>
          <w:lang w:val="pt-BR" w:eastAsia="pt-BR"/>
        </w:rPr>
      </w:pPr>
    </w:p>
    <w:p w:rsidR="00235886" w:rsidRPr="004739E0" w:rsidRDefault="00235886" w:rsidP="00235886">
      <w:pPr>
        <w:pStyle w:val="IDpaper-Title"/>
        <w:widowControl/>
        <w:spacing w:line="276" w:lineRule="auto"/>
        <w:ind w:left="0"/>
        <w:rPr>
          <w:rFonts w:cs="Arial"/>
          <w:b w:val="0"/>
          <w:color w:val="FF0000"/>
          <w:sz w:val="18"/>
          <w:szCs w:val="18"/>
          <w:lang w:val="pt-BR"/>
        </w:rPr>
      </w:pPr>
      <w:r w:rsidRPr="00136A83">
        <w:rPr>
          <w:rFonts w:cs="Arial"/>
          <w:bCs/>
          <w:szCs w:val="24"/>
          <w:lang w:val="pt-BR"/>
        </w:rPr>
        <w:t xml:space="preserve">1 </w:t>
      </w:r>
      <w:r w:rsidR="001D6C2F">
        <w:rPr>
          <w:rFonts w:cs="Arial"/>
          <w:bCs/>
          <w:szCs w:val="24"/>
          <w:lang w:val="pt-BR"/>
        </w:rPr>
        <w:t>INTRODUÇÃO</w:t>
      </w:r>
    </w:p>
    <w:p w:rsidR="00235886" w:rsidRPr="004739E0" w:rsidRDefault="00235886" w:rsidP="00136A83">
      <w:pPr>
        <w:pStyle w:val="IDpaper-Text"/>
        <w:widowControl/>
        <w:spacing w:after="0" w:line="360" w:lineRule="auto"/>
        <w:jc w:val="both"/>
        <w:rPr>
          <w:rFonts w:cs="Arial"/>
          <w:kern w:val="0"/>
          <w:sz w:val="22"/>
          <w:szCs w:val="24"/>
          <w:lang w:val="pt-BR" w:eastAsia="pt-BR"/>
        </w:rPr>
      </w:pPr>
    </w:p>
    <w:p w:rsidR="001D6C2F" w:rsidRPr="007C77C3" w:rsidRDefault="001D6C2F" w:rsidP="001D6C2F">
      <w:pPr>
        <w:spacing w:line="360" w:lineRule="auto"/>
        <w:ind w:firstLine="851"/>
        <w:jc w:val="both"/>
        <w:rPr>
          <w:rFonts w:ascii="Arial" w:hAnsi="Arial" w:cs="Arial"/>
          <w:color w:val="FF0000"/>
          <w:lang w:val="en-US"/>
        </w:rPr>
      </w:pPr>
      <w:r>
        <w:rPr>
          <w:rFonts w:ascii="Arial" w:hAnsi="Arial" w:cs="Arial"/>
          <w:lang w:val="en-US"/>
        </w:rPr>
        <w:t xml:space="preserve">Objetiva-se com esta análise demonstrar </w:t>
      </w:r>
      <w:proofErr w:type="gramStart"/>
      <w:r>
        <w:rPr>
          <w:rFonts w:ascii="Arial" w:hAnsi="Arial" w:cs="Arial"/>
          <w:lang w:val="en-US"/>
        </w:rPr>
        <w:t>a</w:t>
      </w:r>
      <w:proofErr w:type="gramEnd"/>
      <w:r>
        <w:rPr>
          <w:rFonts w:ascii="Arial" w:hAnsi="Arial" w:cs="Arial"/>
          <w:lang w:val="en-US"/>
        </w:rPr>
        <w:t xml:space="preserve"> importância do uso de indicadores socioeconômicos para a compreensão da realidade de um dado território, neste artigo, a municipalidade de Itaperuna, polo regional de desenvolvim</w:t>
      </w:r>
      <w:r w:rsidR="0097157E">
        <w:rPr>
          <w:rFonts w:ascii="Arial" w:hAnsi="Arial" w:cs="Arial"/>
          <w:lang w:val="en-US"/>
        </w:rPr>
        <w:t xml:space="preserve">ento do Noroeste Fluminense. O </w:t>
      </w:r>
      <w:r w:rsidR="006551D8">
        <w:rPr>
          <w:rFonts w:ascii="Arial" w:hAnsi="Arial" w:cs="Arial"/>
          <w:lang w:val="en-US"/>
        </w:rPr>
        <w:t>M</w:t>
      </w:r>
      <w:r>
        <w:rPr>
          <w:rFonts w:ascii="Arial" w:hAnsi="Arial" w:cs="Arial"/>
          <w:lang w:val="en-US"/>
        </w:rPr>
        <w:t xml:space="preserve">unicípio é um ponto nodal que atrai </w:t>
      </w:r>
      <w:proofErr w:type="gramStart"/>
      <w:r>
        <w:rPr>
          <w:rFonts w:ascii="Arial" w:hAnsi="Arial" w:cs="Arial"/>
          <w:lang w:val="en-US"/>
        </w:rPr>
        <w:t>a</w:t>
      </w:r>
      <w:proofErr w:type="gramEnd"/>
      <w:r>
        <w:rPr>
          <w:rFonts w:ascii="Arial" w:hAnsi="Arial" w:cs="Arial"/>
          <w:lang w:val="en-US"/>
        </w:rPr>
        <w:t xml:space="preserve"> atenção de pessoas para a sua sede que buscam: fazer negócios e compras, que demandam serviços educacionais e de atendimento à saúde. Mesmo com as fragmentações territoriais que sofreu no transcorrer do séc</w:t>
      </w:r>
      <w:r w:rsidR="0097157E">
        <w:rPr>
          <w:rFonts w:ascii="Arial" w:hAnsi="Arial" w:cs="Arial"/>
          <w:lang w:val="en-US"/>
        </w:rPr>
        <w:t xml:space="preserve">ulo XX, ainda assim </w:t>
      </w:r>
      <w:r>
        <w:rPr>
          <w:rFonts w:ascii="Arial" w:hAnsi="Arial" w:cs="Arial"/>
          <w:lang w:val="en-US"/>
        </w:rPr>
        <w:t xml:space="preserve">permanece </w:t>
      </w:r>
      <w:proofErr w:type="gramStart"/>
      <w:r>
        <w:rPr>
          <w:rFonts w:ascii="Arial" w:hAnsi="Arial" w:cs="Arial"/>
          <w:lang w:val="en-US"/>
        </w:rPr>
        <w:t>como</w:t>
      </w:r>
      <w:proofErr w:type="gramEnd"/>
      <w:r>
        <w:rPr>
          <w:rFonts w:ascii="Arial" w:hAnsi="Arial" w:cs="Arial"/>
          <w:lang w:val="en-US"/>
        </w:rPr>
        <w:t xml:space="preserve"> principal centro regional e apresenta uma boa performance no cenário estadual. Entretanto, embora bem </w:t>
      </w:r>
      <w:r w:rsidR="0097157E">
        <w:rPr>
          <w:rFonts w:ascii="Arial" w:hAnsi="Arial" w:cs="Arial"/>
          <w:lang w:val="en-US"/>
        </w:rPr>
        <w:t xml:space="preserve">situado </w:t>
      </w:r>
      <w:r>
        <w:rPr>
          <w:rFonts w:ascii="Arial" w:hAnsi="Arial" w:cs="Arial"/>
          <w:lang w:val="en-US"/>
        </w:rPr>
        <w:t>no</w:t>
      </w:r>
      <w:r w:rsidR="0097157E">
        <w:rPr>
          <w:rFonts w:ascii="Arial" w:hAnsi="Arial" w:cs="Arial"/>
          <w:lang w:val="en-US"/>
        </w:rPr>
        <w:t>s</w:t>
      </w:r>
      <w:r>
        <w:rPr>
          <w:rFonts w:ascii="Arial" w:hAnsi="Arial" w:cs="Arial"/>
          <w:lang w:val="en-US"/>
        </w:rPr>
        <w:t xml:space="preserve"> </w:t>
      </w:r>
      <w:r w:rsidRPr="00283C21">
        <w:rPr>
          <w:rFonts w:ascii="Arial" w:hAnsi="Arial" w:cs="Arial"/>
          <w:i/>
          <w:lang w:val="en-US"/>
        </w:rPr>
        <w:t>ranking</w:t>
      </w:r>
      <w:r w:rsidR="0097157E">
        <w:rPr>
          <w:rFonts w:ascii="Arial" w:hAnsi="Arial" w:cs="Arial"/>
          <w:i/>
          <w:lang w:val="en-US"/>
        </w:rPr>
        <w:t>s</w:t>
      </w:r>
      <w:r>
        <w:rPr>
          <w:rFonts w:ascii="Arial" w:hAnsi="Arial" w:cs="Arial"/>
          <w:lang w:val="en-US"/>
        </w:rPr>
        <w:t xml:space="preserve">, existem gargalos </w:t>
      </w:r>
      <w:r w:rsidR="0097157E">
        <w:rPr>
          <w:rFonts w:ascii="Arial" w:hAnsi="Arial" w:cs="Arial"/>
          <w:lang w:val="en-US"/>
        </w:rPr>
        <w:t>par</w:t>
      </w:r>
      <w:r>
        <w:rPr>
          <w:rFonts w:ascii="Arial" w:hAnsi="Arial" w:cs="Arial"/>
          <w:lang w:val="en-US"/>
        </w:rPr>
        <w:t xml:space="preserve">a serem superados, os quais sendo solucionados tendem </w:t>
      </w:r>
      <w:proofErr w:type="gramStart"/>
      <w:r>
        <w:rPr>
          <w:rFonts w:ascii="Arial" w:hAnsi="Arial" w:cs="Arial"/>
          <w:lang w:val="en-US"/>
        </w:rPr>
        <w:t>a</w:t>
      </w:r>
      <w:proofErr w:type="gramEnd"/>
      <w:r>
        <w:rPr>
          <w:rFonts w:ascii="Arial" w:hAnsi="Arial" w:cs="Arial"/>
          <w:lang w:val="en-US"/>
        </w:rPr>
        <w:t xml:space="preserve"> elevar os indicadores para os melhores intervalos de classificação.</w:t>
      </w:r>
    </w:p>
    <w:p w:rsidR="001D6C2F" w:rsidRDefault="001D6C2F" w:rsidP="001D6C2F">
      <w:pPr>
        <w:spacing w:line="360" w:lineRule="auto"/>
        <w:ind w:firstLine="851"/>
        <w:jc w:val="both"/>
        <w:rPr>
          <w:rFonts w:ascii="Arial" w:hAnsi="Arial" w:cs="Arial"/>
          <w:lang w:val="en-US"/>
        </w:rPr>
      </w:pPr>
      <w:r>
        <w:rPr>
          <w:rFonts w:ascii="Arial" w:hAnsi="Arial" w:cs="Arial"/>
          <w:lang w:val="en-US"/>
        </w:rPr>
        <w:t>O ente federativo é um dos destaques no território estadual do relatório que divulgou o Índice Firjan de Desenvolvimento Municipal (IFDM) dos municípios brasileiros, publicado pela Federação das Indústrias do Estado do Rio de Janeiro (FIRJAN), em 2025, baseado em dados de 2023. Está bem classificado em relação ao Índice de Desenvolvimento Humano (IDH), referente ao ano base 2010</w:t>
      </w:r>
      <w:r>
        <w:rPr>
          <w:rStyle w:val="FootnoteReference"/>
          <w:rFonts w:ascii="Arial" w:hAnsi="Arial" w:cs="Arial"/>
          <w:lang w:val="en-US"/>
        </w:rPr>
        <w:footnoteReference w:id="4"/>
      </w:r>
      <w:r>
        <w:rPr>
          <w:rFonts w:ascii="Arial" w:hAnsi="Arial" w:cs="Arial"/>
          <w:lang w:val="en-US"/>
        </w:rPr>
        <w:t xml:space="preserve">, elaborado pelo Programa das Nações Unidas para o Desenvolvimento (PNUD), assim como apresenta uma boa classificação </w:t>
      </w:r>
      <w:r>
        <w:rPr>
          <w:rFonts w:ascii="Arial" w:hAnsi="Arial" w:cs="Arial"/>
          <w:lang w:val="en-US"/>
        </w:rPr>
        <w:lastRenderedPageBreak/>
        <w:t xml:space="preserve">quanto ao Índice de Vulnerabilidade Social (IVS), apurado pelo Instituto de Pesquisa Econômica Aplicada (IPEA). </w:t>
      </w:r>
    </w:p>
    <w:p w:rsidR="001D6C2F" w:rsidRDefault="001D6C2F" w:rsidP="001D6C2F">
      <w:pPr>
        <w:spacing w:line="360" w:lineRule="auto"/>
        <w:ind w:firstLine="851"/>
        <w:jc w:val="both"/>
        <w:rPr>
          <w:rFonts w:ascii="Arial" w:hAnsi="Arial" w:cs="Arial"/>
          <w:lang w:val="en-US"/>
        </w:rPr>
      </w:pPr>
      <w:r>
        <w:rPr>
          <w:rFonts w:ascii="Arial" w:hAnsi="Arial" w:cs="Arial"/>
          <w:lang w:val="en-US"/>
        </w:rPr>
        <w:t>Este desempenho não passou desapercebido durante a fase de levantamento de dados sobre o território em atividade avaliativa da disciplina Indicadores Econômicos e Sociais, lecionada pelo Professor Romeu e Silva Neto, no Programa de Pós-Graduação da Universidade Candido Mendes, nem muito menos na coleta de informações sobre a Vila de Raposo, pertencente ao território itaperunense, objeto de estudo da tese em desenvolvimento no mesmo programa, sob a orientação do Professor Rodrigo Anido Lira.</w:t>
      </w:r>
    </w:p>
    <w:p w:rsidR="001D6C2F" w:rsidRDefault="008C38BD" w:rsidP="001D6C2F">
      <w:pPr>
        <w:spacing w:line="360" w:lineRule="auto"/>
        <w:ind w:firstLine="851"/>
        <w:jc w:val="both"/>
        <w:rPr>
          <w:rFonts w:ascii="Arial" w:hAnsi="Arial" w:cs="Arial"/>
          <w:lang w:val="en-US"/>
        </w:rPr>
      </w:pPr>
      <w:r>
        <w:rPr>
          <w:rFonts w:ascii="Arial" w:hAnsi="Arial" w:cs="Arial"/>
          <w:lang w:val="en-US"/>
        </w:rPr>
        <w:t>Após a sondagem de</w:t>
      </w:r>
      <w:r w:rsidR="001D6C2F">
        <w:rPr>
          <w:rFonts w:ascii="Arial" w:hAnsi="Arial" w:cs="Arial"/>
          <w:lang w:val="en-US"/>
        </w:rPr>
        <w:t xml:space="preserve"> indicadores, optou-se para a consecução deste artigo pela abordagem do IDH, do IVS e do IFDM, com bons desempenhos</w:t>
      </w:r>
      <w:r>
        <w:rPr>
          <w:rFonts w:ascii="Arial" w:hAnsi="Arial" w:cs="Arial"/>
          <w:lang w:val="en-US"/>
        </w:rPr>
        <w:t xml:space="preserve"> alcançados num cenário com 92 m</w:t>
      </w:r>
      <w:r w:rsidR="001D6C2F">
        <w:rPr>
          <w:rFonts w:ascii="Arial" w:hAnsi="Arial" w:cs="Arial"/>
          <w:lang w:val="en-US"/>
        </w:rPr>
        <w:t>unicíp</w:t>
      </w:r>
      <w:r>
        <w:rPr>
          <w:rFonts w:ascii="Arial" w:hAnsi="Arial" w:cs="Arial"/>
          <w:lang w:val="en-US"/>
        </w:rPr>
        <w:t>ios. Com foco</w:t>
      </w:r>
      <w:r w:rsidR="001D6C2F">
        <w:rPr>
          <w:rFonts w:ascii="Arial" w:hAnsi="Arial" w:cs="Arial"/>
          <w:lang w:val="en-US"/>
        </w:rPr>
        <w:t xml:space="preserve"> no território fluminense, Itaperuna destaca-se como o 6° melhor IFDM, o 18° IDH e o 11° </w:t>
      </w:r>
      <w:r w:rsidR="001D6C2F" w:rsidRPr="000D76F7">
        <w:rPr>
          <w:rFonts w:ascii="Arial" w:hAnsi="Arial" w:cs="Arial"/>
          <w:lang w:val="en-US"/>
        </w:rPr>
        <w:t>IVS</w:t>
      </w:r>
      <w:r w:rsidR="001D6C2F">
        <w:rPr>
          <w:rFonts w:ascii="Arial" w:hAnsi="Arial" w:cs="Arial"/>
          <w:lang w:val="en-US"/>
        </w:rPr>
        <w:t xml:space="preserve"> de todo o Estado do Rio de Janeiro. Para confirmar a performance estadual e </w:t>
      </w:r>
      <w:proofErr w:type="gramStart"/>
      <w:r w:rsidR="0097157E">
        <w:rPr>
          <w:rFonts w:ascii="Arial" w:hAnsi="Arial" w:cs="Arial"/>
          <w:lang w:val="en-US"/>
        </w:rPr>
        <w:t>a liderança</w:t>
      </w:r>
      <w:proofErr w:type="gramEnd"/>
      <w:r w:rsidR="001D6C2F">
        <w:rPr>
          <w:rFonts w:ascii="Arial" w:hAnsi="Arial" w:cs="Arial"/>
          <w:lang w:val="en-US"/>
        </w:rPr>
        <w:t xml:space="preserve"> regional são feitas comparações com os indicadores de outras unidades subestaduais e da região onde é polo.</w:t>
      </w:r>
    </w:p>
    <w:p w:rsidR="001D6C2F" w:rsidRPr="00093F60" w:rsidRDefault="001D6C2F" w:rsidP="001D6C2F">
      <w:pPr>
        <w:spacing w:line="360" w:lineRule="auto"/>
        <w:ind w:firstLine="851"/>
        <w:jc w:val="both"/>
        <w:rPr>
          <w:rFonts w:ascii="Arial" w:hAnsi="Arial" w:cs="Arial"/>
          <w:lang w:val="en-US"/>
        </w:rPr>
      </w:pPr>
      <w:r>
        <w:rPr>
          <w:rFonts w:ascii="Arial" w:hAnsi="Arial" w:cs="Arial"/>
          <w:lang w:val="en-US"/>
        </w:rPr>
        <w:t>Mas é pre</w:t>
      </w:r>
      <w:r w:rsidR="00E05E4E">
        <w:rPr>
          <w:rFonts w:ascii="Arial" w:hAnsi="Arial" w:cs="Arial"/>
          <w:lang w:val="en-US"/>
        </w:rPr>
        <w:t xml:space="preserve">ciso realçar que </w:t>
      </w:r>
      <w:proofErr w:type="gramStart"/>
      <w:r w:rsidR="00E05E4E">
        <w:rPr>
          <w:rFonts w:ascii="Arial" w:hAnsi="Arial" w:cs="Arial"/>
          <w:lang w:val="en-US"/>
        </w:rPr>
        <w:t>este</w:t>
      </w:r>
      <w:proofErr w:type="gramEnd"/>
      <w:r w:rsidR="00E05E4E">
        <w:rPr>
          <w:rFonts w:ascii="Arial" w:hAnsi="Arial" w:cs="Arial"/>
          <w:lang w:val="en-US"/>
        </w:rPr>
        <w:t xml:space="preserve"> escrito </w:t>
      </w:r>
      <w:r>
        <w:rPr>
          <w:rFonts w:ascii="Arial" w:hAnsi="Arial" w:cs="Arial"/>
          <w:lang w:val="en-US"/>
        </w:rPr>
        <w:t xml:space="preserve">é uma análise </w:t>
      </w:r>
      <w:r w:rsidRPr="00093F60">
        <w:rPr>
          <w:rFonts w:ascii="Arial" w:hAnsi="Arial" w:cs="Arial"/>
          <w:lang w:val="en-US"/>
        </w:rPr>
        <w:t xml:space="preserve">parcial e </w:t>
      </w:r>
      <w:r>
        <w:rPr>
          <w:rFonts w:ascii="Arial" w:hAnsi="Arial" w:cs="Arial"/>
          <w:lang w:val="en-US"/>
        </w:rPr>
        <w:t xml:space="preserve">limitada em relação ao ente municipal, especificamente quanto aos indicadores supracitados. </w:t>
      </w:r>
      <w:r w:rsidRPr="00093F60">
        <w:rPr>
          <w:rFonts w:ascii="Arial" w:hAnsi="Arial" w:cs="Arial"/>
          <w:lang w:val="en-US"/>
        </w:rPr>
        <w:t xml:space="preserve">Logo de início esclarecer que a escolha das ferramentas estão alicerçadas </w:t>
      </w:r>
      <w:proofErr w:type="gramStart"/>
      <w:r w:rsidRPr="00093F60">
        <w:rPr>
          <w:rFonts w:ascii="Arial" w:hAnsi="Arial" w:cs="Arial"/>
          <w:lang w:val="en-US"/>
        </w:rPr>
        <w:t>na</w:t>
      </w:r>
      <w:proofErr w:type="gramEnd"/>
      <w:r w:rsidRPr="00093F60">
        <w:rPr>
          <w:rFonts w:ascii="Arial" w:hAnsi="Arial" w:cs="Arial"/>
          <w:lang w:val="en-US"/>
        </w:rPr>
        <w:t xml:space="preserve"> excelência já demonstrada por suas instituições em contribuir com o levantamento de dados para o diagnóstico das realidades socioespaciais com o intuito de auxiliar a gestão governamental na elaboração e decisão por políticas públicas que solucionem as carências apontadas. Entretanto, também necessário ressalvar às limitações desses instrumentos, em capturar a essência da vida cotidiana já que não expõem as várias facetas socioespaciais </w:t>
      </w:r>
      <w:proofErr w:type="gramStart"/>
      <w:r w:rsidRPr="00093F60">
        <w:rPr>
          <w:rFonts w:ascii="Arial" w:hAnsi="Arial" w:cs="Arial"/>
          <w:lang w:val="en-US"/>
        </w:rPr>
        <w:t>como</w:t>
      </w:r>
      <w:proofErr w:type="gramEnd"/>
      <w:r w:rsidRPr="00093F60">
        <w:rPr>
          <w:rFonts w:ascii="Arial" w:hAnsi="Arial" w:cs="Arial"/>
          <w:lang w:val="en-US"/>
        </w:rPr>
        <w:t>: a liberdade política, os direitos humanos e a participação cívica, por exemplo.</w:t>
      </w:r>
    </w:p>
    <w:p w:rsidR="001D6C2F" w:rsidRDefault="001D6C2F" w:rsidP="001D6C2F">
      <w:pPr>
        <w:spacing w:line="360" w:lineRule="auto"/>
        <w:ind w:firstLine="851"/>
        <w:jc w:val="both"/>
        <w:rPr>
          <w:rFonts w:ascii="Arial" w:hAnsi="Arial" w:cs="Arial"/>
          <w:lang w:val="en-US"/>
        </w:rPr>
      </w:pPr>
      <w:r w:rsidRPr="00093F60">
        <w:rPr>
          <w:rFonts w:ascii="Arial" w:hAnsi="Arial" w:cs="Arial"/>
          <w:lang w:val="en-US"/>
        </w:rPr>
        <w:t>Mas, mesmo com essas restrições, são fundamentais na compreensão da realidade, ainda que parcial, pois</w:t>
      </w:r>
      <w:r>
        <w:rPr>
          <w:rFonts w:ascii="Arial" w:hAnsi="Arial" w:cs="Arial"/>
          <w:color w:val="FF0000"/>
          <w:lang w:val="en-US"/>
        </w:rPr>
        <w:t xml:space="preserve"> </w:t>
      </w:r>
      <w:r>
        <w:rPr>
          <w:rFonts w:ascii="Arial" w:hAnsi="Arial" w:cs="Arial"/>
          <w:lang w:val="en-US"/>
        </w:rPr>
        <w:t>levam em consideração as nuances dos componentes desses índices, os quais demonstram como pouco falta para o município atingir um elevado grau em todas as variáveis observadas, obviamente a depender das políticas públicas, especialmente na diminuição das desigualdades sociais e na qualidade de vida em seu território.</w:t>
      </w:r>
    </w:p>
    <w:p w:rsidR="006C4C09" w:rsidRDefault="006C4C09" w:rsidP="00CA0BDD">
      <w:pPr>
        <w:spacing w:line="360" w:lineRule="auto"/>
        <w:jc w:val="both"/>
        <w:rPr>
          <w:rFonts w:ascii="Arial" w:hAnsi="Arial" w:cs="Arial"/>
          <w:lang w:val="en-US"/>
        </w:rPr>
      </w:pPr>
    </w:p>
    <w:p w:rsidR="006C4C09" w:rsidRDefault="006C4C09" w:rsidP="006C4C09">
      <w:pPr>
        <w:pStyle w:val="ListParagraph"/>
        <w:numPr>
          <w:ilvl w:val="0"/>
          <w:numId w:val="46"/>
        </w:numPr>
        <w:spacing w:line="360" w:lineRule="auto"/>
        <w:ind w:left="0" w:firstLine="0"/>
        <w:jc w:val="both"/>
        <w:rPr>
          <w:rFonts w:ascii="Arial" w:hAnsi="Arial" w:cs="Arial"/>
          <w:b/>
          <w:sz w:val="24"/>
          <w:szCs w:val="24"/>
          <w:lang w:val="en-US"/>
        </w:rPr>
      </w:pPr>
      <w:r>
        <w:rPr>
          <w:rFonts w:ascii="Arial" w:hAnsi="Arial" w:cs="Arial"/>
          <w:b/>
          <w:sz w:val="24"/>
          <w:szCs w:val="24"/>
          <w:lang w:val="en-US"/>
        </w:rPr>
        <w:lastRenderedPageBreak/>
        <w:t>METODOLOGIA</w:t>
      </w:r>
    </w:p>
    <w:p w:rsidR="00CA0BDD" w:rsidRPr="006C4C09" w:rsidRDefault="00CA0BDD" w:rsidP="00CA0BDD">
      <w:pPr>
        <w:pStyle w:val="ListParagraph"/>
        <w:spacing w:line="360" w:lineRule="auto"/>
        <w:ind w:left="0"/>
        <w:jc w:val="both"/>
        <w:rPr>
          <w:rFonts w:ascii="Arial" w:hAnsi="Arial" w:cs="Arial"/>
          <w:b/>
          <w:sz w:val="24"/>
          <w:szCs w:val="24"/>
          <w:lang w:val="en-US"/>
        </w:rPr>
      </w:pPr>
    </w:p>
    <w:p w:rsidR="006C4C09" w:rsidRPr="004E685A" w:rsidRDefault="006C4C09" w:rsidP="006C4C09">
      <w:pPr>
        <w:spacing w:line="360" w:lineRule="auto"/>
        <w:ind w:firstLine="851"/>
        <w:jc w:val="both"/>
        <w:rPr>
          <w:rFonts w:ascii="Arial" w:hAnsi="Arial" w:cs="Arial"/>
          <w:color w:val="FF0000"/>
          <w:lang w:val="en-US"/>
        </w:rPr>
      </w:pPr>
      <w:r>
        <w:rPr>
          <w:rFonts w:ascii="Arial" w:hAnsi="Arial" w:cs="Arial"/>
          <w:lang w:val="en-US"/>
        </w:rPr>
        <w:t>A elaboração e a análise foram feitas a partir de material bibliográfico e de dados estatísticos e indicadores disponibilizados pela</w:t>
      </w:r>
      <w:r w:rsidR="008C38BD">
        <w:rPr>
          <w:rFonts w:ascii="Arial" w:hAnsi="Arial" w:cs="Arial"/>
          <w:lang w:val="en-US"/>
        </w:rPr>
        <w:t>s instituições: FIRJAN</w:t>
      </w:r>
      <w:proofErr w:type="gramStart"/>
      <w:r w:rsidR="008C38BD">
        <w:rPr>
          <w:rFonts w:ascii="Arial" w:hAnsi="Arial" w:cs="Arial"/>
          <w:lang w:val="en-US"/>
        </w:rPr>
        <w:t>,  IBGE</w:t>
      </w:r>
      <w:proofErr w:type="gramEnd"/>
      <w:r w:rsidR="008C38BD">
        <w:rPr>
          <w:rFonts w:ascii="Arial" w:hAnsi="Arial" w:cs="Arial"/>
          <w:lang w:val="en-US"/>
        </w:rPr>
        <w:t xml:space="preserve">, IPEA e </w:t>
      </w:r>
      <w:r>
        <w:rPr>
          <w:rFonts w:ascii="Arial" w:hAnsi="Arial" w:cs="Arial"/>
          <w:lang w:val="en-US"/>
        </w:rPr>
        <w:t xml:space="preserve">PNUD. Caracteriza-se </w:t>
      </w:r>
      <w:proofErr w:type="gramStart"/>
      <w:r>
        <w:rPr>
          <w:rFonts w:ascii="Arial" w:hAnsi="Arial" w:cs="Arial"/>
          <w:lang w:val="en-US"/>
        </w:rPr>
        <w:t>como</w:t>
      </w:r>
      <w:proofErr w:type="gramEnd"/>
      <w:r>
        <w:rPr>
          <w:rFonts w:ascii="Arial" w:hAnsi="Arial" w:cs="Arial"/>
          <w:lang w:val="en-US"/>
        </w:rPr>
        <w:t xml:space="preserve"> pesquisa bibliográfica cujo método foi a</w:t>
      </w:r>
      <w:r w:rsidR="000A7FD9">
        <w:rPr>
          <w:rFonts w:ascii="Arial" w:hAnsi="Arial" w:cs="Arial"/>
          <w:lang w:val="en-US"/>
        </w:rPr>
        <w:t>dotado para descrever o desempenho</w:t>
      </w:r>
      <w:r>
        <w:rPr>
          <w:rFonts w:ascii="Arial" w:hAnsi="Arial" w:cs="Arial"/>
          <w:lang w:val="en-US"/>
        </w:rPr>
        <w:t xml:space="preserve"> de Itaperuna quanto ao seu nível de desenvolvimento e seu atributo de ser o polo da Região Noroeste Fluminense.</w:t>
      </w:r>
    </w:p>
    <w:p w:rsidR="006C4C09" w:rsidRPr="005933B7" w:rsidRDefault="006C4C09" w:rsidP="006C4C09">
      <w:pPr>
        <w:spacing w:line="360" w:lineRule="auto"/>
        <w:jc w:val="both"/>
        <w:rPr>
          <w:rFonts w:ascii="Arial" w:hAnsi="Arial" w:cs="Arial"/>
          <w:lang w:val="en-US"/>
        </w:rPr>
      </w:pPr>
    </w:p>
    <w:p w:rsidR="006C4C09" w:rsidRPr="00D86300" w:rsidRDefault="006C4C09" w:rsidP="006C4C09">
      <w:pPr>
        <w:spacing w:line="360" w:lineRule="auto"/>
        <w:jc w:val="both"/>
        <w:rPr>
          <w:rFonts w:ascii="Arial" w:hAnsi="Arial" w:cs="Arial"/>
          <w:lang w:val="en-US"/>
        </w:rPr>
      </w:pPr>
      <w:r w:rsidRPr="00D86300">
        <w:rPr>
          <w:rFonts w:ascii="Arial" w:hAnsi="Arial" w:cs="Arial"/>
          <w:lang w:val="en-US"/>
        </w:rPr>
        <w:t>2.1 REFERENCIAL CONCEITUAL</w:t>
      </w:r>
    </w:p>
    <w:p w:rsidR="006C4C09" w:rsidRDefault="006C4C09" w:rsidP="006C4C09">
      <w:pPr>
        <w:spacing w:line="360" w:lineRule="auto"/>
        <w:jc w:val="both"/>
        <w:rPr>
          <w:rFonts w:ascii="Arial" w:hAnsi="Arial" w:cs="Arial"/>
          <w:lang w:val="en-US"/>
        </w:rPr>
      </w:pPr>
    </w:p>
    <w:p w:rsidR="006C4C09" w:rsidRPr="004A6EAB" w:rsidRDefault="006C4C09" w:rsidP="006C4C09">
      <w:pPr>
        <w:spacing w:line="360" w:lineRule="auto"/>
        <w:ind w:firstLine="851"/>
        <w:jc w:val="both"/>
        <w:rPr>
          <w:rFonts w:ascii="Arial" w:hAnsi="Arial" w:cs="Arial"/>
          <w:lang w:val="en-US"/>
        </w:rPr>
      </w:pPr>
      <w:r w:rsidRPr="000A1808">
        <w:rPr>
          <w:rFonts w:ascii="Arial" w:hAnsi="Arial" w:cs="Arial"/>
          <w:lang w:val="en-US"/>
        </w:rPr>
        <w:t xml:space="preserve">Dentro do escopo teórico adotado </w:t>
      </w:r>
      <w:r>
        <w:rPr>
          <w:rFonts w:ascii="Arial" w:hAnsi="Arial" w:cs="Arial"/>
          <w:lang w:val="en-US"/>
        </w:rPr>
        <w:t>nesta análise</w:t>
      </w:r>
      <w:r w:rsidRPr="000A1808">
        <w:rPr>
          <w:rFonts w:ascii="Arial" w:hAnsi="Arial" w:cs="Arial"/>
          <w:lang w:val="en-US"/>
        </w:rPr>
        <w:t>, discutir-se-ão alguns conceitos-chave, que estão diretamente relacionados a</w:t>
      </w:r>
      <w:r>
        <w:rPr>
          <w:rFonts w:ascii="Arial" w:hAnsi="Arial" w:cs="Arial"/>
          <w:lang w:val="en-US"/>
        </w:rPr>
        <w:t>o município.</w:t>
      </w:r>
    </w:p>
    <w:p w:rsidR="006C4C09" w:rsidRPr="0047612F" w:rsidRDefault="006C4C09" w:rsidP="006C4C09">
      <w:pPr>
        <w:spacing w:line="360" w:lineRule="auto"/>
        <w:jc w:val="both"/>
        <w:rPr>
          <w:rFonts w:ascii="Arial" w:hAnsi="Arial" w:cs="Arial"/>
          <w:sz w:val="20"/>
          <w:szCs w:val="20"/>
          <w:lang w:val="en-US"/>
        </w:rPr>
      </w:pPr>
    </w:p>
    <w:p w:rsidR="006C4C09" w:rsidRPr="00D86300" w:rsidRDefault="006C4C09" w:rsidP="006C4C09">
      <w:pPr>
        <w:spacing w:line="360" w:lineRule="auto"/>
        <w:jc w:val="both"/>
        <w:rPr>
          <w:rFonts w:ascii="Arial" w:hAnsi="Arial" w:cs="Arial"/>
          <w:b/>
          <w:lang w:val="en-US"/>
        </w:rPr>
      </w:pPr>
      <w:r w:rsidRPr="00D86300">
        <w:rPr>
          <w:rFonts w:ascii="Arial" w:hAnsi="Arial" w:cs="Arial"/>
          <w:b/>
          <w:lang w:val="en-US"/>
        </w:rPr>
        <w:t>2.1.1 O poder político do território itaperunense</w:t>
      </w:r>
    </w:p>
    <w:p w:rsidR="006C4C09" w:rsidRDefault="006C4C09" w:rsidP="006C4C09">
      <w:pPr>
        <w:spacing w:line="360" w:lineRule="auto"/>
        <w:jc w:val="both"/>
        <w:rPr>
          <w:rFonts w:ascii="Arial" w:hAnsi="Arial" w:cs="Arial"/>
          <w:b/>
          <w:i/>
          <w:lang w:val="en-US"/>
        </w:rPr>
      </w:pPr>
    </w:p>
    <w:p w:rsidR="006C4C09" w:rsidRDefault="006C4C09" w:rsidP="006C4C09">
      <w:pPr>
        <w:spacing w:line="360" w:lineRule="auto"/>
        <w:ind w:firstLine="851"/>
        <w:jc w:val="both"/>
        <w:rPr>
          <w:rFonts w:ascii="Arial" w:hAnsi="Arial" w:cs="Arial"/>
          <w:lang w:val="en-US"/>
        </w:rPr>
      </w:pPr>
      <w:proofErr w:type="gramStart"/>
      <w:r>
        <w:rPr>
          <w:rFonts w:ascii="Arial" w:hAnsi="Arial" w:cs="Arial"/>
          <w:lang w:val="en-US"/>
        </w:rPr>
        <w:t>A</w:t>
      </w:r>
      <w:proofErr w:type="gramEnd"/>
      <w:r>
        <w:rPr>
          <w:rFonts w:ascii="Arial" w:hAnsi="Arial" w:cs="Arial"/>
          <w:lang w:val="en-US"/>
        </w:rPr>
        <w:t xml:space="preserve"> área territorial de um ente que compõe a federação brasileira é o</w:t>
      </w:r>
      <w:r w:rsidRPr="000A1A64">
        <w:rPr>
          <w:rFonts w:ascii="Arial" w:hAnsi="Arial" w:cs="Arial"/>
          <w:lang w:val="en-US"/>
        </w:rPr>
        <w:t xml:space="preserve"> “espaço sobre o qual o Estado exerce sua soberania” (DALLABRIDA, 2016, p.19), com regras e leis que determinam a organização política de uma dada di</w:t>
      </w:r>
      <w:r>
        <w:rPr>
          <w:rFonts w:ascii="Arial" w:hAnsi="Arial" w:cs="Arial"/>
          <w:lang w:val="en-US"/>
        </w:rPr>
        <w:t>visão político-administrativa. No caso do Brasil: a</w:t>
      </w:r>
      <w:r w:rsidRPr="000A1A64">
        <w:rPr>
          <w:rFonts w:ascii="Arial" w:hAnsi="Arial" w:cs="Arial"/>
          <w:lang w:val="en-US"/>
        </w:rPr>
        <w:t xml:space="preserve"> União brasileira </w:t>
      </w:r>
      <w:proofErr w:type="gramStart"/>
      <w:r w:rsidRPr="000A1A64">
        <w:rPr>
          <w:rFonts w:ascii="Arial" w:hAnsi="Arial" w:cs="Arial"/>
          <w:lang w:val="en-US"/>
        </w:rPr>
        <w:t xml:space="preserve">com </w:t>
      </w:r>
      <w:r w:rsidR="0035288F">
        <w:rPr>
          <w:rFonts w:ascii="Arial" w:hAnsi="Arial" w:cs="Arial"/>
          <w:lang w:val="en-US"/>
        </w:rPr>
        <w:t xml:space="preserve"> vinte</w:t>
      </w:r>
      <w:proofErr w:type="gramEnd"/>
      <w:r w:rsidR="0035288F">
        <w:rPr>
          <w:rFonts w:ascii="Arial" w:hAnsi="Arial" w:cs="Arial"/>
          <w:lang w:val="en-US"/>
        </w:rPr>
        <w:t xml:space="preserve"> e seis </w:t>
      </w:r>
      <w:r w:rsidRPr="000A1A64">
        <w:rPr>
          <w:rFonts w:ascii="Arial" w:hAnsi="Arial" w:cs="Arial"/>
          <w:lang w:val="en-US"/>
        </w:rPr>
        <w:t>Estados federados</w:t>
      </w:r>
      <w:r>
        <w:rPr>
          <w:rFonts w:ascii="Arial" w:hAnsi="Arial" w:cs="Arial"/>
          <w:lang w:val="en-US"/>
        </w:rPr>
        <w:t xml:space="preserve"> e um Distrito Federal (DF). Para cada uma</w:t>
      </w:r>
      <w:r w:rsidRPr="000A1A64">
        <w:rPr>
          <w:rFonts w:ascii="Arial" w:hAnsi="Arial" w:cs="Arial"/>
          <w:lang w:val="en-US"/>
        </w:rPr>
        <w:t xml:space="preserve"> dessas unidades</w:t>
      </w:r>
      <w:r>
        <w:rPr>
          <w:rFonts w:ascii="Arial" w:hAnsi="Arial" w:cs="Arial"/>
          <w:lang w:val="en-US"/>
        </w:rPr>
        <w:t xml:space="preserve"> federadas, com exceção do DF</w:t>
      </w:r>
      <w:r w:rsidRPr="000A1A64">
        <w:rPr>
          <w:rFonts w:ascii="Arial" w:hAnsi="Arial" w:cs="Arial"/>
          <w:lang w:val="en-US"/>
        </w:rPr>
        <w:t>,</w:t>
      </w:r>
      <w:r>
        <w:rPr>
          <w:rFonts w:ascii="Arial" w:hAnsi="Arial" w:cs="Arial"/>
          <w:lang w:val="en-US"/>
        </w:rPr>
        <w:t xml:space="preserve"> a legislação brasileira possuiu “a singularidade de colocar o município </w:t>
      </w:r>
      <w:r w:rsidRPr="00C97F72">
        <w:rPr>
          <w:rFonts w:ascii="Arial" w:hAnsi="Arial" w:cs="Arial"/>
          <w:lang w:val="en-US"/>
        </w:rPr>
        <w:t xml:space="preserve">como ente federativo” (AZEVEDO, </w:t>
      </w:r>
      <w:proofErr w:type="gramStart"/>
      <w:r w:rsidRPr="00C97F72">
        <w:rPr>
          <w:rFonts w:ascii="Arial" w:hAnsi="Arial" w:cs="Arial"/>
          <w:lang w:val="en-US"/>
        </w:rPr>
        <w:t>CAMPOS</w:t>
      </w:r>
      <w:proofErr w:type="gramEnd"/>
      <w:r w:rsidRPr="00C97F72">
        <w:rPr>
          <w:rFonts w:ascii="Arial" w:hAnsi="Arial" w:cs="Arial"/>
          <w:lang w:val="en-US"/>
        </w:rPr>
        <w:t xml:space="preserve"> e LIRA, 2020, p.444). São </w:t>
      </w:r>
      <w:r w:rsidR="000A7FD9">
        <w:rPr>
          <w:rFonts w:ascii="Arial" w:hAnsi="Arial" w:cs="Arial"/>
          <w:lang w:val="en-US"/>
        </w:rPr>
        <w:t>ao todo 5.570</w:t>
      </w:r>
      <w:r>
        <w:rPr>
          <w:rFonts w:ascii="Arial" w:hAnsi="Arial" w:cs="Arial"/>
          <w:lang w:val="en-US"/>
        </w:rPr>
        <w:t>, cada qual com a sua Lei Orgânica, poderes Executivo e Legislativo, obedecendo às constituições de seus respectivos Estados e a Constituição da República Federativa de 1988 (CF88).</w:t>
      </w:r>
    </w:p>
    <w:p w:rsidR="006C4C09" w:rsidRPr="006D69D2" w:rsidRDefault="006C4C09" w:rsidP="006C4C09">
      <w:pPr>
        <w:spacing w:line="360" w:lineRule="auto"/>
        <w:ind w:firstLine="851"/>
        <w:jc w:val="both"/>
        <w:rPr>
          <w:rFonts w:ascii="Arial" w:hAnsi="Arial" w:cs="Arial"/>
          <w:lang w:val="en-US"/>
        </w:rPr>
      </w:pPr>
      <w:r>
        <w:rPr>
          <w:rFonts w:ascii="Arial" w:hAnsi="Arial" w:cs="Arial"/>
          <w:lang w:val="en-US"/>
        </w:rPr>
        <w:t xml:space="preserve">Deste contingente, 92 são do Estado do Rio de Janeiro. Dentre eles, o território de Itaperuna com uma área de 1.106,694 Km², distribuída em sete áreas distritais: </w:t>
      </w:r>
      <w:r w:rsidRPr="00ED360F">
        <w:rPr>
          <w:rFonts w:ascii="Arial" w:hAnsi="Arial" w:cs="Arial"/>
          <w:lang w:val="en-US"/>
        </w:rPr>
        <w:t>Boa Ventura, Comendador Venâncio, Itajara, Itaperuna (Sede), Nossa Senhora da P</w:t>
      </w:r>
      <w:r>
        <w:rPr>
          <w:rFonts w:ascii="Arial" w:hAnsi="Arial" w:cs="Arial"/>
          <w:lang w:val="en-US"/>
        </w:rPr>
        <w:t>enha</w:t>
      </w:r>
      <w:r>
        <w:rPr>
          <w:rStyle w:val="FootnoteReference"/>
          <w:rFonts w:ascii="Arial" w:hAnsi="Arial" w:cs="Arial"/>
          <w:lang w:val="en-US"/>
        </w:rPr>
        <w:footnoteReference w:id="5"/>
      </w:r>
      <w:r>
        <w:rPr>
          <w:rFonts w:ascii="Arial" w:hAnsi="Arial" w:cs="Arial"/>
          <w:lang w:val="en-US"/>
        </w:rPr>
        <w:t>, Raposo e Retiro do Muriaé. Todas as localidades obedecendo</w:t>
      </w:r>
      <w:r w:rsidRPr="000A1A64">
        <w:rPr>
          <w:rFonts w:ascii="Arial" w:hAnsi="Arial" w:cs="Arial"/>
          <w:lang w:val="en-US"/>
        </w:rPr>
        <w:t xml:space="preserve"> à Lei Orgânica do Municí</w:t>
      </w:r>
      <w:r>
        <w:rPr>
          <w:rFonts w:ascii="Arial" w:hAnsi="Arial" w:cs="Arial"/>
          <w:lang w:val="en-US"/>
        </w:rPr>
        <w:t>pio</w:t>
      </w:r>
      <w:r w:rsidRPr="000A1A64">
        <w:rPr>
          <w:rFonts w:ascii="Arial" w:hAnsi="Arial" w:cs="Arial"/>
          <w:lang w:val="en-US"/>
        </w:rPr>
        <w:t xml:space="preserve">, um subespaço com “disputas de poder dos atores que compõem o cenário político </w:t>
      </w:r>
      <w:r w:rsidRPr="006D69D2">
        <w:rPr>
          <w:rFonts w:ascii="Arial" w:hAnsi="Arial" w:cs="Arial"/>
          <w:lang w:val="en-US"/>
        </w:rPr>
        <w:t xml:space="preserve">do contexto” (DIAS, </w:t>
      </w:r>
      <w:r w:rsidRPr="006D69D2">
        <w:rPr>
          <w:rFonts w:ascii="Arial" w:hAnsi="Arial" w:cs="Arial"/>
          <w:lang w:val="en-US"/>
        </w:rPr>
        <w:lastRenderedPageBreak/>
        <w:t xml:space="preserve">CALAÇA, 2024, p.67), ou seja, “uma porção do espaço geográfico que coincide com </w:t>
      </w:r>
      <w:proofErr w:type="gramStart"/>
      <w:r w:rsidRPr="006D69D2">
        <w:rPr>
          <w:rFonts w:ascii="Arial" w:hAnsi="Arial" w:cs="Arial"/>
          <w:lang w:val="en-US"/>
        </w:rPr>
        <w:t>a</w:t>
      </w:r>
      <w:proofErr w:type="gramEnd"/>
      <w:r w:rsidRPr="006D69D2">
        <w:rPr>
          <w:rFonts w:ascii="Arial" w:hAnsi="Arial" w:cs="Arial"/>
          <w:lang w:val="en-US"/>
        </w:rPr>
        <w:t xml:space="preserve"> extensão espacial da jurisdição de um governo” (GOTTMANN, 2012, p.523, </w:t>
      </w:r>
      <w:r w:rsidRPr="006D69D2">
        <w:rPr>
          <w:rFonts w:ascii="Arial" w:hAnsi="Arial" w:cs="Arial"/>
          <w:i/>
          <w:lang w:val="en-US"/>
        </w:rPr>
        <w:t>apud</w:t>
      </w:r>
      <w:r w:rsidRPr="006D69D2">
        <w:rPr>
          <w:rFonts w:ascii="Arial" w:hAnsi="Arial" w:cs="Arial"/>
          <w:lang w:val="en-US"/>
        </w:rPr>
        <w:t xml:space="preserve"> DIAS, CALAÇA, 2024, p.67).</w:t>
      </w:r>
    </w:p>
    <w:p w:rsidR="006C4C09" w:rsidRDefault="006C4C09" w:rsidP="006C4C09">
      <w:pPr>
        <w:spacing w:line="360" w:lineRule="auto"/>
        <w:ind w:firstLine="851"/>
        <w:jc w:val="both"/>
        <w:rPr>
          <w:rFonts w:ascii="Arial" w:hAnsi="Arial" w:cs="Arial"/>
          <w:lang w:val="en-US"/>
        </w:rPr>
      </w:pPr>
      <w:r w:rsidRPr="000A1A64">
        <w:rPr>
          <w:rFonts w:ascii="Arial" w:hAnsi="Arial" w:cs="Arial"/>
          <w:lang w:val="en-US"/>
        </w:rPr>
        <w:t>Desta forma, referindo-se ao Município de Itaperuna</w:t>
      </w:r>
      <w:r>
        <w:rPr>
          <w:rFonts w:ascii="Arial" w:hAnsi="Arial" w:cs="Arial"/>
          <w:lang w:val="en-US"/>
        </w:rPr>
        <w:t xml:space="preserve"> como um território com poder político e autonomia administrativa, instituído por regras e leis</w:t>
      </w:r>
      <w:r w:rsidRPr="000A1A64">
        <w:rPr>
          <w:rFonts w:ascii="Arial" w:hAnsi="Arial" w:cs="Arial"/>
          <w:lang w:val="en-US"/>
        </w:rPr>
        <w:t>, cuja “gestão é realizada por diferentes atores, entre eles o prefeito e seus veradores, que denotam a estrutura de governo” (DIAS, CALAÇA, 2024, p.67)</w:t>
      </w:r>
      <w:r>
        <w:rPr>
          <w:rStyle w:val="FootnoteReference"/>
          <w:rFonts w:ascii="Arial" w:hAnsi="Arial" w:cs="Arial"/>
          <w:lang w:val="en-US"/>
        </w:rPr>
        <w:footnoteReference w:id="6"/>
      </w:r>
      <w:r>
        <w:rPr>
          <w:rFonts w:ascii="Arial" w:hAnsi="Arial" w:cs="Arial"/>
          <w:lang w:val="en-US"/>
        </w:rPr>
        <w:t>, cujas decisões de políticas públicas podem impactar positiva ou negativamente o curso do desenvolvimento do território. Especialmente em virtude do processo de descentralização ter sido aprofundado por intermédio da CF88, a qual fortaleceu os Estados e Municípios, entretanto, muito mais “como níveis meramente administrativos” (NUNES, 1996, p.33), permanecendo a União com a centralização política.</w:t>
      </w: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Isto posto, com as responsabilidades administrativas: </w:t>
      </w:r>
      <w:proofErr w:type="gramStart"/>
      <w:r>
        <w:rPr>
          <w:rFonts w:ascii="Arial" w:hAnsi="Arial" w:cs="Arial"/>
          <w:lang w:val="en-US"/>
        </w:rPr>
        <w:t>a</w:t>
      </w:r>
      <w:proofErr w:type="gramEnd"/>
      <w:r>
        <w:rPr>
          <w:rFonts w:ascii="Arial" w:hAnsi="Arial" w:cs="Arial"/>
          <w:lang w:val="en-US"/>
        </w:rPr>
        <w:t xml:space="preserve"> educaçã</w:t>
      </w:r>
      <w:r w:rsidR="000A7FD9">
        <w:rPr>
          <w:rFonts w:ascii="Arial" w:hAnsi="Arial" w:cs="Arial"/>
          <w:lang w:val="en-US"/>
        </w:rPr>
        <w:t>o básica fundamental, a saúde, o saneamento, a busca pelo aumento da renda e</w:t>
      </w:r>
      <w:r>
        <w:rPr>
          <w:rFonts w:ascii="Arial" w:hAnsi="Arial" w:cs="Arial"/>
          <w:lang w:val="en-US"/>
        </w:rPr>
        <w:t xml:space="preserve"> do número de empregos e o combate às desigualdades sociais, dentre outras. Áreas de atuação elencadas exatamente por constituírem elementos capturados pelos indicadores, cujas variações positivas no espaço e no tempo dependem diretamente da capacidade da gestão em alcançar os patamares que garantirão o alto padrão de qualidade de vida, que deveria ser o objetivo </w:t>
      </w:r>
      <w:proofErr w:type="gramStart"/>
      <w:r>
        <w:rPr>
          <w:rFonts w:ascii="Arial" w:hAnsi="Arial" w:cs="Arial"/>
          <w:lang w:val="en-US"/>
        </w:rPr>
        <w:t>mor</w:t>
      </w:r>
      <w:proofErr w:type="gramEnd"/>
      <w:r>
        <w:rPr>
          <w:rFonts w:ascii="Arial" w:hAnsi="Arial" w:cs="Arial"/>
          <w:lang w:val="en-US"/>
        </w:rPr>
        <w:t xml:space="preserve"> de qualquer ente federado.</w:t>
      </w:r>
    </w:p>
    <w:p w:rsidR="006C4C09" w:rsidRDefault="006C4C09" w:rsidP="006C4C09">
      <w:pPr>
        <w:spacing w:line="360" w:lineRule="auto"/>
        <w:jc w:val="both"/>
        <w:rPr>
          <w:rFonts w:ascii="Arial" w:hAnsi="Arial" w:cs="Arial"/>
          <w:lang w:val="en-US"/>
        </w:rPr>
      </w:pPr>
    </w:p>
    <w:p w:rsidR="006C4C09" w:rsidRPr="00D86300" w:rsidRDefault="006C4C09" w:rsidP="006C4C09">
      <w:pPr>
        <w:spacing w:line="360" w:lineRule="auto"/>
        <w:jc w:val="both"/>
        <w:rPr>
          <w:rFonts w:ascii="Arial" w:hAnsi="Arial" w:cs="Arial"/>
          <w:b/>
          <w:lang w:val="en-US"/>
        </w:rPr>
      </w:pPr>
      <w:r w:rsidRPr="00D86300">
        <w:rPr>
          <w:rFonts w:ascii="Arial" w:hAnsi="Arial" w:cs="Arial"/>
          <w:b/>
          <w:lang w:val="en-US"/>
        </w:rPr>
        <w:t xml:space="preserve">2.1.2 Região: Itaperuna </w:t>
      </w:r>
      <w:proofErr w:type="gramStart"/>
      <w:r w:rsidRPr="00D86300">
        <w:rPr>
          <w:rFonts w:ascii="Arial" w:hAnsi="Arial" w:cs="Arial"/>
          <w:b/>
          <w:lang w:val="en-US"/>
        </w:rPr>
        <w:t>como</w:t>
      </w:r>
      <w:proofErr w:type="gramEnd"/>
      <w:r w:rsidRPr="00D86300">
        <w:rPr>
          <w:rFonts w:ascii="Arial" w:hAnsi="Arial" w:cs="Arial"/>
          <w:b/>
          <w:lang w:val="en-US"/>
        </w:rPr>
        <w:t xml:space="preserve"> polo do Noroeste do Estado do Rio</w:t>
      </w:r>
    </w:p>
    <w:p w:rsidR="006C4C09" w:rsidRDefault="006C4C09" w:rsidP="006C4C09">
      <w:pPr>
        <w:spacing w:line="360" w:lineRule="auto"/>
        <w:jc w:val="both"/>
        <w:rPr>
          <w:rFonts w:ascii="Arial" w:hAnsi="Arial" w:cs="Arial"/>
          <w:b/>
          <w:color w:val="FF0000"/>
          <w:lang w:val="en-US"/>
        </w:rPr>
      </w:pP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A região, neste artigo, assume a concepção de espaços econômicos retratados </w:t>
      </w:r>
      <w:proofErr w:type="gramStart"/>
      <w:r>
        <w:rPr>
          <w:rFonts w:ascii="Arial" w:hAnsi="Arial" w:cs="Arial"/>
          <w:lang w:val="en-US"/>
        </w:rPr>
        <w:t>como</w:t>
      </w:r>
      <w:proofErr w:type="gramEnd"/>
      <w:r>
        <w:rPr>
          <w:rFonts w:ascii="Arial" w:hAnsi="Arial" w:cs="Arial"/>
          <w:lang w:val="en-US"/>
        </w:rPr>
        <w:t xml:space="preserve"> “espaços abstratos constituídos por relações de natureza econômica, como produção, consumo, tributação, investimento, exportação, importação e migração” (CLEMENTE, 2000, p.13). Para melhor compreensão, François Perroux estabeleceu três conceitos distintos desses espaços econômicos: de planejamento, polarizado e homogêneo.</w:t>
      </w: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O espaço </w:t>
      </w:r>
      <w:proofErr w:type="gramStart"/>
      <w:r>
        <w:rPr>
          <w:rFonts w:ascii="Arial" w:hAnsi="Arial" w:cs="Arial"/>
          <w:lang w:val="en-US"/>
        </w:rPr>
        <w:t>como</w:t>
      </w:r>
      <w:proofErr w:type="gramEnd"/>
      <w:r>
        <w:rPr>
          <w:rFonts w:ascii="Arial" w:hAnsi="Arial" w:cs="Arial"/>
          <w:lang w:val="en-US"/>
        </w:rPr>
        <w:t xml:space="preserve"> conteúdo de um plano é o território em que atuam as empresas em suas decisões de compra de insumos e venda da sua produção, </w:t>
      </w:r>
      <w:r>
        <w:rPr>
          <w:rFonts w:ascii="Arial" w:hAnsi="Arial" w:cs="Arial"/>
          <w:lang w:val="en-US"/>
        </w:rPr>
        <w:lastRenderedPageBreak/>
        <w:t xml:space="preserve">e para o poder público trata-se da região de planejamento, donde são elaborados os planos de desenvolvimento regional. Neste caso, para atingir a categoria de alto padrão de acordo com a classificação da FIRJAN por exemplo, a Prefeitura de Itaperuna deve atuar de maneira programática na elevação da performance dos fatores que elevarão o Município a esse patamar. Neste sentido, olhar a melhoria do índice com a consecução de um </w:t>
      </w:r>
      <w:proofErr w:type="gramStart"/>
      <w:r>
        <w:rPr>
          <w:rFonts w:ascii="Arial" w:hAnsi="Arial" w:cs="Arial"/>
          <w:lang w:val="en-US"/>
        </w:rPr>
        <w:t>plano</w:t>
      </w:r>
      <w:proofErr w:type="gramEnd"/>
      <w:r>
        <w:rPr>
          <w:rFonts w:ascii="Arial" w:hAnsi="Arial" w:cs="Arial"/>
          <w:lang w:val="en-US"/>
        </w:rPr>
        <w:t xml:space="preserve"> de desenvolvimento que eleve o ente à condição do mais elevado padrão do IFDM.</w:t>
      </w:r>
    </w:p>
    <w:p w:rsidR="006C4C09" w:rsidRDefault="006C4C09" w:rsidP="006C4C09">
      <w:pPr>
        <w:spacing w:line="360" w:lineRule="auto"/>
        <w:ind w:firstLine="851"/>
        <w:jc w:val="both"/>
        <w:rPr>
          <w:rFonts w:ascii="Arial" w:hAnsi="Arial" w:cs="Arial"/>
          <w:lang w:val="en-US"/>
        </w:rPr>
      </w:pPr>
      <w:r>
        <w:rPr>
          <w:rFonts w:ascii="Arial" w:hAnsi="Arial" w:cs="Arial"/>
          <w:lang w:val="en-US"/>
        </w:rPr>
        <w:t>O espaço polarizado é caracterizado quando uma grande empresa industrial atua no sentido de atrair trabalhadores e outras firmas fornecedoras de insumos e de oferta de mercadorias para o consumo operário, e da mesma forma, uma cidade também pode polarizar o seu entorno com suas oportunidades de emprego e trabalho, comércio, serviços e lazer. Nesta segunda acepção, que se encaixa apropriadamente ao caso de Itaperuna, “o nome região polarizada (ou nodal) traz implícita a existência de um polo (ou nó)” (</w:t>
      </w:r>
      <w:proofErr w:type="gramStart"/>
      <w:r w:rsidRPr="00752F09">
        <w:rPr>
          <w:rFonts w:ascii="Arial" w:hAnsi="Arial" w:cs="Arial"/>
          <w:i/>
          <w:lang w:val="en-US"/>
        </w:rPr>
        <w:t>Ibid.</w:t>
      </w:r>
      <w:r>
        <w:rPr>
          <w:rFonts w:ascii="Arial" w:hAnsi="Arial" w:cs="Arial"/>
          <w:lang w:val="en-US"/>
        </w:rPr>
        <w:t>,</w:t>
      </w:r>
      <w:proofErr w:type="gramEnd"/>
      <w:r>
        <w:rPr>
          <w:rFonts w:ascii="Arial" w:hAnsi="Arial" w:cs="Arial"/>
          <w:lang w:val="en-US"/>
        </w:rPr>
        <w:t xml:space="preserve"> p.15), logo, uma determinada área cincunvizinha que é polarizada pela cidade.</w:t>
      </w:r>
    </w:p>
    <w:p w:rsidR="006C4C09" w:rsidRDefault="006C4C09" w:rsidP="006C4C09">
      <w:pPr>
        <w:spacing w:line="360" w:lineRule="auto"/>
        <w:ind w:firstLine="851"/>
        <w:jc w:val="both"/>
        <w:rPr>
          <w:rFonts w:ascii="Arial" w:hAnsi="Arial" w:cs="Arial"/>
          <w:lang w:val="en-US"/>
        </w:rPr>
      </w:pPr>
      <w:r>
        <w:rPr>
          <w:rFonts w:ascii="Arial" w:hAnsi="Arial" w:cs="Arial"/>
          <w:lang w:val="en-US"/>
        </w:rPr>
        <w:t>Dos três tipos de abordagem de Perroux, o último é o encaixe de Itaperuna como um espaço homogêneo, em virtude da expressão região ser “frequentemente associada a certa uniformidade ou homogeneidade […] Região do Pantanal, Região do ABC Paulista […] que apresentam implícita a ideia de homogeneidade” (</w:t>
      </w:r>
      <w:r w:rsidRPr="00D54055">
        <w:rPr>
          <w:rFonts w:ascii="Arial" w:hAnsi="Arial" w:cs="Arial"/>
          <w:i/>
          <w:lang w:val="en-US"/>
        </w:rPr>
        <w:t>Ibid.</w:t>
      </w:r>
      <w:r>
        <w:rPr>
          <w:rFonts w:ascii="Arial" w:hAnsi="Arial" w:cs="Arial"/>
          <w:lang w:val="en-US"/>
        </w:rPr>
        <w:t>, p.16), deste jeito, configurando-se como a Região Noroeste Fluminense.</w:t>
      </w:r>
    </w:p>
    <w:p w:rsidR="006C4C09" w:rsidRDefault="006C4C09" w:rsidP="006C4C09">
      <w:pPr>
        <w:spacing w:line="360" w:lineRule="auto"/>
        <w:jc w:val="both"/>
        <w:rPr>
          <w:rFonts w:ascii="Arial" w:hAnsi="Arial" w:cs="Arial"/>
          <w:lang w:val="en-US"/>
        </w:rPr>
      </w:pPr>
    </w:p>
    <w:p w:rsidR="006C4C09" w:rsidRPr="00D86300" w:rsidRDefault="006C4C09" w:rsidP="006C4C09">
      <w:pPr>
        <w:spacing w:line="360" w:lineRule="auto"/>
        <w:jc w:val="both"/>
        <w:rPr>
          <w:rFonts w:ascii="Arial" w:hAnsi="Arial" w:cs="Arial"/>
          <w:b/>
          <w:lang w:val="en-US"/>
        </w:rPr>
      </w:pPr>
      <w:r w:rsidRPr="00D86300">
        <w:rPr>
          <w:rFonts w:ascii="Arial" w:hAnsi="Arial" w:cs="Arial"/>
          <w:b/>
          <w:lang w:val="en-US"/>
        </w:rPr>
        <w:t>2.1.3 Desenvolvimento</w:t>
      </w:r>
    </w:p>
    <w:p w:rsidR="006C4C09" w:rsidRDefault="006C4C09" w:rsidP="006C4C09">
      <w:pPr>
        <w:spacing w:line="360" w:lineRule="auto"/>
        <w:jc w:val="both"/>
        <w:rPr>
          <w:rFonts w:ascii="Arial" w:hAnsi="Arial" w:cs="Arial"/>
          <w:lang w:val="en-US"/>
        </w:rPr>
      </w:pP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O desenvolvimento, neste </w:t>
      </w:r>
      <w:r w:rsidRPr="00B35546">
        <w:rPr>
          <w:rFonts w:ascii="Arial" w:hAnsi="Arial" w:cs="Arial"/>
          <w:i/>
          <w:lang w:val="en-US"/>
        </w:rPr>
        <w:t>paper</w:t>
      </w:r>
      <w:r>
        <w:rPr>
          <w:rFonts w:ascii="Arial" w:hAnsi="Arial" w:cs="Arial"/>
          <w:lang w:val="en-US"/>
        </w:rPr>
        <w:t xml:space="preserve">, não tem a mesma conotação </w:t>
      </w:r>
      <w:r w:rsidRPr="001153C3">
        <w:rPr>
          <w:rFonts w:ascii="Arial" w:hAnsi="Arial" w:cs="Arial"/>
          <w:lang w:val="en-US"/>
        </w:rPr>
        <w:t>de crescimento econômico puro e simples</w:t>
      </w:r>
      <w:r>
        <w:rPr>
          <w:rFonts w:ascii="Arial" w:hAnsi="Arial" w:cs="Arial"/>
          <w:lang w:val="en-US"/>
        </w:rPr>
        <w:t xml:space="preserve"> </w:t>
      </w:r>
      <w:proofErr w:type="gramStart"/>
      <w:r>
        <w:rPr>
          <w:rFonts w:ascii="Arial" w:hAnsi="Arial" w:cs="Arial"/>
          <w:lang w:val="en-US"/>
        </w:rPr>
        <w:t>como</w:t>
      </w:r>
      <w:proofErr w:type="gramEnd"/>
      <w:r>
        <w:rPr>
          <w:rFonts w:ascii="Arial" w:hAnsi="Arial" w:cs="Arial"/>
          <w:lang w:val="en-US"/>
        </w:rPr>
        <w:t xml:space="preserve"> os clássicos o utilizavam e que ainda muito se observa. Vale observar</w:t>
      </w:r>
      <w:r w:rsidRPr="001153C3">
        <w:rPr>
          <w:rFonts w:ascii="Arial" w:hAnsi="Arial" w:cs="Arial"/>
          <w:lang w:val="en-US"/>
        </w:rPr>
        <w:t xml:space="preserve"> que “por muito tempo, as abordagens sobre o tema tiveram o crescimento econômico como perspectiva central” (</w:t>
      </w:r>
      <w:r>
        <w:rPr>
          <w:rFonts w:ascii="Arial" w:hAnsi="Arial" w:cs="Arial"/>
          <w:lang w:val="en-US"/>
        </w:rPr>
        <w:t xml:space="preserve">DA MATTA, VERDAN, </w:t>
      </w:r>
      <w:r w:rsidRPr="001153C3">
        <w:rPr>
          <w:rFonts w:ascii="Arial" w:hAnsi="Arial" w:cs="Arial"/>
          <w:lang w:val="en-US"/>
        </w:rPr>
        <w:t>2023, p.18.856)</w:t>
      </w:r>
      <w:r>
        <w:rPr>
          <w:rFonts w:ascii="Arial" w:hAnsi="Arial" w:cs="Arial"/>
          <w:lang w:val="en-US"/>
        </w:rPr>
        <w:t xml:space="preserve">. </w:t>
      </w:r>
      <w:r w:rsidRPr="001153C3">
        <w:rPr>
          <w:rFonts w:ascii="Arial" w:hAnsi="Arial" w:cs="Arial"/>
          <w:lang w:val="en-US"/>
        </w:rPr>
        <w:t xml:space="preserve">Hoje, </w:t>
      </w:r>
      <w:r>
        <w:rPr>
          <w:rFonts w:ascii="Arial" w:hAnsi="Arial" w:cs="Arial"/>
          <w:lang w:val="en-US"/>
        </w:rPr>
        <w:t>os conceitos avançaram bastante com a inclusão de variáveis sociais</w:t>
      </w:r>
      <w:r>
        <w:rPr>
          <w:rStyle w:val="FootnoteReference"/>
          <w:rFonts w:ascii="Arial" w:hAnsi="Arial" w:cs="Arial"/>
          <w:lang w:val="en-US"/>
        </w:rPr>
        <w:footnoteReference w:id="7"/>
      </w:r>
      <w:r>
        <w:rPr>
          <w:rFonts w:ascii="Arial" w:hAnsi="Arial" w:cs="Arial"/>
          <w:lang w:val="en-US"/>
        </w:rPr>
        <w:t xml:space="preserve">, como por exemplo a </w:t>
      </w:r>
      <w:r w:rsidRPr="00AF0113">
        <w:rPr>
          <w:rFonts w:ascii="Arial" w:hAnsi="Arial" w:cs="Arial"/>
          <w:lang w:val="en-US"/>
        </w:rPr>
        <w:t>aferição do IDH</w:t>
      </w:r>
      <w:r>
        <w:rPr>
          <w:rFonts w:ascii="Arial" w:hAnsi="Arial" w:cs="Arial"/>
          <w:lang w:val="en-US"/>
        </w:rPr>
        <w:t xml:space="preserve">, do </w:t>
      </w:r>
      <w:r>
        <w:rPr>
          <w:rFonts w:ascii="Arial" w:hAnsi="Arial" w:cs="Arial"/>
          <w:lang w:val="en-US"/>
        </w:rPr>
        <w:lastRenderedPageBreak/>
        <w:t xml:space="preserve">IFDM e do IVS, parâmetros utilizados pra </w:t>
      </w:r>
      <w:r w:rsidRPr="00AF0113">
        <w:rPr>
          <w:rFonts w:ascii="Arial" w:hAnsi="Arial" w:cs="Arial"/>
          <w:lang w:val="en-US"/>
        </w:rPr>
        <w:t>a</w:t>
      </w:r>
      <w:r>
        <w:rPr>
          <w:rFonts w:ascii="Arial" w:hAnsi="Arial" w:cs="Arial"/>
          <w:lang w:val="en-US"/>
        </w:rPr>
        <w:t>nálise de Itaperuna, e que são</w:t>
      </w:r>
      <w:r w:rsidRPr="00AF0113">
        <w:rPr>
          <w:rFonts w:ascii="Arial" w:hAnsi="Arial" w:cs="Arial"/>
          <w:lang w:val="en-US"/>
        </w:rPr>
        <w:t xml:space="preserve"> um avanço em relação ao uso somente do PIB (</w:t>
      </w:r>
      <w:r w:rsidRPr="00AF0113">
        <w:rPr>
          <w:rFonts w:ascii="Arial" w:hAnsi="Arial" w:cs="Arial"/>
          <w:i/>
          <w:lang w:val="en-US"/>
        </w:rPr>
        <w:t>Ibid.</w:t>
      </w:r>
      <w:r w:rsidRPr="00AF0113">
        <w:rPr>
          <w:rFonts w:ascii="Arial" w:hAnsi="Arial" w:cs="Arial"/>
          <w:lang w:val="en-US"/>
        </w:rPr>
        <w:t>, 2023, p.18.869)</w:t>
      </w:r>
      <w:r w:rsidRPr="001153C3">
        <w:rPr>
          <w:rStyle w:val="FootnoteReference"/>
          <w:rFonts w:ascii="Arial" w:hAnsi="Arial" w:cs="Arial"/>
          <w:lang w:val="en-US"/>
        </w:rPr>
        <w:footnoteReference w:id="8"/>
      </w:r>
      <w:r>
        <w:rPr>
          <w:rFonts w:ascii="Arial" w:hAnsi="Arial" w:cs="Arial"/>
          <w:lang w:val="en-US"/>
        </w:rPr>
        <w:t>.</w:t>
      </w:r>
    </w:p>
    <w:p w:rsidR="006C4C09" w:rsidRDefault="006C4C09" w:rsidP="006C4C09">
      <w:pPr>
        <w:spacing w:line="360" w:lineRule="auto"/>
        <w:jc w:val="both"/>
        <w:rPr>
          <w:rFonts w:ascii="Arial" w:hAnsi="Arial" w:cs="Arial"/>
          <w:lang w:val="en-US"/>
        </w:rPr>
      </w:pPr>
    </w:p>
    <w:p w:rsidR="006C4C09" w:rsidRPr="00D86300" w:rsidRDefault="006C4C09" w:rsidP="006C4C09">
      <w:pPr>
        <w:spacing w:line="360" w:lineRule="auto"/>
        <w:jc w:val="both"/>
        <w:rPr>
          <w:rFonts w:ascii="Arial" w:hAnsi="Arial" w:cs="Arial"/>
          <w:lang w:val="en-US"/>
        </w:rPr>
      </w:pPr>
      <w:r w:rsidRPr="00D86300">
        <w:rPr>
          <w:rFonts w:ascii="Arial" w:hAnsi="Arial" w:cs="Arial"/>
          <w:lang w:val="en-US"/>
        </w:rPr>
        <w:t>2.2 ÍNDICES SINTÉTICOS UTILIZADOS PARA CARACTERIZAÇÃO DO TERRITÓRIO ITAPERUNENSE</w:t>
      </w:r>
    </w:p>
    <w:p w:rsidR="006C4C09" w:rsidRDefault="006C4C09" w:rsidP="006C4C09">
      <w:pPr>
        <w:spacing w:line="360" w:lineRule="auto"/>
        <w:jc w:val="both"/>
        <w:rPr>
          <w:rFonts w:ascii="Arial" w:hAnsi="Arial" w:cs="Arial"/>
          <w:lang w:val="en-US"/>
        </w:rPr>
      </w:pPr>
    </w:p>
    <w:p w:rsidR="006C4C09" w:rsidRDefault="006C4C09" w:rsidP="006C4C09">
      <w:pPr>
        <w:spacing w:line="360" w:lineRule="auto"/>
        <w:ind w:firstLine="851"/>
        <w:jc w:val="both"/>
        <w:rPr>
          <w:rFonts w:ascii="Arial" w:hAnsi="Arial" w:cs="Arial"/>
          <w:lang w:val="en-US"/>
        </w:rPr>
      </w:pPr>
      <w:r>
        <w:rPr>
          <w:rFonts w:ascii="Arial" w:hAnsi="Arial" w:cs="Arial"/>
          <w:lang w:val="en-US"/>
        </w:rPr>
        <w:t>Para a consecução desta análise sobre o território de Itaperuna e a sua performance em ser um polo de desenvolvimento regional, esta pesquisa baseou-se nos indicadores: IFDM, IDH e o IVS, cujas apresentações, ainda que resumidas, são descritas adiante.</w:t>
      </w:r>
    </w:p>
    <w:p w:rsidR="006C4C09" w:rsidRPr="004E685A" w:rsidRDefault="006C4C09" w:rsidP="006C4C09">
      <w:pPr>
        <w:spacing w:line="360" w:lineRule="auto"/>
        <w:jc w:val="both"/>
        <w:rPr>
          <w:rFonts w:ascii="Arial" w:hAnsi="Arial" w:cs="Arial"/>
          <w:lang w:val="en-US"/>
        </w:rPr>
      </w:pPr>
    </w:p>
    <w:p w:rsidR="006C4C09" w:rsidRPr="00A76439" w:rsidRDefault="006C4C09" w:rsidP="006C4C09">
      <w:pPr>
        <w:pStyle w:val="ListParagraph"/>
        <w:numPr>
          <w:ilvl w:val="2"/>
          <w:numId w:val="46"/>
        </w:numPr>
        <w:spacing w:line="360" w:lineRule="auto"/>
        <w:jc w:val="both"/>
        <w:rPr>
          <w:rFonts w:ascii="Arial" w:hAnsi="Arial" w:cs="Arial"/>
          <w:b/>
          <w:sz w:val="24"/>
          <w:szCs w:val="24"/>
          <w:lang w:val="en-US"/>
        </w:rPr>
      </w:pPr>
      <w:r w:rsidRPr="00A76439">
        <w:rPr>
          <w:rFonts w:ascii="Arial" w:hAnsi="Arial" w:cs="Arial"/>
          <w:b/>
          <w:sz w:val="24"/>
          <w:szCs w:val="24"/>
          <w:lang w:val="en-US"/>
        </w:rPr>
        <w:t>O Índice Firjan de Desenvolvimento Municipal</w:t>
      </w:r>
    </w:p>
    <w:p w:rsidR="006C4C09" w:rsidRDefault="006C4C09" w:rsidP="006C4C09">
      <w:pPr>
        <w:spacing w:line="360" w:lineRule="auto"/>
        <w:ind w:firstLine="851"/>
        <w:jc w:val="both"/>
        <w:rPr>
          <w:rFonts w:ascii="Arial" w:hAnsi="Arial" w:cs="Arial"/>
          <w:lang w:val="en-US"/>
        </w:rPr>
      </w:pPr>
    </w:p>
    <w:p w:rsidR="006C4C09" w:rsidRDefault="006C4C09" w:rsidP="006C4C09">
      <w:pPr>
        <w:spacing w:line="360" w:lineRule="auto"/>
        <w:ind w:firstLine="851"/>
        <w:jc w:val="both"/>
        <w:rPr>
          <w:rFonts w:ascii="Arial" w:hAnsi="Arial" w:cs="Arial"/>
          <w:lang w:val="en-US"/>
        </w:rPr>
      </w:pPr>
      <w:r w:rsidRPr="00F55035">
        <w:rPr>
          <w:rFonts w:ascii="Arial" w:hAnsi="Arial" w:cs="Arial"/>
          <w:lang w:val="en-US"/>
        </w:rPr>
        <w:t xml:space="preserve">Com </w:t>
      </w:r>
      <w:r w:rsidRPr="00F55035">
        <w:rPr>
          <w:rFonts w:ascii="Arial" w:hAnsi="Arial" w:cs="Arial"/>
          <w:i/>
          <w:lang w:val="en-US"/>
        </w:rPr>
        <w:t>know how</w:t>
      </w:r>
      <w:r w:rsidRPr="00F55035">
        <w:rPr>
          <w:rFonts w:ascii="Arial" w:hAnsi="Arial" w:cs="Arial"/>
          <w:lang w:val="en-US"/>
        </w:rPr>
        <w:t xml:space="preserve"> de quase duas décadas</w:t>
      </w:r>
      <w:r>
        <w:rPr>
          <w:rFonts w:ascii="Arial" w:hAnsi="Arial" w:cs="Arial"/>
          <w:lang w:val="en-US"/>
        </w:rPr>
        <w:t xml:space="preserve">, a FIRJAN, desde 2008, levanta </w:t>
      </w:r>
      <w:r w:rsidRPr="00F55035">
        <w:rPr>
          <w:rFonts w:ascii="Arial" w:hAnsi="Arial" w:cs="Arial"/>
          <w:lang w:val="en-US"/>
        </w:rPr>
        <w:t>dados de emprego e re</w:t>
      </w:r>
      <w:r w:rsidR="0035288F">
        <w:rPr>
          <w:rFonts w:ascii="Arial" w:hAnsi="Arial" w:cs="Arial"/>
          <w:lang w:val="en-US"/>
        </w:rPr>
        <w:t>nda, saúde e educação em 5.500 m</w:t>
      </w:r>
      <w:r w:rsidRPr="00F55035">
        <w:rPr>
          <w:rFonts w:ascii="Arial" w:hAnsi="Arial" w:cs="Arial"/>
          <w:lang w:val="en-US"/>
        </w:rPr>
        <w:t xml:space="preserve">unicípios brasileiros a respeito do desenvolvimento desses entes da federação, por intermédio de levantamentos capturados em fontes oficiais, anualmente coletadas na esfera federal e com recortes municipais. O resultado do IFDM oscila entre zero e um, com as categorizações das tipologias de desenvolvimento variando de zero </w:t>
      </w:r>
      <w:proofErr w:type="gramStart"/>
      <w:r w:rsidRPr="00F55035">
        <w:rPr>
          <w:rFonts w:ascii="Arial" w:hAnsi="Arial" w:cs="Arial"/>
          <w:lang w:val="en-US"/>
        </w:rPr>
        <w:t>a</w:t>
      </w:r>
      <w:proofErr w:type="gramEnd"/>
      <w:r w:rsidRPr="00F55035">
        <w:rPr>
          <w:rFonts w:ascii="Arial" w:hAnsi="Arial" w:cs="Arial"/>
          <w:lang w:val="en-US"/>
        </w:rPr>
        <w:t xml:space="preserve"> um: Crítico (0.0 a 0.4); Baixo (0.4 a 0.6); Moderado (0.6 a 0.8); e territórios com Alto padrão de desenvolvimento (0.8 a 1.0).</w:t>
      </w:r>
    </w:p>
    <w:p w:rsidR="006C4C09" w:rsidRPr="00A27653" w:rsidRDefault="006C4C09" w:rsidP="006C4C09">
      <w:pPr>
        <w:spacing w:line="360" w:lineRule="auto"/>
        <w:ind w:firstLine="851"/>
        <w:jc w:val="both"/>
        <w:rPr>
          <w:rFonts w:ascii="Arial" w:hAnsi="Arial" w:cs="Arial"/>
          <w:lang w:val="en-US"/>
        </w:rPr>
      </w:pPr>
    </w:p>
    <w:p w:rsidR="006C4C09" w:rsidRDefault="006C4C09" w:rsidP="006C4C09">
      <w:pPr>
        <w:spacing w:line="360" w:lineRule="auto"/>
        <w:jc w:val="both"/>
        <w:rPr>
          <w:rFonts w:ascii="Arial" w:hAnsi="Arial" w:cs="Arial"/>
          <w:b/>
          <w:lang w:val="en-US"/>
        </w:rPr>
      </w:pPr>
      <w:r>
        <w:rPr>
          <w:rFonts w:ascii="Arial" w:hAnsi="Arial" w:cs="Arial"/>
          <w:b/>
          <w:lang w:val="en-US"/>
        </w:rPr>
        <w:t>2.2.2 O Índice de Desenvolvimento Humano</w:t>
      </w:r>
    </w:p>
    <w:p w:rsidR="006C4C09" w:rsidRDefault="006C4C09" w:rsidP="006C4C09">
      <w:pPr>
        <w:spacing w:line="360" w:lineRule="auto"/>
        <w:jc w:val="both"/>
        <w:rPr>
          <w:rFonts w:ascii="Arial" w:hAnsi="Arial" w:cs="Arial"/>
          <w:b/>
          <w:lang w:val="en-US"/>
        </w:rPr>
      </w:pP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O IDH é um indicador viabilizado pelo PNUD, sendo publicado desde 1993 – ano base 1991. Foi concebido por Mahbub ul Haq com a colaboração de Amartya Sen, para os quais só há desenvolvimento quando os benefícios do crescimento sirvam à ampliação das capacidades humanas: ter uma longevidade saudável, medida pela expectativa de vida; ter acesso a educação e ser instruído, medido pela média de anos estudados e pela expectativa de escolaridade e taxas de matrícula; e ter acesso aos recursos necessários a um </w:t>
      </w:r>
      <w:r>
        <w:rPr>
          <w:rFonts w:ascii="Arial" w:hAnsi="Arial" w:cs="Arial"/>
          <w:lang w:val="en-US"/>
        </w:rPr>
        <w:lastRenderedPageBreak/>
        <w:t xml:space="preserve">nível de vida digno, cujo padrão de renda é auferido pela média </w:t>
      </w:r>
      <w:r w:rsidRPr="00F47837">
        <w:rPr>
          <w:rFonts w:ascii="Arial" w:hAnsi="Arial" w:cs="Arial"/>
          <w:i/>
          <w:lang w:val="en-US"/>
        </w:rPr>
        <w:t>per capita</w:t>
      </w:r>
      <w:r>
        <w:rPr>
          <w:rFonts w:ascii="Arial" w:hAnsi="Arial" w:cs="Arial"/>
          <w:lang w:val="en-US"/>
        </w:rPr>
        <w:t xml:space="preserve">. Portanto, um índice apurado a partir de dados da: saúde, educação e renda. Seus resultados são apresentados para cada um dos entes da federação: União, Estados, Distrito Federal e Municípios, o que permite um </w:t>
      </w:r>
      <w:r w:rsidRPr="00F47837">
        <w:rPr>
          <w:rFonts w:ascii="Arial" w:hAnsi="Arial" w:cs="Arial"/>
          <w:i/>
          <w:lang w:val="en-US"/>
        </w:rPr>
        <w:t>ranking</w:t>
      </w:r>
      <w:r>
        <w:rPr>
          <w:rFonts w:ascii="Arial" w:hAnsi="Arial" w:cs="Arial"/>
          <w:lang w:val="en-US"/>
        </w:rPr>
        <w:t xml:space="preserve"> e uma análise comparativa</w:t>
      </w:r>
      <w:r w:rsidRPr="00F55035">
        <w:rPr>
          <w:rFonts w:ascii="Arial" w:hAnsi="Arial" w:cs="Arial"/>
          <w:lang w:val="en-US"/>
        </w:rPr>
        <w:t xml:space="preserve">. </w:t>
      </w:r>
      <w:r>
        <w:rPr>
          <w:rFonts w:ascii="Arial" w:hAnsi="Arial" w:cs="Arial"/>
          <w:lang w:val="en-US"/>
        </w:rPr>
        <w:t>O I</w:t>
      </w:r>
      <w:r w:rsidRPr="00F55035">
        <w:rPr>
          <w:rFonts w:ascii="Arial" w:hAnsi="Arial" w:cs="Arial"/>
          <w:lang w:val="en-US"/>
        </w:rPr>
        <w:t>D</w:t>
      </w:r>
      <w:r>
        <w:rPr>
          <w:rFonts w:ascii="Arial" w:hAnsi="Arial" w:cs="Arial"/>
          <w:lang w:val="en-US"/>
        </w:rPr>
        <w:t>H</w:t>
      </w:r>
      <w:r w:rsidRPr="00F55035">
        <w:rPr>
          <w:rFonts w:ascii="Arial" w:hAnsi="Arial" w:cs="Arial"/>
          <w:lang w:val="en-US"/>
        </w:rPr>
        <w:t xml:space="preserve"> oscila en</w:t>
      </w:r>
      <w:r>
        <w:rPr>
          <w:rFonts w:ascii="Arial" w:hAnsi="Arial" w:cs="Arial"/>
          <w:lang w:val="en-US"/>
        </w:rPr>
        <w:t>tre zero e um, com a seguinte classificação: Muito Baixo</w:t>
      </w:r>
      <w:r w:rsidRPr="00F55035">
        <w:rPr>
          <w:rFonts w:ascii="Arial" w:hAnsi="Arial" w:cs="Arial"/>
          <w:lang w:val="en-US"/>
        </w:rPr>
        <w:t xml:space="preserve"> (0.0</w:t>
      </w:r>
      <w:r>
        <w:rPr>
          <w:rFonts w:ascii="Arial" w:hAnsi="Arial" w:cs="Arial"/>
          <w:lang w:val="en-US"/>
        </w:rPr>
        <w:t>00</w:t>
      </w:r>
      <w:r w:rsidRPr="00F55035">
        <w:rPr>
          <w:rFonts w:ascii="Arial" w:hAnsi="Arial" w:cs="Arial"/>
          <w:lang w:val="en-US"/>
        </w:rPr>
        <w:t xml:space="preserve"> a 0.4</w:t>
      </w:r>
      <w:r>
        <w:rPr>
          <w:rFonts w:ascii="Arial" w:hAnsi="Arial" w:cs="Arial"/>
          <w:lang w:val="en-US"/>
        </w:rPr>
        <w:t>99</w:t>
      </w:r>
      <w:r w:rsidRPr="00F55035">
        <w:rPr>
          <w:rFonts w:ascii="Arial" w:hAnsi="Arial" w:cs="Arial"/>
          <w:lang w:val="en-US"/>
        </w:rPr>
        <w:t>)</w:t>
      </w:r>
      <w:r>
        <w:rPr>
          <w:rFonts w:ascii="Arial" w:hAnsi="Arial" w:cs="Arial"/>
          <w:lang w:val="en-US"/>
        </w:rPr>
        <w:t>; Baixo (0.500 a 0.599); Médio (0.600 a 0.699</w:t>
      </w:r>
      <w:r w:rsidRPr="00F55035">
        <w:rPr>
          <w:rFonts w:ascii="Arial" w:hAnsi="Arial" w:cs="Arial"/>
          <w:lang w:val="en-US"/>
        </w:rPr>
        <w:t>)</w:t>
      </w:r>
      <w:r>
        <w:rPr>
          <w:rFonts w:ascii="Arial" w:hAnsi="Arial" w:cs="Arial"/>
          <w:lang w:val="en-US"/>
        </w:rPr>
        <w:t>; Alto (0.700 a 0.799</w:t>
      </w:r>
      <w:r w:rsidRPr="00F55035">
        <w:rPr>
          <w:rFonts w:ascii="Arial" w:hAnsi="Arial" w:cs="Arial"/>
          <w:lang w:val="en-US"/>
        </w:rPr>
        <w:t>)</w:t>
      </w:r>
      <w:r>
        <w:rPr>
          <w:rFonts w:ascii="Arial" w:hAnsi="Arial" w:cs="Arial"/>
          <w:lang w:val="en-US"/>
        </w:rPr>
        <w:t>; e Muito Alto (0.800 a 1.000).</w:t>
      </w:r>
    </w:p>
    <w:p w:rsidR="006C4C09" w:rsidRDefault="006C4C09" w:rsidP="006C4C09">
      <w:pPr>
        <w:spacing w:line="360" w:lineRule="auto"/>
        <w:jc w:val="both"/>
        <w:rPr>
          <w:rFonts w:ascii="Arial" w:hAnsi="Arial" w:cs="Arial"/>
          <w:lang w:val="en-US"/>
        </w:rPr>
      </w:pPr>
    </w:p>
    <w:p w:rsidR="006C4C09" w:rsidRDefault="006C4C09" w:rsidP="006C4C09">
      <w:pPr>
        <w:spacing w:line="360" w:lineRule="auto"/>
        <w:jc w:val="both"/>
        <w:rPr>
          <w:rFonts w:ascii="Arial" w:hAnsi="Arial" w:cs="Arial"/>
          <w:b/>
          <w:lang w:val="en-US"/>
        </w:rPr>
      </w:pPr>
      <w:r>
        <w:rPr>
          <w:rFonts w:ascii="Arial" w:hAnsi="Arial" w:cs="Arial"/>
          <w:b/>
          <w:lang w:val="en-US"/>
        </w:rPr>
        <w:t>2.2.3 O Índice de Vulnerabilidade Social</w:t>
      </w:r>
    </w:p>
    <w:p w:rsidR="006C4C09" w:rsidRDefault="006C4C09" w:rsidP="006C4C09">
      <w:pPr>
        <w:spacing w:line="360" w:lineRule="auto"/>
        <w:jc w:val="both"/>
        <w:rPr>
          <w:rFonts w:ascii="Arial" w:hAnsi="Arial" w:cs="Arial"/>
          <w:lang w:val="en-US"/>
        </w:rPr>
      </w:pPr>
    </w:p>
    <w:p w:rsidR="006C4C09" w:rsidRDefault="006C4C09" w:rsidP="006C4C09">
      <w:pPr>
        <w:spacing w:line="360" w:lineRule="auto"/>
        <w:ind w:firstLine="851"/>
        <w:jc w:val="both"/>
        <w:rPr>
          <w:rFonts w:ascii="Arial" w:hAnsi="Arial" w:cs="Arial"/>
          <w:lang w:val="en-US"/>
        </w:rPr>
      </w:pPr>
      <w:proofErr w:type="gramStart"/>
      <w:r>
        <w:rPr>
          <w:rFonts w:ascii="Arial" w:hAnsi="Arial" w:cs="Arial"/>
          <w:lang w:val="en-US"/>
        </w:rPr>
        <w:t>O IVS revela um panorama sobre a desigualdade permitindo conhecer e comparar as diversas espacialidades por intermédio de diversas categorias.</w:t>
      </w:r>
      <w:proofErr w:type="gramEnd"/>
      <w:r>
        <w:rPr>
          <w:rFonts w:ascii="Arial" w:hAnsi="Arial" w:cs="Arial"/>
          <w:lang w:val="en-US"/>
        </w:rPr>
        <w:t xml:space="preserve"> </w:t>
      </w:r>
      <w:proofErr w:type="gramStart"/>
      <w:r>
        <w:rPr>
          <w:rFonts w:ascii="Arial" w:hAnsi="Arial" w:cs="Arial"/>
          <w:lang w:val="en-US"/>
        </w:rPr>
        <w:t>Cada qual com variáveis específicas, que auferem em seu conjunto o índice geral.</w:t>
      </w:r>
      <w:proofErr w:type="gramEnd"/>
      <w:r>
        <w:rPr>
          <w:rFonts w:ascii="Arial" w:hAnsi="Arial" w:cs="Arial"/>
          <w:lang w:val="en-US"/>
        </w:rPr>
        <w:t xml:space="preserve"> </w:t>
      </w:r>
      <w:proofErr w:type="gramStart"/>
      <w:r>
        <w:rPr>
          <w:rFonts w:ascii="Arial" w:hAnsi="Arial" w:cs="Arial"/>
          <w:lang w:val="en-US"/>
        </w:rPr>
        <w:t>Neste formato, cada um dos assuntos abordados possui uma escala de classificação adaptada, portanto, distintas para cada bloco de averiguação.</w:t>
      </w:r>
      <w:proofErr w:type="gramEnd"/>
      <w:r>
        <w:rPr>
          <w:rFonts w:ascii="Arial" w:hAnsi="Arial" w:cs="Arial"/>
          <w:lang w:val="en-US"/>
        </w:rPr>
        <w:t xml:space="preserve"> Mas o geral oscila numa escala entre zero e um, onde números mais altos próximos de 1 indicam maior vulnerabilidade social: 0.000 a 0.200 (Muito Baixa), 0.201 a 0.300 (Baixa), 0.301 a 0.400 (Média), 0.401 a 0.500 (Alta) e entre 0.501-1.000 (Muito Alta).</w:t>
      </w:r>
    </w:p>
    <w:p w:rsidR="006C4C09" w:rsidRDefault="006C4C09" w:rsidP="006C4C09">
      <w:pPr>
        <w:spacing w:line="360" w:lineRule="auto"/>
        <w:jc w:val="both"/>
        <w:rPr>
          <w:rFonts w:ascii="Arial" w:hAnsi="Arial" w:cs="Arial"/>
          <w:lang w:val="en-US"/>
        </w:rPr>
      </w:pPr>
    </w:p>
    <w:p w:rsidR="006C4C09" w:rsidRDefault="006C4C09" w:rsidP="006C4C09">
      <w:pPr>
        <w:pStyle w:val="ListParagraph"/>
        <w:numPr>
          <w:ilvl w:val="0"/>
          <w:numId w:val="45"/>
        </w:numPr>
        <w:spacing w:line="360" w:lineRule="auto"/>
        <w:ind w:hanging="218"/>
        <w:jc w:val="both"/>
        <w:rPr>
          <w:rFonts w:ascii="Arial" w:hAnsi="Arial" w:cs="Arial"/>
          <w:b/>
          <w:sz w:val="24"/>
          <w:szCs w:val="24"/>
          <w:lang w:val="en-US"/>
        </w:rPr>
      </w:pPr>
      <w:r>
        <w:rPr>
          <w:rFonts w:ascii="Arial" w:hAnsi="Arial" w:cs="Arial"/>
          <w:b/>
          <w:sz w:val="24"/>
          <w:szCs w:val="24"/>
          <w:lang w:val="en-US"/>
        </w:rPr>
        <w:t xml:space="preserve"> </w:t>
      </w:r>
      <w:r w:rsidRPr="000A1808">
        <w:rPr>
          <w:rFonts w:ascii="Arial" w:hAnsi="Arial" w:cs="Arial"/>
          <w:b/>
          <w:sz w:val="24"/>
          <w:szCs w:val="24"/>
          <w:lang w:val="en-US"/>
        </w:rPr>
        <w:t>O TERRITÓRIO DE ITAPERUNA</w:t>
      </w:r>
    </w:p>
    <w:p w:rsidR="006C4C09" w:rsidRDefault="006C4C09" w:rsidP="006C4C09">
      <w:pPr>
        <w:pStyle w:val="ListParagraph"/>
        <w:rPr>
          <w:rFonts w:ascii="Arial" w:hAnsi="Arial" w:cs="Arial"/>
          <w:b/>
          <w:sz w:val="24"/>
          <w:szCs w:val="24"/>
          <w:lang w:val="en-US"/>
        </w:rPr>
      </w:pPr>
    </w:p>
    <w:p w:rsidR="006C4C09" w:rsidRPr="00A4060F" w:rsidRDefault="006C4C09" w:rsidP="006C4C09">
      <w:pPr>
        <w:spacing w:line="360" w:lineRule="auto"/>
        <w:ind w:firstLine="851"/>
        <w:jc w:val="both"/>
        <w:rPr>
          <w:rFonts w:ascii="Arial" w:hAnsi="Arial" w:cs="Arial"/>
          <w:lang w:val="en-US"/>
        </w:rPr>
      </w:pPr>
      <w:r w:rsidRPr="00A4060F">
        <w:rPr>
          <w:rFonts w:ascii="Arial" w:hAnsi="Arial" w:cs="Arial"/>
          <w:lang w:val="en-US"/>
        </w:rPr>
        <w:t>O território de Itaperuna, atualmente com uma área de 1.106,694 Km², no início da colonização portuguesa fazia parte da Capitania de São Tomé, criada em 1534</w:t>
      </w:r>
      <w:r>
        <w:rPr>
          <w:rFonts w:ascii="Arial" w:hAnsi="Arial" w:cs="Arial"/>
          <w:lang w:val="en-US"/>
        </w:rPr>
        <w:t xml:space="preserve"> (TCERJ, 2021). Todavia</w:t>
      </w:r>
      <w:r w:rsidRPr="00A4060F">
        <w:rPr>
          <w:rFonts w:ascii="Arial" w:hAnsi="Arial" w:cs="Arial"/>
          <w:lang w:val="en-US"/>
        </w:rPr>
        <w:t xml:space="preserve">, o desbravamento da região não foi imediato iniciando-se por </w:t>
      </w:r>
      <w:proofErr w:type="gramStart"/>
      <w:r w:rsidRPr="00A4060F">
        <w:rPr>
          <w:rFonts w:ascii="Arial" w:hAnsi="Arial" w:cs="Arial"/>
          <w:lang w:val="en-US"/>
        </w:rPr>
        <w:t>volta</w:t>
      </w:r>
      <w:proofErr w:type="gramEnd"/>
      <w:r w:rsidRPr="00A4060F">
        <w:rPr>
          <w:rFonts w:ascii="Arial" w:hAnsi="Arial" w:cs="Arial"/>
          <w:lang w:val="en-US"/>
        </w:rPr>
        <w:t xml:space="preserve"> do início do</w:t>
      </w:r>
      <w:r>
        <w:rPr>
          <w:rFonts w:ascii="Arial" w:hAnsi="Arial" w:cs="Arial"/>
          <w:lang w:val="en-US"/>
        </w:rPr>
        <w:t xml:space="preserve"> século XIX e somente em 1889 foi</w:t>
      </w:r>
      <w:r w:rsidRPr="00A4060F">
        <w:rPr>
          <w:rFonts w:ascii="Arial" w:hAnsi="Arial" w:cs="Arial"/>
          <w:lang w:val="en-US"/>
        </w:rPr>
        <w:t xml:space="preserve"> criado o Município (IBGE, 1959, p.271). Portanto, comemorando ce</w:t>
      </w:r>
      <w:r>
        <w:rPr>
          <w:rFonts w:ascii="Arial" w:hAnsi="Arial" w:cs="Arial"/>
          <w:lang w:val="en-US"/>
        </w:rPr>
        <w:t>nto e trinta e seis</w:t>
      </w:r>
      <w:r w:rsidRPr="00A4060F">
        <w:rPr>
          <w:rFonts w:ascii="Arial" w:hAnsi="Arial" w:cs="Arial"/>
          <w:lang w:val="en-US"/>
        </w:rPr>
        <w:t xml:space="preserve"> anos </w:t>
      </w:r>
      <w:proofErr w:type="gramStart"/>
      <w:r w:rsidRPr="00A4060F">
        <w:rPr>
          <w:rFonts w:ascii="Arial" w:hAnsi="Arial" w:cs="Arial"/>
          <w:lang w:val="en-US"/>
        </w:rPr>
        <w:t>como</w:t>
      </w:r>
      <w:proofErr w:type="gramEnd"/>
      <w:r w:rsidRPr="00A4060F">
        <w:rPr>
          <w:rFonts w:ascii="Arial" w:hAnsi="Arial" w:cs="Arial"/>
          <w:lang w:val="en-US"/>
        </w:rPr>
        <w:t xml:space="preserve"> municipalidade neste ano de 2025.</w:t>
      </w:r>
    </w:p>
    <w:p w:rsidR="006C4C09" w:rsidRPr="00A4060F" w:rsidRDefault="006C4C09" w:rsidP="006C4C09">
      <w:pPr>
        <w:spacing w:line="360" w:lineRule="auto"/>
        <w:ind w:firstLine="851"/>
        <w:jc w:val="both"/>
        <w:rPr>
          <w:rFonts w:ascii="Arial" w:hAnsi="Arial" w:cs="Arial"/>
          <w:lang w:val="en-US"/>
        </w:rPr>
      </w:pPr>
      <w:r w:rsidRPr="00A4060F">
        <w:rPr>
          <w:rFonts w:ascii="Arial" w:hAnsi="Arial" w:cs="Arial"/>
          <w:lang w:val="en-US"/>
        </w:rPr>
        <w:t>Itaperuna, cujo nome provém da etimologia indígena significando C</w:t>
      </w:r>
      <w:r w:rsidR="00D46E2E">
        <w:rPr>
          <w:rFonts w:ascii="Arial" w:hAnsi="Arial" w:cs="Arial"/>
          <w:lang w:val="en-US"/>
        </w:rPr>
        <w:t>aminho da Pedra Preta ou Tapir P</w:t>
      </w:r>
      <w:r w:rsidRPr="00A4060F">
        <w:rPr>
          <w:rFonts w:ascii="Arial" w:hAnsi="Arial" w:cs="Arial"/>
          <w:lang w:val="en-US"/>
        </w:rPr>
        <w:t>reto, uma referência à Pedra do Elefante</w:t>
      </w:r>
      <w:r w:rsidRPr="00A4060F">
        <w:rPr>
          <w:rStyle w:val="FootnoteReference"/>
          <w:rFonts w:ascii="Arial" w:hAnsi="Arial" w:cs="Arial"/>
          <w:lang w:val="en-US"/>
        </w:rPr>
        <w:footnoteReference w:id="9"/>
      </w:r>
      <w:r w:rsidRPr="00A4060F">
        <w:rPr>
          <w:rFonts w:ascii="Arial" w:hAnsi="Arial" w:cs="Arial"/>
          <w:lang w:val="en-US"/>
        </w:rPr>
        <w:t>, com uma população de</w:t>
      </w:r>
      <w:r>
        <w:rPr>
          <w:rFonts w:ascii="Arial" w:hAnsi="Arial" w:cs="Arial"/>
          <w:lang w:val="en-US"/>
        </w:rPr>
        <w:t xml:space="preserve"> </w:t>
      </w:r>
      <w:r w:rsidRPr="00A4060F">
        <w:rPr>
          <w:rFonts w:ascii="Arial" w:hAnsi="Arial" w:cs="Arial"/>
          <w:lang w:val="en-US"/>
        </w:rPr>
        <w:t>101.041 pessoas no Censo Demográfico de 2022 (IBGE), estaria com uma</w:t>
      </w:r>
      <w:r>
        <w:rPr>
          <w:rFonts w:ascii="Arial" w:hAnsi="Arial" w:cs="Arial"/>
          <w:color w:val="FF0000"/>
          <w:lang w:val="en-US"/>
        </w:rPr>
        <w:t xml:space="preserve"> </w:t>
      </w:r>
      <w:r w:rsidRPr="00A4060F">
        <w:rPr>
          <w:rFonts w:ascii="Arial" w:hAnsi="Arial" w:cs="Arial"/>
          <w:lang w:val="en-US"/>
        </w:rPr>
        <w:t>populaç</w:t>
      </w:r>
      <w:r>
        <w:rPr>
          <w:rFonts w:ascii="Arial" w:hAnsi="Arial" w:cs="Arial"/>
          <w:lang w:val="en-US"/>
        </w:rPr>
        <w:t xml:space="preserve">ão estimada pelo IBGE em 107.297 pessoas </w:t>
      </w:r>
      <w:r>
        <w:rPr>
          <w:rFonts w:ascii="Arial" w:hAnsi="Arial" w:cs="Arial"/>
          <w:lang w:val="en-US"/>
        </w:rPr>
        <w:lastRenderedPageBreak/>
        <w:t>em 2025</w:t>
      </w:r>
      <w:r w:rsidRPr="00A4060F">
        <w:rPr>
          <w:rFonts w:ascii="Arial" w:hAnsi="Arial" w:cs="Arial"/>
          <w:lang w:val="en-US"/>
        </w:rPr>
        <w:t>, o que confere u</w:t>
      </w:r>
      <w:r>
        <w:rPr>
          <w:rFonts w:ascii="Arial" w:hAnsi="Arial" w:cs="Arial"/>
          <w:lang w:val="en-US"/>
        </w:rPr>
        <w:t>ma densidade demográfica de 97 hab/Km², aproximadamente.</w:t>
      </w:r>
    </w:p>
    <w:p w:rsidR="006C4C09" w:rsidRPr="00A4060F" w:rsidRDefault="006C4C09" w:rsidP="006C4C09">
      <w:pPr>
        <w:spacing w:line="360" w:lineRule="auto"/>
        <w:ind w:firstLine="851"/>
        <w:jc w:val="both"/>
        <w:rPr>
          <w:rFonts w:ascii="Arial" w:hAnsi="Arial" w:cs="Arial"/>
          <w:lang w:val="en-US"/>
        </w:rPr>
      </w:pPr>
      <w:r>
        <w:rPr>
          <w:rFonts w:ascii="Arial" w:hAnsi="Arial" w:cs="Arial"/>
          <w:lang w:val="en-US"/>
        </w:rPr>
        <w:t>Destarte, vale ressaltar</w:t>
      </w:r>
      <w:r w:rsidRPr="002D2B18">
        <w:rPr>
          <w:rFonts w:ascii="Arial" w:hAnsi="Arial" w:cs="Arial"/>
          <w:lang w:val="en-US"/>
        </w:rPr>
        <w:t>, que o território itaperunense</w:t>
      </w:r>
      <w:r>
        <w:rPr>
          <w:rFonts w:ascii="Arial" w:hAnsi="Arial" w:cs="Arial"/>
          <w:lang w:val="en-US"/>
        </w:rPr>
        <w:t xml:space="preserve">, </w:t>
      </w:r>
      <w:r w:rsidRPr="00AF7526">
        <w:rPr>
          <w:rFonts w:ascii="Arial" w:hAnsi="Arial" w:cs="Arial"/>
          <w:lang w:val="en-US"/>
        </w:rPr>
        <w:t>sendo o 28° mais populoso do Estado do Rio, destaca-se como o primeiro IFDM dentre os municípios</w:t>
      </w:r>
      <w:r>
        <w:rPr>
          <w:rFonts w:ascii="Arial" w:hAnsi="Arial" w:cs="Arial"/>
          <w:lang w:val="en-US"/>
        </w:rPr>
        <w:t xml:space="preserve"> do N</w:t>
      </w:r>
      <w:r w:rsidRPr="002D2B18">
        <w:rPr>
          <w:rFonts w:ascii="Arial" w:hAnsi="Arial" w:cs="Arial"/>
          <w:lang w:val="en-US"/>
        </w:rPr>
        <w:t>or</w:t>
      </w:r>
      <w:r>
        <w:rPr>
          <w:rFonts w:ascii="Arial" w:hAnsi="Arial" w:cs="Arial"/>
          <w:lang w:val="en-US"/>
        </w:rPr>
        <w:t>oeste fluminense, o que o confirma</w:t>
      </w:r>
      <w:r w:rsidRPr="002D2B18">
        <w:rPr>
          <w:rFonts w:ascii="Arial" w:hAnsi="Arial" w:cs="Arial"/>
          <w:lang w:val="en-US"/>
        </w:rPr>
        <w:t xml:space="preserve"> co</w:t>
      </w:r>
      <w:r>
        <w:rPr>
          <w:rFonts w:ascii="Arial" w:hAnsi="Arial" w:cs="Arial"/>
          <w:lang w:val="en-US"/>
        </w:rPr>
        <w:t>mo polo dessa região</w:t>
      </w:r>
      <w:r w:rsidRPr="002D2B18">
        <w:rPr>
          <w:rFonts w:ascii="Arial" w:hAnsi="Arial" w:cs="Arial"/>
          <w:lang w:val="en-US"/>
        </w:rPr>
        <w:t>.</w:t>
      </w:r>
      <w:r>
        <w:rPr>
          <w:rFonts w:ascii="Arial" w:hAnsi="Arial" w:cs="Arial"/>
          <w:lang w:val="en-US"/>
        </w:rPr>
        <w:t xml:space="preserve"> </w:t>
      </w:r>
      <w:r w:rsidRPr="00A4060F">
        <w:rPr>
          <w:rFonts w:ascii="Arial" w:hAnsi="Arial" w:cs="Arial"/>
          <w:lang w:val="en-US"/>
        </w:rPr>
        <w:t xml:space="preserve">Essa liderança no mercado regional justifica-se por ter se tornado um centro de qualidade e referência para a região e entorno com suas indústrias, comércio e prestação de serviços </w:t>
      </w:r>
      <w:proofErr w:type="gramStart"/>
      <w:r w:rsidRPr="00A4060F">
        <w:rPr>
          <w:rFonts w:ascii="Arial" w:hAnsi="Arial" w:cs="Arial"/>
          <w:lang w:val="en-US"/>
        </w:rPr>
        <w:t>como</w:t>
      </w:r>
      <w:proofErr w:type="gramEnd"/>
      <w:r w:rsidRPr="00A4060F">
        <w:rPr>
          <w:rFonts w:ascii="Arial" w:hAnsi="Arial" w:cs="Arial"/>
          <w:lang w:val="en-US"/>
        </w:rPr>
        <w:t xml:space="preserve"> as diversas áreas da saúde, inclusive sediando cursos superiores nesse segmento e em outras áreas. </w:t>
      </w:r>
    </w:p>
    <w:p w:rsidR="006C4C09" w:rsidRPr="00A4060F" w:rsidRDefault="006C4C09" w:rsidP="006C4C09">
      <w:pPr>
        <w:spacing w:line="360" w:lineRule="auto"/>
        <w:ind w:firstLine="851"/>
        <w:jc w:val="both"/>
        <w:rPr>
          <w:rFonts w:ascii="Arial" w:hAnsi="Arial" w:cs="Arial"/>
          <w:lang w:val="en-US"/>
        </w:rPr>
      </w:pPr>
      <w:r w:rsidRPr="00A4060F">
        <w:rPr>
          <w:rFonts w:ascii="Arial" w:hAnsi="Arial" w:cs="Arial"/>
          <w:lang w:val="en-US"/>
        </w:rPr>
        <w:t xml:space="preserve">Pelo último PIB calculado, registrou um valor </w:t>
      </w:r>
      <w:r w:rsidRPr="00A4060F">
        <w:rPr>
          <w:rFonts w:ascii="Arial" w:hAnsi="Arial" w:cs="Arial"/>
          <w:i/>
          <w:lang w:val="en-US"/>
        </w:rPr>
        <w:t>per capita</w:t>
      </w:r>
      <w:r w:rsidRPr="00A4060F">
        <w:rPr>
          <w:rFonts w:ascii="Arial" w:hAnsi="Arial" w:cs="Arial"/>
          <w:lang w:val="en-US"/>
        </w:rPr>
        <w:t xml:space="preserve"> de R$ 32.533,22, o que relacionado </w:t>
      </w:r>
      <w:proofErr w:type="gramStart"/>
      <w:r w:rsidRPr="00A4060F">
        <w:rPr>
          <w:rFonts w:ascii="Arial" w:hAnsi="Arial" w:cs="Arial"/>
          <w:lang w:val="en-US"/>
        </w:rPr>
        <w:t>a</w:t>
      </w:r>
      <w:proofErr w:type="gramEnd"/>
      <w:r w:rsidRPr="00A4060F">
        <w:rPr>
          <w:rFonts w:ascii="Arial" w:hAnsi="Arial" w:cs="Arial"/>
          <w:lang w:val="en-US"/>
        </w:rPr>
        <w:t xml:space="preserve"> um salário médio da classe trabalhadora </w:t>
      </w:r>
      <w:r>
        <w:rPr>
          <w:rFonts w:ascii="Arial" w:hAnsi="Arial" w:cs="Arial"/>
          <w:lang w:val="en-US"/>
        </w:rPr>
        <w:t>formal em torno de R$ 2.884,2</w:t>
      </w:r>
      <w:r w:rsidRPr="00A4060F">
        <w:rPr>
          <w:rFonts w:ascii="Arial" w:hAnsi="Arial" w:cs="Arial"/>
          <w:lang w:val="en-US"/>
        </w:rPr>
        <w:t>0 demonstra existir uma distribuição de renda bastante desigual</w:t>
      </w:r>
      <w:r>
        <w:rPr>
          <w:rFonts w:ascii="Arial" w:hAnsi="Arial" w:cs="Arial"/>
          <w:lang w:val="en-US"/>
        </w:rPr>
        <w:t xml:space="preserve"> </w:t>
      </w:r>
      <w:r w:rsidRPr="00A4060F">
        <w:rPr>
          <w:rFonts w:ascii="Arial" w:hAnsi="Arial" w:cs="Arial"/>
          <w:lang w:val="en-US"/>
        </w:rPr>
        <w:t xml:space="preserve">(IBGE). Entretanto, mesmo assim, o território atingiu um IDH, em 2010, de 0.730, colocando-o no nível alto e, assim </w:t>
      </w:r>
      <w:proofErr w:type="gramStart"/>
      <w:r w:rsidRPr="00A4060F">
        <w:rPr>
          <w:rFonts w:ascii="Arial" w:hAnsi="Arial" w:cs="Arial"/>
          <w:lang w:val="en-US"/>
        </w:rPr>
        <w:t>como</w:t>
      </w:r>
      <w:proofErr w:type="gramEnd"/>
      <w:r w:rsidRPr="00A4060F">
        <w:rPr>
          <w:rFonts w:ascii="Arial" w:hAnsi="Arial" w:cs="Arial"/>
          <w:lang w:val="en-US"/>
        </w:rPr>
        <w:t xml:space="preserve"> o IFDM, muito próximo de alcançar o nível muito alto com índice acima de 0.800. Vale ressaltar também que apresenta uma baixa vulnerabilidade social de acordo com o IVS ca</w:t>
      </w:r>
      <w:r>
        <w:rPr>
          <w:rFonts w:ascii="Arial" w:hAnsi="Arial" w:cs="Arial"/>
          <w:lang w:val="en-US"/>
        </w:rPr>
        <w:t>lculado pelo IPEA.</w:t>
      </w:r>
    </w:p>
    <w:p w:rsidR="006C4C09" w:rsidRPr="000A1808" w:rsidRDefault="006C4C09" w:rsidP="006C4C09">
      <w:pPr>
        <w:spacing w:line="360" w:lineRule="auto"/>
        <w:jc w:val="both"/>
        <w:rPr>
          <w:rFonts w:ascii="Arial" w:hAnsi="Arial" w:cs="Arial"/>
          <w:lang w:val="en-US"/>
        </w:rPr>
      </w:pPr>
    </w:p>
    <w:p w:rsidR="006C4C09" w:rsidRPr="008A0DED" w:rsidRDefault="006C4C09" w:rsidP="006C4C09">
      <w:pPr>
        <w:spacing w:line="360" w:lineRule="auto"/>
        <w:jc w:val="both"/>
        <w:rPr>
          <w:rFonts w:ascii="Arial" w:hAnsi="Arial" w:cs="Arial"/>
          <w:lang w:val="en-US"/>
        </w:rPr>
      </w:pPr>
      <w:r w:rsidRPr="008A0DED">
        <w:rPr>
          <w:rFonts w:ascii="Arial" w:hAnsi="Arial" w:cs="Arial"/>
          <w:lang w:val="en-US"/>
        </w:rPr>
        <w:t>3.1 O IFDM DO TERRITÓRIO ITAPERUNENSE: SEXTO DO ESTADO DO RIO</w:t>
      </w:r>
    </w:p>
    <w:p w:rsidR="006C4C09" w:rsidRDefault="006C4C09" w:rsidP="006C4C09">
      <w:pPr>
        <w:spacing w:line="360" w:lineRule="auto"/>
        <w:jc w:val="both"/>
        <w:rPr>
          <w:rFonts w:ascii="Arial" w:hAnsi="Arial" w:cs="Arial"/>
          <w:lang w:val="en-US"/>
        </w:rPr>
      </w:pPr>
    </w:p>
    <w:p w:rsidR="006C4C09" w:rsidRDefault="006C4C09" w:rsidP="006C4C09">
      <w:pPr>
        <w:spacing w:line="360" w:lineRule="auto"/>
        <w:ind w:firstLine="851"/>
        <w:jc w:val="both"/>
        <w:rPr>
          <w:rFonts w:ascii="Arial" w:hAnsi="Arial" w:cs="Arial"/>
          <w:lang w:val="en-US"/>
        </w:rPr>
      </w:pPr>
      <w:r>
        <w:rPr>
          <w:rFonts w:ascii="Arial" w:hAnsi="Arial" w:cs="Arial"/>
          <w:lang w:val="en-US"/>
        </w:rPr>
        <w:t>S</w:t>
      </w:r>
      <w:r w:rsidRPr="002D2B18">
        <w:rPr>
          <w:rFonts w:ascii="Arial" w:hAnsi="Arial" w:cs="Arial"/>
          <w:lang w:val="en-US"/>
        </w:rPr>
        <w:t xml:space="preserve">egundo Relatório </w:t>
      </w:r>
      <w:r>
        <w:rPr>
          <w:rFonts w:ascii="Arial" w:hAnsi="Arial" w:cs="Arial"/>
          <w:lang w:val="en-US"/>
        </w:rPr>
        <w:t xml:space="preserve">de 2025, </w:t>
      </w:r>
      <w:r w:rsidRPr="002D2B18">
        <w:rPr>
          <w:rFonts w:ascii="Arial" w:hAnsi="Arial" w:cs="Arial"/>
          <w:lang w:val="en-US"/>
        </w:rPr>
        <w:t>Itaperuna</w:t>
      </w:r>
      <w:r>
        <w:rPr>
          <w:rFonts w:ascii="Arial" w:hAnsi="Arial" w:cs="Arial"/>
          <w:lang w:val="en-US"/>
        </w:rPr>
        <w:t xml:space="preserve"> atingiu um IFDM de 0.</w:t>
      </w:r>
      <w:r w:rsidRPr="002D2B18">
        <w:rPr>
          <w:rFonts w:ascii="Arial" w:hAnsi="Arial" w:cs="Arial"/>
          <w:lang w:val="en-US"/>
        </w:rPr>
        <w:t>7401</w:t>
      </w:r>
      <w:r>
        <w:rPr>
          <w:rFonts w:ascii="Arial" w:hAnsi="Arial" w:cs="Arial"/>
          <w:lang w:val="en-US"/>
        </w:rPr>
        <w:t xml:space="preserve"> em 2023</w:t>
      </w:r>
      <w:r w:rsidRPr="002D2B18">
        <w:rPr>
          <w:rFonts w:ascii="Arial" w:hAnsi="Arial" w:cs="Arial"/>
          <w:lang w:val="en-US"/>
        </w:rPr>
        <w:t xml:space="preserve">, o que configura um nível </w:t>
      </w:r>
      <w:r>
        <w:rPr>
          <w:rFonts w:ascii="Arial" w:hAnsi="Arial" w:cs="Arial"/>
          <w:lang w:val="en-US"/>
        </w:rPr>
        <w:t xml:space="preserve">de desenvolvimento moderado </w:t>
      </w:r>
      <w:proofErr w:type="gramStart"/>
      <w:r>
        <w:rPr>
          <w:rFonts w:ascii="Arial" w:hAnsi="Arial" w:cs="Arial"/>
          <w:lang w:val="en-US"/>
        </w:rPr>
        <w:t>na</w:t>
      </w:r>
      <w:proofErr w:type="gramEnd"/>
      <w:r>
        <w:rPr>
          <w:rFonts w:ascii="Arial" w:hAnsi="Arial" w:cs="Arial"/>
          <w:lang w:val="en-US"/>
        </w:rPr>
        <w:t xml:space="preserve"> escala definida na classificação feita pela FIRJAN. Mas</w:t>
      </w:r>
      <w:r w:rsidRPr="002D2B18">
        <w:rPr>
          <w:rFonts w:ascii="Arial" w:hAnsi="Arial" w:cs="Arial"/>
          <w:lang w:val="en-US"/>
        </w:rPr>
        <w:t xml:space="preserve"> é preciso realçar que </w:t>
      </w:r>
      <w:proofErr w:type="gramStart"/>
      <w:r w:rsidRPr="002D2B18">
        <w:rPr>
          <w:rFonts w:ascii="Arial" w:hAnsi="Arial" w:cs="Arial"/>
          <w:lang w:val="en-US"/>
        </w:rPr>
        <w:t>tal</w:t>
      </w:r>
      <w:proofErr w:type="gramEnd"/>
      <w:r w:rsidRPr="002D2B18">
        <w:rPr>
          <w:rFonts w:ascii="Arial" w:hAnsi="Arial" w:cs="Arial"/>
          <w:lang w:val="en-US"/>
        </w:rPr>
        <w:t xml:space="preserve"> marca</w:t>
      </w:r>
      <w:r>
        <w:rPr>
          <w:rFonts w:ascii="Arial" w:hAnsi="Arial" w:cs="Arial"/>
          <w:lang w:val="en-US"/>
        </w:rPr>
        <w:t xml:space="preserve"> é a sexta melhor dentre os 92 m</w:t>
      </w:r>
      <w:r w:rsidRPr="002D2B18">
        <w:rPr>
          <w:rFonts w:ascii="Arial" w:hAnsi="Arial" w:cs="Arial"/>
          <w:lang w:val="en-US"/>
        </w:rPr>
        <w:t>unicí</w:t>
      </w:r>
      <w:r>
        <w:rPr>
          <w:rFonts w:ascii="Arial" w:hAnsi="Arial" w:cs="Arial"/>
          <w:lang w:val="en-US"/>
        </w:rPr>
        <w:t>pios fluminenses</w:t>
      </w:r>
      <w:r w:rsidRPr="002D2B18">
        <w:rPr>
          <w:rFonts w:ascii="Arial" w:hAnsi="Arial" w:cs="Arial"/>
          <w:lang w:val="en-US"/>
        </w:rPr>
        <w:t xml:space="preserve"> e a 836° no </w:t>
      </w:r>
      <w:r w:rsidRPr="002D2B18">
        <w:rPr>
          <w:rFonts w:ascii="Arial" w:hAnsi="Arial" w:cs="Arial"/>
          <w:i/>
          <w:lang w:val="en-US"/>
        </w:rPr>
        <w:t>ranking</w:t>
      </w:r>
      <w:r>
        <w:rPr>
          <w:rFonts w:ascii="Arial" w:hAnsi="Arial" w:cs="Arial"/>
          <w:lang w:val="en-US"/>
        </w:rPr>
        <w:t xml:space="preserve"> nacional.</w:t>
      </w:r>
    </w:p>
    <w:p w:rsidR="005D2CA1" w:rsidRDefault="000B4546" w:rsidP="006C4C09">
      <w:pPr>
        <w:spacing w:line="360" w:lineRule="auto"/>
        <w:ind w:firstLine="851"/>
        <w:jc w:val="both"/>
        <w:rPr>
          <w:rFonts w:ascii="Arial" w:hAnsi="Arial" w:cs="Arial"/>
          <w:lang w:val="en-US"/>
        </w:rPr>
      </w:pPr>
      <w:r>
        <w:rPr>
          <w:rFonts w:ascii="Arial" w:hAnsi="Arial" w:cs="Arial"/>
          <w:lang w:val="en-US"/>
        </w:rPr>
        <w:t>São apenas dois m</w:t>
      </w:r>
      <w:r w:rsidR="006C4C09">
        <w:rPr>
          <w:rFonts w:ascii="Arial" w:hAnsi="Arial" w:cs="Arial"/>
          <w:lang w:val="en-US"/>
        </w:rPr>
        <w:t>unicípios das Regiões Norte/Noroeste: Macaé (0.7413) e Itaperuna (0.</w:t>
      </w:r>
      <w:r w:rsidR="006C4C09" w:rsidRPr="002D2B18">
        <w:rPr>
          <w:rFonts w:ascii="Arial" w:hAnsi="Arial" w:cs="Arial"/>
          <w:lang w:val="en-US"/>
        </w:rPr>
        <w:t>7401). Os demais estão concentrados da parte central para o sul do território fluminense: a Ca</w:t>
      </w:r>
      <w:r w:rsidR="006C4C09">
        <w:rPr>
          <w:rFonts w:ascii="Arial" w:hAnsi="Arial" w:cs="Arial"/>
          <w:lang w:val="en-US"/>
        </w:rPr>
        <w:t xml:space="preserve">pital </w:t>
      </w:r>
      <w:proofErr w:type="gramStart"/>
      <w:r w:rsidR="006C4C09">
        <w:rPr>
          <w:rFonts w:ascii="Arial" w:hAnsi="Arial" w:cs="Arial"/>
          <w:lang w:val="en-US"/>
        </w:rPr>
        <w:t>na</w:t>
      </w:r>
      <w:proofErr w:type="gramEnd"/>
      <w:r w:rsidR="006C4C09">
        <w:rPr>
          <w:rFonts w:ascii="Arial" w:hAnsi="Arial" w:cs="Arial"/>
          <w:lang w:val="en-US"/>
        </w:rPr>
        <w:t xml:space="preserve"> Região Metropolitana (0.7933); Petrópolis (0.</w:t>
      </w:r>
      <w:r w:rsidR="006C4C09" w:rsidRPr="002D2B18">
        <w:rPr>
          <w:rFonts w:ascii="Arial" w:hAnsi="Arial" w:cs="Arial"/>
          <w:lang w:val="en-US"/>
        </w:rPr>
        <w:t>7234) e Teresópolis (0</w:t>
      </w:r>
      <w:r w:rsidR="006C4C09">
        <w:rPr>
          <w:rFonts w:ascii="Arial" w:hAnsi="Arial" w:cs="Arial"/>
          <w:lang w:val="en-US"/>
        </w:rPr>
        <w:t>.7231) na Serrana; Areal (0.7125) na Centro-S</w:t>
      </w:r>
      <w:r w:rsidR="006C4C09" w:rsidRPr="002D2B18">
        <w:rPr>
          <w:rFonts w:ascii="Arial" w:hAnsi="Arial" w:cs="Arial"/>
          <w:lang w:val="en-US"/>
        </w:rPr>
        <w:t>ul; Volta</w:t>
      </w:r>
      <w:r w:rsidR="006C4C09">
        <w:rPr>
          <w:rFonts w:ascii="Arial" w:hAnsi="Arial" w:cs="Arial"/>
          <w:color w:val="FF0000"/>
          <w:lang w:val="en-US"/>
        </w:rPr>
        <w:t xml:space="preserve"> </w:t>
      </w:r>
      <w:r w:rsidR="006C4C09">
        <w:rPr>
          <w:rFonts w:ascii="Arial" w:hAnsi="Arial" w:cs="Arial"/>
          <w:lang w:val="en-US"/>
        </w:rPr>
        <w:t xml:space="preserve">Redonda (0.7801), Resende (0.7602), Piraí (0.7413) e Porto </w:t>
      </w:r>
      <w:r>
        <w:rPr>
          <w:rFonts w:ascii="Arial" w:hAnsi="Arial" w:cs="Arial"/>
          <w:lang w:val="en-US"/>
        </w:rPr>
        <w:t>Real (0.7321) na</w:t>
      </w:r>
      <w:r w:rsidR="005D2CA1">
        <w:rPr>
          <w:rFonts w:ascii="Arial" w:hAnsi="Arial" w:cs="Arial"/>
          <w:lang w:val="en-US"/>
        </w:rPr>
        <w:t xml:space="preserve"> Médio Paraíba.</w:t>
      </w:r>
    </w:p>
    <w:p w:rsidR="006C4C09" w:rsidRDefault="006C4C09" w:rsidP="006C4C09">
      <w:pPr>
        <w:spacing w:line="360" w:lineRule="auto"/>
        <w:ind w:firstLine="851"/>
        <w:jc w:val="both"/>
        <w:rPr>
          <w:rFonts w:ascii="Arial" w:hAnsi="Arial" w:cs="Arial"/>
          <w:lang w:val="en-US"/>
        </w:rPr>
      </w:pPr>
      <w:r>
        <w:rPr>
          <w:rFonts w:ascii="Arial" w:hAnsi="Arial" w:cs="Arial"/>
          <w:lang w:val="en-US"/>
        </w:rPr>
        <w:t>O Gráfico 1, a seguir, retrata esse</w:t>
      </w:r>
      <w:r w:rsidRPr="002D2B18">
        <w:rPr>
          <w:rFonts w:ascii="Arial" w:hAnsi="Arial" w:cs="Arial"/>
          <w:lang w:val="en-US"/>
        </w:rPr>
        <w:t>s dez territórios subestaduais mais desenvolvi</w:t>
      </w:r>
      <w:r>
        <w:rPr>
          <w:rFonts w:ascii="Arial" w:hAnsi="Arial" w:cs="Arial"/>
          <w:lang w:val="en-US"/>
        </w:rPr>
        <w:t>dos do Estado do Rio de Janeiro.</w:t>
      </w:r>
    </w:p>
    <w:p w:rsidR="006C4C09" w:rsidRDefault="006C4C09" w:rsidP="006C4C09">
      <w:pPr>
        <w:ind w:firstLine="708"/>
        <w:jc w:val="both"/>
        <w:rPr>
          <w:rFonts w:ascii="Arial" w:hAnsi="Arial" w:cs="Arial"/>
          <w:sz w:val="20"/>
          <w:szCs w:val="20"/>
          <w:lang w:val="en-US"/>
        </w:rPr>
      </w:pPr>
    </w:p>
    <w:p w:rsidR="006C4C09" w:rsidRPr="008A0DED" w:rsidRDefault="006C4C09" w:rsidP="006C4C09">
      <w:pPr>
        <w:ind w:firstLine="708"/>
        <w:jc w:val="both"/>
        <w:rPr>
          <w:rFonts w:ascii="Arial" w:hAnsi="Arial" w:cs="Arial"/>
          <w:sz w:val="20"/>
          <w:szCs w:val="20"/>
          <w:lang w:val="en-US"/>
        </w:rPr>
      </w:pPr>
      <w:r>
        <w:rPr>
          <w:rFonts w:ascii="Arial" w:hAnsi="Arial" w:cs="Arial"/>
          <w:sz w:val="20"/>
          <w:szCs w:val="20"/>
          <w:lang w:val="en-US"/>
        </w:rPr>
        <w:lastRenderedPageBreak/>
        <w:t xml:space="preserve">  </w:t>
      </w:r>
      <w:r w:rsidRPr="008A0DED">
        <w:rPr>
          <w:rFonts w:ascii="Arial" w:hAnsi="Arial" w:cs="Arial"/>
          <w:sz w:val="20"/>
          <w:szCs w:val="20"/>
          <w:lang w:val="en-US"/>
        </w:rPr>
        <w:t>Gráfico 1 – Os dez maiores Índices de Desenvolvimento do Rio de Janeiro.</w:t>
      </w:r>
    </w:p>
    <w:p w:rsidR="006C4C09" w:rsidRPr="009632E7" w:rsidRDefault="006C4C09" w:rsidP="006C4C09">
      <w:pPr>
        <w:ind w:left="-142"/>
        <w:jc w:val="center"/>
        <w:rPr>
          <w:rFonts w:ascii="Arial" w:hAnsi="Arial" w:cs="Arial"/>
          <w:color w:val="FF0000"/>
          <w:sz w:val="20"/>
          <w:szCs w:val="20"/>
          <w:lang w:val="en-US"/>
        </w:rPr>
      </w:pPr>
      <w:r w:rsidRPr="009632E7">
        <w:rPr>
          <w:rFonts w:ascii="Arial" w:hAnsi="Arial" w:cs="Arial"/>
          <w:noProof/>
          <w:color w:val="FF0000"/>
          <w:sz w:val="20"/>
          <w:szCs w:val="20"/>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4C09" w:rsidRDefault="006C4C09" w:rsidP="006C4C09">
      <w:pPr>
        <w:jc w:val="both"/>
        <w:rPr>
          <w:rFonts w:ascii="Arial" w:hAnsi="Arial" w:cs="Arial"/>
          <w:sz w:val="20"/>
          <w:szCs w:val="20"/>
          <w:lang w:val="en-US"/>
        </w:rPr>
      </w:pPr>
      <w:r w:rsidRPr="002D2B18">
        <w:rPr>
          <w:rFonts w:ascii="Arial" w:hAnsi="Arial" w:cs="Arial"/>
          <w:lang w:val="en-US"/>
        </w:rPr>
        <w:t xml:space="preserve">         </w:t>
      </w:r>
      <w:r>
        <w:rPr>
          <w:rFonts w:ascii="Arial" w:hAnsi="Arial" w:cs="Arial"/>
          <w:lang w:val="en-US"/>
        </w:rPr>
        <w:t xml:space="preserve">    </w:t>
      </w:r>
      <w:r w:rsidRPr="002D2B18">
        <w:rPr>
          <w:rFonts w:ascii="Arial" w:hAnsi="Arial" w:cs="Arial"/>
          <w:sz w:val="20"/>
          <w:szCs w:val="20"/>
          <w:lang w:val="en-US"/>
        </w:rPr>
        <w:t>Fon</w:t>
      </w:r>
      <w:r>
        <w:rPr>
          <w:rFonts w:ascii="Arial" w:hAnsi="Arial" w:cs="Arial"/>
          <w:sz w:val="20"/>
          <w:szCs w:val="20"/>
          <w:lang w:val="en-US"/>
        </w:rPr>
        <w:t>te: FIRJAN, 2025, Ano base 2023.</w:t>
      </w:r>
    </w:p>
    <w:p w:rsidR="006C4C09" w:rsidRDefault="006C4C09" w:rsidP="006C4C09">
      <w:pPr>
        <w:spacing w:line="360" w:lineRule="auto"/>
        <w:jc w:val="both"/>
        <w:rPr>
          <w:rFonts w:ascii="Arial" w:hAnsi="Arial" w:cs="Arial"/>
          <w:lang w:val="en-US"/>
        </w:rPr>
      </w:pPr>
    </w:p>
    <w:p w:rsidR="005D2CA1" w:rsidRDefault="005D2CA1" w:rsidP="006C4C09">
      <w:pPr>
        <w:spacing w:line="360" w:lineRule="auto"/>
        <w:jc w:val="both"/>
        <w:rPr>
          <w:rFonts w:ascii="Arial" w:hAnsi="Arial" w:cs="Arial"/>
          <w:lang w:val="en-US"/>
        </w:rPr>
      </w:pPr>
    </w:p>
    <w:p w:rsidR="006C4C09" w:rsidRDefault="006C4C09" w:rsidP="006C4C09">
      <w:pPr>
        <w:spacing w:line="360" w:lineRule="auto"/>
        <w:ind w:firstLine="851"/>
        <w:jc w:val="both"/>
        <w:rPr>
          <w:rFonts w:ascii="Arial" w:hAnsi="Arial" w:cs="Arial"/>
          <w:lang w:val="en-US"/>
        </w:rPr>
      </w:pPr>
      <w:r>
        <w:rPr>
          <w:rFonts w:ascii="Arial" w:hAnsi="Arial" w:cs="Arial"/>
          <w:lang w:val="en-US"/>
        </w:rPr>
        <w:t>Todos os entes com níveis moderados, todavia, observando-se uma concentração desses índices muito acentuada na parte centro-sul do território estadual, com apenas dois municípios com quociente moderado na parte norte/noroeste da unidade federada.</w:t>
      </w: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Tal configuração demonstra que a gestão pública estadual e as várias subunidades municipais precisam dar maior atenção para com essa parte do território com ações que encampem políticas públicas mais efetivas, especialmente as educacionais, da saúde e geração de emprego, </w:t>
      </w:r>
      <w:proofErr w:type="gramStart"/>
      <w:r>
        <w:rPr>
          <w:rFonts w:ascii="Arial" w:hAnsi="Arial" w:cs="Arial"/>
          <w:lang w:val="en-US"/>
        </w:rPr>
        <w:t>componentes</w:t>
      </w:r>
      <w:proofErr w:type="gramEnd"/>
      <w:r>
        <w:rPr>
          <w:rFonts w:ascii="Arial" w:hAnsi="Arial" w:cs="Arial"/>
          <w:lang w:val="en-US"/>
        </w:rPr>
        <w:t xml:space="preserve"> do IFDM.</w:t>
      </w:r>
    </w:p>
    <w:p w:rsidR="006C4C09" w:rsidRDefault="006C4C09" w:rsidP="006C4C09">
      <w:pPr>
        <w:spacing w:line="360" w:lineRule="auto"/>
        <w:jc w:val="both"/>
        <w:rPr>
          <w:rFonts w:ascii="Arial" w:hAnsi="Arial" w:cs="Arial"/>
          <w:lang w:val="en-US"/>
        </w:rPr>
      </w:pPr>
    </w:p>
    <w:p w:rsidR="006C4C09" w:rsidRPr="009632E7" w:rsidRDefault="006C4C09" w:rsidP="006C4C09">
      <w:pPr>
        <w:spacing w:line="360" w:lineRule="auto"/>
        <w:jc w:val="both"/>
        <w:rPr>
          <w:rFonts w:ascii="Arial" w:hAnsi="Arial" w:cs="Arial"/>
          <w:lang w:val="en-US"/>
        </w:rPr>
      </w:pPr>
      <w:r w:rsidRPr="009632E7">
        <w:rPr>
          <w:rFonts w:ascii="Arial" w:hAnsi="Arial" w:cs="Arial"/>
          <w:lang w:val="en-US"/>
        </w:rPr>
        <w:t>3.2 O IDH DO TERRITÓRIO: 18ª POSIÇÃO NO RANKING ESTADUAL</w:t>
      </w:r>
    </w:p>
    <w:p w:rsidR="006C4C09" w:rsidRDefault="006C4C09" w:rsidP="006C4C09">
      <w:pPr>
        <w:spacing w:line="360" w:lineRule="auto"/>
        <w:jc w:val="both"/>
        <w:rPr>
          <w:rFonts w:ascii="Arial" w:hAnsi="Arial" w:cs="Arial"/>
          <w:b/>
          <w:lang w:val="en-US"/>
        </w:rPr>
      </w:pP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Itaperuna mantém-se dentro de um quarto dos melhores IDH’s do Estado do Rio de Janeiro, bem </w:t>
      </w:r>
      <w:proofErr w:type="gramStart"/>
      <w:r>
        <w:rPr>
          <w:rFonts w:ascii="Arial" w:hAnsi="Arial" w:cs="Arial"/>
          <w:lang w:val="en-US"/>
        </w:rPr>
        <w:t>como</w:t>
      </w:r>
      <w:proofErr w:type="gramEnd"/>
      <w:r>
        <w:rPr>
          <w:rFonts w:ascii="Arial" w:hAnsi="Arial" w:cs="Arial"/>
          <w:lang w:val="en-US"/>
        </w:rPr>
        <w:t xml:space="preserve"> observa a vice </w:t>
      </w:r>
      <w:r w:rsidRPr="00B5321B">
        <w:rPr>
          <w:rFonts w:ascii="Arial" w:hAnsi="Arial" w:cs="Arial"/>
          <w:lang w:val="en-US"/>
        </w:rPr>
        <w:t>liderança na Região Noroeste</w:t>
      </w:r>
      <w:r w:rsidR="000B4546">
        <w:rPr>
          <w:rFonts w:ascii="Arial" w:hAnsi="Arial" w:cs="Arial"/>
          <w:lang w:val="en-US"/>
        </w:rPr>
        <w:t>. São apenas quatro m</w:t>
      </w:r>
      <w:r>
        <w:rPr>
          <w:rFonts w:ascii="Arial" w:hAnsi="Arial" w:cs="Arial"/>
          <w:lang w:val="en-US"/>
        </w:rPr>
        <w:t>unicípios das Regiões Norte/Noroeste: Macaé (0.764), Bom Jesus do Itabapoana (0.732), Natividade (0.730) e Itaperuna (0.730</w:t>
      </w:r>
      <w:r w:rsidRPr="002D2B18">
        <w:rPr>
          <w:rFonts w:ascii="Arial" w:hAnsi="Arial" w:cs="Arial"/>
          <w:lang w:val="en-US"/>
        </w:rPr>
        <w:t>)</w:t>
      </w:r>
      <w:r w:rsidR="000B4546">
        <w:rPr>
          <w:rFonts w:ascii="Arial" w:hAnsi="Arial" w:cs="Arial"/>
          <w:lang w:val="en-US"/>
        </w:rPr>
        <w:t>. O territór</w:t>
      </w:r>
      <w:r>
        <w:rPr>
          <w:rFonts w:ascii="Arial" w:hAnsi="Arial" w:cs="Arial"/>
          <w:lang w:val="en-US"/>
        </w:rPr>
        <w:t xml:space="preserve">io está </w:t>
      </w:r>
      <w:proofErr w:type="gramStart"/>
      <w:r>
        <w:rPr>
          <w:rFonts w:ascii="Arial" w:hAnsi="Arial" w:cs="Arial"/>
          <w:lang w:val="en-US"/>
        </w:rPr>
        <w:t>na</w:t>
      </w:r>
      <w:proofErr w:type="gramEnd"/>
      <w:r>
        <w:rPr>
          <w:rFonts w:ascii="Arial" w:hAnsi="Arial" w:cs="Arial"/>
          <w:lang w:val="en-US"/>
        </w:rPr>
        <w:t xml:space="preserve"> 18ª posição do </w:t>
      </w:r>
      <w:r w:rsidRPr="00805991">
        <w:rPr>
          <w:rFonts w:ascii="Arial" w:hAnsi="Arial" w:cs="Arial"/>
          <w:i/>
          <w:lang w:val="en-US"/>
        </w:rPr>
        <w:t>ranking</w:t>
      </w:r>
      <w:r>
        <w:rPr>
          <w:rFonts w:ascii="Arial" w:hAnsi="Arial" w:cs="Arial"/>
          <w:lang w:val="en-US"/>
        </w:rPr>
        <w:t xml:space="preserve"> do IDH dentre os entes fluminenses, segundo o último relatório divulgado pelo PNUD, conforme Tabela 1 a seguir.</w:t>
      </w:r>
    </w:p>
    <w:p w:rsidR="00CA0BDD" w:rsidRDefault="00CA0BDD" w:rsidP="005D2CA1">
      <w:pPr>
        <w:spacing w:line="360" w:lineRule="auto"/>
        <w:jc w:val="both"/>
        <w:rPr>
          <w:rFonts w:ascii="Arial" w:hAnsi="Arial" w:cs="Arial"/>
          <w:lang w:val="en-US"/>
        </w:rPr>
      </w:pPr>
    </w:p>
    <w:p w:rsidR="006C4C09" w:rsidRPr="009632E7" w:rsidRDefault="006C4C09" w:rsidP="006C4C09">
      <w:pPr>
        <w:jc w:val="both"/>
        <w:rPr>
          <w:rFonts w:ascii="Arial" w:hAnsi="Arial" w:cs="Arial"/>
          <w:sz w:val="20"/>
          <w:szCs w:val="20"/>
          <w:lang w:val="en-US"/>
        </w:rPr>
      </w:pPr>
      <w:r w:rsidRPr="009632E7">
        <w:rPr>
          <w:rFonts w:ascii="Arial" w:hAnsi="Arial" w:cs="Arial"/>
          <w:sz w:val="20"/>
          <w:szCs w:val="20"/>
          <w:lang w:val="en-US"/>
        </w:rPr>
        <w:lastRenderedPageBreak/>
        <w:t xml:space="preserve">Tabela 1 – Ranking parcial do IDH dos municípios do Estado de Rio de </w:t>
      </w:r>
      <w:proofErr w:type="gramStart"/>
      <w:r w:rsidRPr="009632E7">
        <w:rPr>
          <w:rFonts w:ascii="Arial" w:hAnsi="Arial" w:cs="Arial"/>
          <w:sz w:val="20"/>
          <w:szCs w:val="20"/>
          <w:lang w:val="en-US"/>
        </w:rPr>
        <w:t>Janeiro</w:t>
      </w:r>
      <w:proofErr w:type="gramEnd"/>
    </w:p>
    <w:tbl>
      <w:tblPr>
        <w:tblStyle w:val="LightShading-Accent11"/>
        <w:tblW w:w="0" w:type="auto"/>
        <w:tblInd w:w="108" w:type="dxa"/>
        <w:tblLayout w:type="fixed"/>
        <w:tblLook w:val="04A0"/>
      </w:tblPr>
      <w:tblGrid>
        <w:gridCol w:w="1276"/>
        <w:gridCol w:w="2126"/>
        <w:gridCol w:w="1134"/>
        <w:gridCol w:w="1276"/>
        <w:gridCol w:w="1985"/>
        <w:gridCol w:w="992"/>
      </w:tblGrid>
      <w:tr w:rsidR="006C4C09" w:rsidRPr="009632E7" w:rsidTr="006706D5">
        <w:trPr>
          <w:cnfStyle w:val="100000000000"/>
        </w:trPr>
        <w:tc>
          <w:tcPr>
            <w:cnfStyle w:val="001000000000"/>
            <w:tcW w:w="1276" w:type="dxa"/>
          </w:tcPr>
          <w:p w:rsidR="006C4C09" w:rsidRPr="009632E7" w:rsidRDefault="006C4C09" w:rsidP="006706D5">
            <w:pPr>
              <w:jc w:val="center"/>
              <w:rPr>
                <w:rFonts w:ascii="Arial" w:hAnsi="Arial" w:cs="Arial"/>
                <w:sz w:val="20"/>
                <w:szCs w:val="20"/>
                <w:lang w:val="en-US"/>
              </w:rPr>
            </w:pPr>
            <w:r w:rsidRPr="009632E7">
              <w:rPr>
                <w:rFonts w:ascii="Arial" w:hAnsi="Arial" w:cs="Arial"/>
                <w:sz w:val="20"/>
                <w:szCs w:val="20"/>
                <w:lang w:val="en-US"/>
              </w:rPr>
              <w:t>Posição ERJ</w:t>
            </w:r>
          </w:p>
        </w:tc>
        <w:tc>
          <w:tcPr>
            <w:tcW w:w="2126" w:type="dxa"/>
          </w:tcPr>
          <w:p w:rsidR="006C4C09" w:rsidRPr="009632E7" w:rsidRDefault="006C4C09" w:rsidP="006706D5">
            <w:pPr>
              <w:cnfStyle w:val="100000000000"/>
              <w:rPr>
                <w:rFonts w:ascii="Arial" w:hAnsi="Arial" w:cs="Arial"/>
                <w:sz w:val="20"/>
                <w:szCs w:val="20"/>
                <w:lang w:val="en-US"/>
              </w:rPr>
            </w:pPr>
            <w:r w:rsidRPr="009632E7">
              <w:rPr>
                <w:rFonts w:ascii="Arial" w:hAnsi="Arial" w:cs="Arial"/>
                <w:sz w:val="20"/>
                <w:szCs w:val="20"/>
                <w:lang w:val="en-US"/>
              </w:rPr>
              <w:t xml:space="preserve">  Território</w:t>
            </w:r>
          </w:p>
        </w:tc>
        <w:tc>
          <w:tcPr>
            <w:tcW w:w="1134" w:type="dxa"/>
          </w:tcPr>
          <w:p w:rsidR="006C4C09" w:rsidRPr="009632E7" w:rsidRDefault="006C4C09" w:rsidP="006706D5">
            <w:pPr>
              <w:jc w:val="center"/>
              <w:cnfStyle w:val="100000000000"/>
              <w:rPr>
                <w:rFonts w:ascii="Arial" w:hAnsi="Arial" w:cs="Arial"/>
                <w:sz w:val="20"/>
                <w:szCs w:val="20"/>
                <w:lang w:val="en-US"/>
              </w:rPr>
            </w:pPr>
            <w:r w:rsidRPr="009632E7">
              <w:rPr>
                <w:rFonts w:ascii="Arial" w:hAnsi="Arial" w:cs="Arial"/>
                <w:sz w:val="20"/>
                <w:szCs w:val="20"/>
                <w:lang w:val="en-US"/>
              </w:rPr>
              <w:t>IDH</w:t>
            </w:r>
          </w:p>
        </w:tc>
        <w:tc>
          <w:tcPr>
            <w:tcW w:w="1276" w:type="dxa"/>
          </w:tcPr>
          <w:p w:rsidR="006C4C09" w:rsidRPr="009632E7" w:rsidRDefault="006C4C09" w:rsidP="006706D5">
            <w:pPr>
              <w:jc w:val="center"/>
              <w:cnfStyle w:val="100000000000"/>
              <w:rPr>
                <w:rFonts w:ascii="Arial" w:hAnsi="Arial" w:cs="Arial"/>
                <w:sz w:val="20"/>
                <w:szCs w:val="20"/>
                <w:lang w:val="en-US"/>
              </w:rPr>
            </w:pPr>
            <w:r w:rsidRPr="009632E7">
              <w:rPr>
                <w:rFonts w:ascii="Arial" w:hAnsi="Arial" w:cs="Arial"/>
                <w:sz w:val="20"/>
                <w:szCs w:val="20"/>
                <w:lang w:val="en-US"/>
              </w:rPr>
              <w:t>Posição ERJ</w:t>
            </w:r>
          </w:p>
        </w:tc>
        <w:tc>
          <w:tcPr>
            <w:tcW w:w="1985" w:type="dxa"/>
          </w:tcPr>
          <w:p w:rsidR="006C4C09" w:rsidRPr="009632E7" w:rsidRDefault="006C4C09" w:rsidP="006706D5">
            <w:pPr>
              <w:jc w:val="center"/>
              <w:cnfStyle w:val="100000000000"/>
              <w:rPr>
                <w:rFonts w:ascii="Arial" w:hAnsi="Arial" w:cs="Arial"/>
                <w:sz w:val="20"/>
                <w:szCs w:val="20"/>
                <w:lang w:val="en-US"/>
              </w:rPr>
            </w:pPr>
            <w:r w:rsidRPr="009632E7">
              <w:rPr>
                <w:rFonts w:ascii="Arial" w:hAnsi="Arial" w:cs="Arial"/>
                <w:sz w:val="20"/>
                <w:szCs w:val="20"/>
                <w:lang w:val="en-US"/>
              </w:rPr>
              <w:t>Território</w:t>
            </w:r>
          </w:p>
        </w:tc>
        <w:tc>
          <w:tcPr>
            <w:tcW w:w="992" w:type="dxa"/>
          </w:tcPr>
          <w:p w:rsidR="006C4C09" w:rsidRPr="009632E7" w:rsidRDefault="006C4C09" w:rsidP="006706D5">
            <w:pPr>
              <w:jc w:val="center"/>
              <w:cnfStyle w:val="100000000000"/>
              <w:rPr>
                <w:rFonts w:ascii="Arial" w:hAnsi="Arial" w:cs="Arial"/>
                <w:sz w:val="20"/>
                <w:szCs w:val="20"/>
                <w:lang w:val="en-US"/>
              </w:rPr>
            </w:pPr>
            <w:r w:rsidRPr="009632E7">
              <w:rPr>
                <w:rFonts w:ascii="Arial" w:hAnsi="Arial" w:cs="Arial"/>
                <w:sz w:val="20"/>
                <w:szCs w:val="20"/>
                <w:lang w:val="en-US"/>
              </w:rPr>
              <w:t>IDH</w:t>
            </w:r>
          </w:p>
        </w:tc>
      </w:tr>
      <w:tr w:rsidR="006C4C09" w:rsidRPr="009632E7" w:rsidTr="006706D5">
        <w:trPr>
          <w:cnfStyle w:val="000000100000"/>
        </w:trPr>
        <w:tc>
          <w:tcPr>
            <w:cnfStyle w:val="001000000000"/>
            <w:tcW w:w="1276"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1°</w:t>
            </w:r>
          </w:p>
        </w:tc>
        <w:tc>
          <w:tcPr>
            <w:tcW w:w="2126"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Niterói</w:t>
            </w:r>
          </w:p>
        </w:tc>
        <w:tc>
          <w:tcPr>
            <w:tcW w:w="1134"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0.837</w:t>
            </w:r>
          </w:p>
        </w:tc>
        <w:tc>
          <w:tcPr>
            <w:tcW w:w="1276" w:type="dxa"/>
          </w:tcPr>
          <w:p w:rsidR="006C4C09" w:rsidRPr="009632E7" w:rsidRDefault="006C4C09" w:rsidP="006706D5">
            <w:pPr>
              <w:jc w:val="both"/>
              <w:cnfStyle w:val="000000100000"/>
              <w:rPr>
                <w:rFonts w:ascii="Arial" w:hAnsi="Arial" w:cs="Arial"/>
                <w:b/>
                <w:sz w:val="20"/>
                <w:szCs w:val="20"/>
                <w:lang w:val="en-US"/>
              </w:rPr>
            </w:pPr>
            <w:r w:rsidRPr="009632E7">
              <w:rPr>
                <w:rFonts w:ascii="Arial" w:hAnsi="Arial" w:cs="Arial"/>
                <w:sz w:val="20"/>
                <w:szCs w:val="20"/>
                <w:lang w:val="en-US"/>
              </w:rPr>
              <w:t>12°</w:t>
            </w:r>
          </w:p>
        </w:tc>
        <w:tc>
          <w:tcPr>
            <w:tcW w:w="1985"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Valença</w:t>
            </w:r>
          </w:p>
        </w:tc>
        <w:tc>
          <w:tcPr>
            <w:tcW w:w="992"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0.738</w:t>
            </w:r>
          </w:p>
        </w:tc>
      </w:tr>
      <w:tr w:rsidR="006C4C09" w:rsidRPr="009632E7" w:rsidTr="006706D5">
        <w:tc>
          <w:tcPr>
            <w:cnfStyle w:val="001000000000"/>
            <w:tcW w:w="1276"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2°</w:t>
            </w:r>
          </w:p>
        </w:tc>
        <w:tc>
          <w:tcPr>
            <w:tcW w:w="2126"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Rio de Janeiro</w:t>
            </w:r>
          </w:p>
        </w:tc>
        <w:tc>
          <w:tcPr>
            <w:tcW w:w="1134"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0.799</w:t>
            </w:r>
          </w:p>
        </w:tc>
        <w:tc>
          <w:tcPr>
            <w:tcW w:w="1276" w:type="dxa"/>
          </w:tcPr>
          <w:p w:rsidR="006C4C09" w:rsidRPr="009632E7" w:rsidRDefault="006C4C09" w:rsidP="006706D5">
            <w:pPr>
              <w:jc w:val="both"/>
              <w:cnfStyle w:val="000000000000"/>
              <w:rPr>
                <w:rFonts w:ascii="Arial" w:hAnsi="Arial" w:cs="Arial"/>
                <w:b/>
                <w:sz w:val="20"/>
                <w:szCs w:val="20"/>
                <w:lang w:val="en-US"/>
              </w:rPr>
            </w:pPr>
            <w:r w:rsidRPr="009632E7">
              <w:rPr>
                <w:rFonts w:ascii="Arial" w:hAnsi="Arial" w:cs="Arial"/>
                <w:sz w:val="20"/>
                <w:szCs w:val="20"/>
                <w:lang w:val="en-US"/>
              </w:rPr>
              <w:t>13°</w:t>
            </w:r>
          </w:p>
        </w:tc>
        <w:tc>
          <w:tcPr>
            <w:tcW w:w="1985"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Mesquita</w:t>
            </w:r>
          </w:p>
        </w:tc>
        <w:tc>
          <w:tcPr>
            <w:tcW w:w="992"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0.737</w:t>
            </w:r>
          </w:p>
        </w:tc>
      </w:tr>
      <w:tr w:rsidR="006C4C09" w:rsidRPr="009632E7" w:rsidTr="006706D5">
        <w:trPr>
          <w:cnfStyle w:val="000000100000"/>
        </w:trPr>
        <w:tc>
          <w:tcPr>
            <w:cnfStyle w:val="001000000000"/>
            <w:tcW w:w="1276"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3°</w:t>
            </w:r>
          </w:p>
        </w:tc>
        <w:tc>
          <w:tcPr>
            <w:tcW w:w="2126"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Rio das Ostras</w:t>
            </w:r>
          </w:p>
        </w:tc>
        <w:tc>
          <w:tcPr>
            <w:tcW w:w="1134"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0.773</w:t>
            </w:r>
          </w:p>
        </w:tc>
        <w:tc>
          <w:tcPr>
            <w:tcW w:w="1276" w:type="dxa"/>
          </w:tcPr>
          <w:p w:rsidR="006C4C09" w:rsidRPr="009632E7" w:rsidRDefault="006C4C09" w:rsidP="006706D5">
            <w:pPr>
              <w:jc w:val="both"/>
              <w:cnfStyle w:val="000000100000"/>
              <w:rPr>
                <w:rFonts w:ascii="Arial" w:hAnsi="Arial" w:cs="Arial"/>
                <w:sz w:val="20"/>
                <w:szCs w:val="20"/>
                <w:lang w:val="en-US"/>
              </w:rPr>
            </w:pPr>
          </w:p>
        </w:tc>
        <w:tc>
          <w:tcPr>
            <w:tcW w:w="1985"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Itatiaia</w:t>
            </w:r>
          </w:p>
        </w:tc>
        <w:tc>
          <w:tcPr>
            <w:tcW w:w="992"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0.737</w:t>
            </w:r>
          </w:p>
        </w:tc>
      </w:tr>
      <w:tr w:rsidR="006C4C09" w:rsidRPr="009632E7" w:rsidTr="006706D5">
        <w:tc>
          <w:tcPr>
            <w:cnfStyle w:val="001000000000"/>
            <w:tcW w:w="1276"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4°</w:t>
            </w:r>
          </w:p>
        </w:tc>
        <w:tc>
          <w:tcPr>
            <w:tcW w:w="2126"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Volta Redonda</w:t>
            </w:r>
          </w:p>
        </w:tc>
        <w:tc>
          <w:tcPr>
            <w:tcW w:w="1134"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0.771</w:t>
            </w:r>
          </w:p>
        </w:tc>
        <w:tc>
          <w:tcPr>
            <w:tcW w:w="1276" w:type="dxa"/>
          </w:tcPr>
          <w:p w:rsidR="006C4C09" w:rsidRPr="009632E7" w:rsidRDefault="006C4C09" w:rsidP="006706D5">
            <w:pPr>
              <w:jc w:val="both"/>
              <w:cnfStyle w:val="000000000000"/>
              <w:rPr>
                <w:rFonts w:ascii="Arial" w:hAnsi="Arial" w:cs="Arial"/>
                <w:b/>
                <w:sz w:val="20"/>
                <w:szCs w:val="20"/>
                <w:lang w:val="en-US"/>
              </w:rPr>
            </w:pPr>
            <w:r w:rsidRPr="009632E7">
              <w:rPr>
                <w:rFonts w:ascii="Arial" w:hAnsi="Arial" w:cs="Arial"/>
                <w:sz w:val="20"/>
                <w:szCs w:val="20"/>
                <w:lang w:val="en-US"/>
              </w:rPr>
              <w:t>14°</w:t>
            </w:r>
          </w:p>
        </w:tc>
        <w:tc>
          <w:tcPr>
            <w:tcW w:w="1985"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Mendes</w:t>
            </w:r>
          </w:p>
        </w:tc>
        <w:tc>
          <w:tcPr>
            <w:tcW w:w="992"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0.736</w:t>
            </w:r>
          </w:p>
        </w:tc>
      </w:tr>
      <w:tr w:rsidR="006C4C09" w:rsidRPr="009632E7" w:rsidTr="006706D5">
        <w:trPr>
          <w:cnfStyle w:val="000000100000"/>
        </w:trPr>
        <w:tc>
          <w:tcPr>
            <w:cnfStyle w:val="001000000000"/>
            <w:tcW w:w="1276"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5°</w:t>
            </w:r>
          </w:p>
        </w:tc>
        <w:tc>
          <w:tcPr>
            <w:tcW w:w="2126"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Resende</w:t>
            </w:r>
          </w:p>
        </w:tc>
        <w:tc>
          <w:tcPr>
            <w:tcW w:w="1134"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0.768</w:t>
            </w:r>
          </w:p>
        </w:tc>
        <w:tc>
          <w:tcPr>
            <w:tcW w:w="1276" w:type="dxa"/>
          </w:tcPr>
          <w:p w:rsidR="006C4C09" w:rsidRPr="009632E7" w:rsidRDefault="006C4C09" w:rsidP="006706D5">
            <w:pPr>
              <w:jc w:val="both"/>
              <w:cnfStyle w:val="000000100000"/>
              <w:rPr>
                <w:rFonts w:ascii="Arial" w:hAnsi="Arial" w:cs="Arial"/>
                <w:b/>
                <w:sz w:val="20"/>
                <w:szCs w:val="20"/>
                <w:lang w:val="en-US"/>
              </w:rPr>
            </w:pPr>
            <w:r w:rsidRPr="009632E7">
              <w:rPr>
                <w:rFonts w:ascii="Arial" w:hAnsi="Arial" w:cs="Arial"/>
                <w:sz w:val="20"/>
                <w:szCs w:val="20"/>
                <w:lang w:val="en-US"/>
              </w:rPr>
              <w:t>15°</w:t>
            </w:r>
          </w:p>
        </w:tc>
        <w:tc>
          <w:tcPr>
            <w:tcW w:w="1985"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Cabo Frio</w:t>
            </w:r>
          </w:p>
        </w:tc>
        <w:tc>
          <w:tcPr>
            <w:tcW w:w="992"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0.735</w:t>
            </w:r>
          </w:p>
        </w:tc>
      </w:tr>
      <w:tr w:rsidR="006C4C09" w:rsidRPr="009632E7" w:rsidTr="006706D5">
        <w:tc>
          <w:tcPr>
            <w:cnfStyle w:val="001000000000"/>
            <w:tcW w:w="1276"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6°</w:t>
            </w:r>
          </w:p>
        </w:tc>
        <w:tc>
          <w:tcPr>
            <w:tcW w:w="2126"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Maricá</w:t>
            </w:r>
          </w:p>
        </w:tc>
        <w:tc>
          <w:tcPr>
            <w:tcW w:w="1134"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0.765</w:t>
            </w:r>
          </w:p>
        </w:tc>
        <w:tc>
          <w:tcPr>
            <w:tcW w:w="1276" w:type="dxa"/>
          </w:tcPr>
          <w:p w:rsidR="006C4C09" w:rsidRPr="009632E7" w:rsidRDefault="006C4C09" w:rsidP="006706D5">
            <w:pPr>
              <w:jc w:val="both"/>
              <w:cnfStyle w:val="000000000000"/>
              <w:rPr>
                <w:rFonts w:ascii="Arial" w:hAnsi="Arial" w:cs="Arial"/>
                <w:b/>
                <w:sz w:val="20"/>
                <w:szCs w:val="20"/>
                <w:lang w:val="en-US"/>
              </w:rPr>
            </w:pPr>
            <w:r w:rsidRPr="009632E7">
              <w:rPr>
                <w:rFonts w:ascii="Arial" w:hAnsi="Arial" w:cs="Arial"/>
                <w:sz w:val="20"/>
                <w:szCs w:val="20"/>
                <w:lang w:val="en-US"/>
              </w:rPr>
              <w:t>16°</w:t>
            </w:r>
          </w:p>
        </w:tc>
        <w:tc>
          <w:tcPr>
            <w:tcW w:w="1985"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Arraial do Cabo</w:t>
            </w:r>
          </w:p>
        </w:tc>
        <w:tc>
          <w:tcPr>
            <w:tcW w:w="992"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0.733</w:t>
            </w:r>
          </w:p>
        </w:tc>
      </w:tr>
      <w:tr w:rsidR="006C4C09" w:rsidRPr="009632E7" w:rsidTr="006706D5">
        <w:trPr>
          <w:cnfStyle w:val="000000100000"/>
        </w:trPr>
        <w:tc>
          <w:tcPr>
            <w:cnfStyle w:val="001000000000"/>
            <w:tcW w:w="1276"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7°</w:t>
            </w:r>
          </w:p>
        </w:tc>
        <w:tc>
          <w:tcPr>
            <w:tcW w:w="2126"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Macaé</w:t>
            </w:r>
          </w:p>
        </w:tc>
        <w:tc>
          <w:tcPr>
            <w:tcW w:w="1134"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0.764</w:t>
            </w:r>
          </w:p>
        </w:tc>
        <w:tc>
          <w:tcPr>
            <w:tcW w:w="1276" w:type="dxa"/>
          </w:tcPr>
          <w:p w:rsidR="006C4C09" w:rsidRPr="009632E7" w:rsidRDefault="006C4C09" w:rsidP="006706D5">
            <w:pPr>
              <w:jc w:val="both"/>
              <w:cnfStyle w:val="000000100000"/>
              <w:rPr>
                <w:rFonts w:ascii="Arial" w:hAnsi="Arial" w:cs="Arial"/>
                <w:sz w:val="20"/>
                <w:szCs w:val="20"/>
                <w:lang w:val="en-US"/>
              </w:rPr>
            </w:pPr>
          </w:p>
        </w:tc>
        <w:tc>
          <w:tcPr>
            <w:tcW w:w="1985"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Barra do Piraí</w:t>
            </w:r>
          </w:p>
        </w:tc>
        <w:tc>
          <w:tcPr>
            <w:tcW w:w="992"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0.733</w:t>
            </w:r>
          </w:p>
        </w:tc>
      </w:tr>
      <w:tr w:rsidR="006C4C09" w:rsidRPr="009632E7" w:rsidTr="006706D5">
        <w:tc>
          <w:tcPr>
            <w:cnfStyle w:val="001000000000"/>
            <w:tcW w:w="1276"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8°</w:t>
            </w:r>
          </w:p>
        </w:tc>
        <w:tc>
          <w:tcPr>
            <w:tcW w:w="2126"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Iguaba Grande</w:t>
            </w:r>
          </w:p>
        </w:tc>
        <w:tc>
          <w:tcPr>
            <w:tcW w:w="1134"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0.761</w:t>
            </w:r>
          </w:p>
        </w:tc>
        <w:tc>
          <w:tcPr>
            <w:tcW w:w="1276" w:type="dxa"/>
          </w:tcPr>
          <w:p w:rsidR="006C4C09" w:rsidRPr="009632E7" w:rsidRDefault="006C4C09" w:rsidP="006706D5">
            <w:pPr>
              <w:jc w:val="both"/>
              <w:cnfStyle w:val="000000000000"/>
              <w:rPr>
                <w:rFonts w:ascii="Arial" w:hAnsi="Arial" w:cs="Arial"/>
                <w:b/>
                <w:sz w:val="20"/>
                <w:szCs w:val="20"/>
                <w:lang w:val="en-US"/>
              </w:rPr>
            </w:pPr>
            <w:r w:rsidRPr="009632E7">
              <w:rPr>
                <w:rFonts w:ascii="Arial" w:hAnsi="Arial" w:cs="Arial"/>
                <w:sz w:val="20"/>
                <w:szCs w:val="20"/>
                <w:lang w:val="en-US"/>
              </w:rPr>
              <w:t>17°</w:t>
            </w:r>
          </w:p>
        </w:tc>
        <w:tc>
          <w:tcPr>
            <w:tcW w:w="1985"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Bom Jesus</w:t>
            </w:r>
          </w:p>
        </w:tc>
        <w:tc>
          <w:tcPr>
            <w:tcW w:w="992"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0.732</w:t>
            </w:r>
          </w:p>
        </w:tc>
      </w:tr>
      <w:tr w:rsidR="006C4C09" w:rsidRPr="009632E7" w:rsidTr="006706D5">
        <w:trPr>
          <w:cnfStyle w:val="000000100000"/>
        </w:trPr>
        <w:tc>
          <w:tcPr>
            <w:cnfStyle w:val="001000000000"/>
            <w:tcW w:w="1276"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9°</w:t>
            </w:r>
          </w:p>
        </w:tc>
        <w:tc>
          <w:tcPr>
            <w:tcW w:w="2126"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Mangaratiba</w:t>
            </w:r>
          </w:p>
        </w:tc>
        <w:tc>
          <w:tcPr>
            <w:tcW w:w="1134"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0.753</w:t>
            </w:r>
          </w:p>
        </w:tc>
        <w:tc>
          <w:tcPr>
            <w:tcW w:w="1276" w:type="dxa"/>
          </w:tcPr>
          <w:p w:rsidR="006C4C09" w:rsidRPr="009632E7" w:rsidRDefault="006C4C09" w:rsidP="006706D5">
            <w:pPr>
              <w:jc w:val="both"/>
              <w:cnfStyle w:val="000000100000"/>
              <w:rPr>
                <w:rFonts w:ascii="Arial" w:hAnsi="Arial" w:cs="Arial"/>
                <w:b/>
                <w:color w:val="FF0000"/>
                <w:sz w:val="20"/>
                <w:szCs w:val="20"/>
                <w:lang w:val="en-US"/>
              </w:rPr>
            </w:pPr>
            <w:r w:rsidRPr="009632E7">
              <w:rPr>
                <w:rFonts w:ascii="Arial" w:hAnsi="Arial" w:cs="Arial"/>
                <w:color w:val="FF0000"/>
                <w:sz w:val="20"/>
                <w:szCs w:val="20"/>
                <w:lang w:val="en-US"/>
              </w:rPr>
              <w:t>18°</w:t>
            </w:r>
          </w:p>
        </w:tc>
        <w:tc>
          <w:tcPr>
            <w:tcW w:w="1985" w:type="dxa"/>
          </w:tcPr>
          <w:p w:rsidR="006C4C09" w:rsidRPr="009632E7" w:rsidRDefault="006C4C09" w:rsidP="006706D5">
            <w:pPr>
              <w:jc w:val="both"/>
              <w:cnfStyle w:val="000000100000"/>
              <w:rPr>
                <w:rFonts w:ascii="Arial" w:hAnsi="Arial" w:cs="Arial"/>
                <w:color w:val="FF0000"/>
                <w:sz w:val="20"/>
                <w:szCs w:val="20"/>
                <w:lang w:val="en-US"/>
              </w:rPr>
            </w:pPr>
            <w:r w:rsidRPr="009632E7">
              <w:rPr>
                <w:rFonts w:ascii="Arial" w:hAnsi="Arial" w:cs="Arial"/>
                <w:color w:val="FF0000"/>
                <w:sz w:val="20"/>
                <w:szCs w:val="20"/>
                <w:lang w:val="en-US"/>
              </w:rPr>
              <w:t>Itaperuna</w:t>
            </w:r>
          </w:p>
        </w:tc>
        <w:tc>
          <w:tcPr>
            <w:tcW w:w="992" w:type="dxa"/>
          </w:tcPr>
          <w:p w:rsidR="006C4C09" w:rsidRPr="009632E7" w:rsidRDefault="006C4C09" w:rsidP="006706D5">
            <w:pPr>
              <w:jc w:val="both"/>
              <w:cnfStyle w:val="000000100000"/>
              <w:rPr>
                <w:rFonts w:ascii="Arial" w:hAnsi="Arial" w:cs="Arial"/>
                <w:color w:val="FF0000"/>
                <w:sz w:val="20"/>
                <w:szCs w:val="20"/>
                <w:lang w:val="en-US"/>
              </w:rPr>
            </w:pPr>
            <w:r w:rsidRPr="009632E7">
              <w:rPr>
                <w:rFonts w:ascii="Arial" w:hAnsi="Arial" w:cs="Arial"/>
                <w:color w:val="FF0000"/>
                <w:sz w:val="20"/>
                <w:szCs w:val="20"/>
                <w:lang w:val="en-US"/>
              </w:rPr>
              <w:t>0.730</w:t>
            </w:r>
          </w:p>
        </w:tc>
      </w:tr>
      <w:tr w:rsidR="006C4C09" w:rsidRPr="009632E7" w:rsidTr="006706D5">
        <w:tc>
          <w:tcPr>
            <w:cnfStyle w:val="001000000000"/>
            <w:tcW w:w="1276" w:type="dxa"/>
          </w:tcPr>
          <w:p w:rsidR="006C4C09" w:rsidRPr="009632E7" w:rsidRDefault="006C4C09" w:rsidP="006706D5">
            <w:pPr>
              <w:jc w:val="both"/>
              <w:rPr>
                <w:rFonts w:ascii="Arial" w:hAnsi="Arial" w:cs="Arial"/>
                <w:b w:val="0"/>
                <w:sz w:val="20"/>
                <w:szCs w:val="20"/>
                <w:lang w:val="en-US"/>
              </w:rPr>
            </w:pPr>
          </w:p>
        </w:tc>
        <w:tc>
          <w:tcPr>
            <w:tcW w:w="2126"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Nilópolis</w:t>
            </w:r>
          </w:p>
        </w:tc>
        <w:tc>
          <w:tcPr>
            <w:tcW w:w="1134"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0.753</w:t>
            </w:r>
          </w:p>
        </w:tc>
        <w:tc>
          <w:tcPr>
            <w:tcW w:w="1276" w:type="dxa"/>
          </w:tcPr>
          <w:p w:rsidR="006C4C09" w:rsidRPr="009632E7" w:rsidRDefault="006C4C09" w:rsidP="006706D5">
            <w:pPr>
              <w:jc w:val="both"/>
              <w:cnfStyle w:val="000000000000"/>
              <w:rPr>
                <w:rFonts w:ascii="Arial" w:hAnsi="Arial" w:cs="Arial"/>
                <w:sz w:val="20"/>
                <w:szCs w:val="20"/>
                <w:lang w:val="en-US"/>
              </w:rPr>
            </w:pPr>
          </w:p>
        </w:tc>
        <w:tc>
          <w:tcPr>
            <w:tcW w:w="1985"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Natividade</w:t>
            </w:r>
          </w:p>
        </w:tc>
        <w:tc>
          <w:tcPr>
            <w:tcW w:w="992"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0.730</w:t>
            </w:r>
          </w:p>
        </w:tc>
      </w:tr>
      <w:tr w:rsidR="006C4C09" w:rsidRPr="009632E7" w:rsidTr="006706D5">
        <w:trPr>
          <w:cnfStyle w:val="000000100000"/>
        </w:trPr>
        <w:tc>
          <w:tcPr>
            <w:cnfStyle w:val="001000000000"/>
            <w:tcW w:w="1276"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10°</w:t>
            </w:r>
          </w:p>
        </w:tc>
        <w:tc>
          <w:tcPr>
            <w:tcW w:w="2126"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Miguel Pereira</w:t>
            </w:r>
          </w:p>
        </w:tc>
        <w:tc>
          <w:tcPr>
            <w:tcW w:w="1134"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0.745</w:t>
            </w:r>
          </w:p>
        </w:tc>
        <w:tc>
          <w:tcPr>
            <w:tcW w:w="1276" w:type="dxa"/>
          </w:tcPr>
          <w:p w:rsidR="006C4C09" w:rsidRPr="009632E7" w:rsidRDefault="006C4C09" w:rsidP="006706D5">
            <w:pPr>
              <w:jc w:val="both"/>
              <w:cnfStyle w:val="000000100000"/>
              <w:rPr>
                <w:rFonts w:ascii="Arial" w:hAnsi="Arial" w:cs="Arial"/>
                <w:sz w:val="20"/>
                <w:szCs w:val="20"/>
                <w:lang w:val="en-US"/>
              </w:rPr>
            </w:pPr>
          </w:p>
        </w:tc>
        <w:tc>
          <w:tcPr>
            <w:tcW w:w="1985"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Teresópolis</w:t>
            </w:r>
          </w:p>
        </w:tc>
        <w:tc>
          <w:tcPr>
            <w:tcW w:w="992"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0.730</w:t>
            </w:r>
          </w:p>
        </w:tc>
      </w:tr>
      <w:tr w:rsidR="006C4C09" w:rsidRPr="009632E7" w:rsidTr="006706D5">
        <w:tc>
          <w:tcPr>
            <w:cnfStyle w:val="001000000000"/>
            <w:tcW w:w="1276" w:type="dxa"/>
          </w:tcPr>
          <w:p w:rsidR="006C4C09" w:rsidRPr="009632E7" w:rsidRDefault="006C4C09" w:rsidP="006706D5">
            <w:pPr>
              <w:jc w:val="both"/>
              <w:rPr>
                <w:rFonts w:ascii="Arial" w:hAnsi="Arial" w:cs="Arial"/>
                <w:b w:val="0"/>
                <w:sz w:val="20"/>
                <w:szCs w:val="20"/>
                <w:lang w:val="en-US"/>
              </w:rPr>
            </w:pPr>
          </w:p>
        </w:tc>
        <w:tc>
          <w:tcPr>
            <w:tcW w:w="2126"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Nova Friburgo</w:t>
            </w:r>
          </w:p>
        </w:tc>
        <w:tc>
          <w:tcPr>
            <w:tcW w:w="1134"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0.745</w:t>
            </w:r>
          </w:p>
        </w:tc>
        <w:tc>
          <w:tcPr>
            <w:tcW w:w="1276"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19°</w:t>
            </w:r>
          </w:p>
        </w:tc>
        <w:tc>
          <w:tcPr>
            <w:tcW w:w="1985"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Cordeiro</w:t>
            </w:r>
          </w:p>
        </w:tc>
        <w:tc>
          <w:tcPr>
            <w:tcW w:w="992"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0.729</w:t>
            </w:r>
          </w:p>
        </w:tc>
      </w:tr>
      <w:tr w:rsidR="006C4C09" w:rsidRPr="009632E7" w:rsidTr="006706D5">
        <w:trPr>
          <w:cnfStyle w:val="000000100000"/>
        </w:trPr>
        <w:tc>
          <w:tcPr>
            <w:cnfStyle w:val="001000000000"/>
            <w:tcW w:w="1276" w:type="dxa"/>
          </w:tcPr>
          <w:p w:rsidR="006C4C09" w:rsidRPr="009632E7" w:rsidRDefault="006C4C09" w:rsidP="006706D5">
            <w:pPr>
              <w:jc w:val="both"/>
              <w:rPr>
                <w:rFonts w:ascii="Arial" w:hAnsi="Arial" w:cs="Arial"/>
                <w:b w:val="0"/>
                <w:sz w:val="20"/>
                <w:szCs w:val="20"/>
                <w:lang w:val="en-US"/>
              </w:rPr>
            </w:pPr>
          </w:p>
        </w:tc>
        <w:tc>
          <w:tcPr>
            <w:tcW w:w="2126"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Petrópolis</w:t>
            </w:r>
          </w:p>
        </w:tc>
        <w:tc>
          <w:tcPr>
            <w:tcW w:w="1134"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0.745</w:t>
            </w:r>
          </w:p>
        </w:tc>
        <w:tc>
          <w:tcPr>
            <w:tcW w:w="1276" w:type="dxa"/>
          </w:tcPr>
          <w:p w:rsidR="006C4C09" w:rsidRPr="009632E7" w:rsidRDefault="006C4C09" w:rsidP="006706D5">
            <w:pPr>
              <w:jc w:val="both"/>
              <w:cnfStyle w:val="000000100000"/>
              <w:rPr>
                <w:rFonts w:ascii="Arial" w:hAnsi="Arial" w:cs="Arial"/>
                <w:sz w:val="20"/>
                <w:szCs w:val="20"/>
                <w:lang w:val="en-US"/>
              </w:rPr>
            </w:pPr>
          </w:p>
        </w:tc>
        <w:tc>
          <w:tcPr>
            <w:tcW w:w="1985"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Barra Mansa</w:t>
            </w:r>
          </w:p>
        </w:tc>
        <w:tc>
          <w:tcPr>
            <w:tcW w:w="992"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0.729</w:t>
            </w:r>
          </w:p>
        </w:tc>
      </w:tr>
      <w:tr w:rsidR="006C4C09" w:rsidRPr="009632E7" w:rsidTr="006706D5">
        <w:tc>
          <w:tcPr>
            <w:cnfStyle w:val="001000000000"/>
            <w:tcW w:w="1276"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11°</w:t>
            </w:r>
          </w:p>
        </w:tc>
        <w:tc>
          <w:tcPr>
            <w:tcW w:w="2126"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São Gonçalo</w:t>
            </w:r>
          </w:p>
        </w:tc>
        <w:tc>
          <w:tcPr>
            <w:tcW w:w="1134"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0.739</w:t>
            </w:r>
          </w:p>
        </w:tc>
        <w:tc>
          <w:tcPr>
            <w:tcW w:w="1276"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20°</w:t>
            </w:r>
          </w:p>
        </w:tc>
        <w:tc>
          <w:tcPr>
            <w:tcW w:w="1985"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Armação Búzios</w:t>
            </w:r>
          </w:p>
        </w:tc>
        <w:tc>
          <w:tcPr>
            <w:tcW w:w="992"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0.728</w:t>
            </w:r>
          </w:p>
        </w:tc>
      </w:tr>
    </w:tbl>
    <w:p w:rsidR="006C4C09" w:rsidRPr="00A80316" w:rsidRDefault="006C4C09" w:rsidP="006C4C09">
      <w:pPr>
        <w:jc w:val="both"/>
        <w:rPr>
          <w:rFonts w:ascii="Arial" w:hAnsi="Arial" w:cs="Arial"/>
          <w:sz w:val="20"/>
          <w:szCs w:val="20"/>
          <w:lang w:val="en-US"/>
        </w:rPr>
      </w:pPr>
      <w:r w:rsidRPr="00823249">
        <w:rPr>
          <w:rFonts w:ascii="Arial" w:hAnsi="Arial" w:cs="Arial"/>
          <w:sz w:val="20"/>
          <w:szCs w:val="20"/>
          <w:lang w:val="en-US"/>
        </w:rPr>
        <w:t xml:space="preserve">Fonte: </w:t>
      </w:r>
      <w:hyperlink r:id="rId9" w:history="1">
        <w:r w:rsidRPr="00823249">
          <w:rPr>
            <w:rStyle w:val="Hyperlink"/>
            <w:rFonts w:ascii="Arial" w:hAnsi="Arial" w:cs="Arial"/>
            <w:sz w:val="20"/>
            <w:szCs w:val="20"/>
            <w:lang w:val="en-US"/>
          </w:rPr>
          <w:t>http://www.atlasbrasil.org.br/ranking</w:t>
        </w:r>
      </w:hyperlink>
      <w:r w:rsidRPr="00823249">
        <w:rPr>
          <w:rFonts w:ascii="Arial" w:hAnsi="Arial" w:cs="Arial"/>
          <w:sz w:val="20"/>
          <w:szCs w:val="20"/>
          <w:lang w:val="en-US"/>
        </w:rPr>
        <w:t xml:space="preserve">. </w:t>
      </w:r>
      <w:proofErr w:type="gramStart"/>
      <w:r w:rsidRPr="00823249">
        <w:rPr>
          <w:rFonts w:ascii="Arial" w:hAnsi="Arial" w:cs="Arial"/>
          <w:sz w:val="20"/>
          <w:szCs w:val="20"/>
          <w:lang w:val="en-US"/>
        </w:rPr>
        <w:t>Acesso em 22/08/2025.</w:t>
      </w:r>
      <w:proofErr w:type="gramEnd"/>
    </w:p>
    <w:p w:rsidR="006C4C09" w:rsidRDefault="006C4C09" w:rsidP="006C4C09">
      <w:pPr>
        <w:spacing w:line="360" w:lineRule="auto"/>
        <w:jc w:val="both"/>
        <w:rPr>
          <w:rFonts w:ascii="Arial" w:hAnsi="Arial" w:cs="Arial"/>
          <w:lang w:val="en-US"/>
        </w:rPr>
      </w:pPr>
    </w:p>
    <w:p w:rsidR="006C4C09" w:rsidRDefault="006C4C09" w:rsidP="006C4C09">
      <w:pPr>
        <w:spacing w:line="360" w:lineRule="auto"/>
        <w:ind w:firstLine="851"/>
        <w:jc w:val="both"/>
        <w:rPr>
          <w:rFonts w:ascii="Arial" w:hAnsi="Arial" w:cs="Arial"/>
          <w:lang w:val="en-US"/>
        </w:rPr>
      </w:pPr>
      <w:r>
        <w:rPr>
          <w:rFonts w:ascii="Arial" w:hAnsi="Arial" w:cs="Arial"/>
          <w:lang w:val="en-US"/>
        </w:rPr>
        <w:t>A</w:t>
      </w:r>
      <w:r w:rsidRPr="002D2B18">
        <w:rPr>
          <w:rFonts w:ascii="Arial" w:hAnsi="Arial" w:cs="Arial"/>
          <w:lang w:val="en-US"/>
        </w:rPr>
        <w:t xml:space="preserve">s demais </w:t>
      </w:r>
      <w:r>
        <w:rPr>
          <w:rFonts w:ascii="Arial" w:hAnsi="Arial" w:cs="Arial"/>
          <w:lang w:val="en-US"/>
        </w:rPr>
        <w:t>unidades subestaduais estão concentrada</w:t>
      </w:r>
      <w:r w:rsidRPr="002D2B18">
        <w:rPr>
          <w:rFonts w:ascii="Arial" w:hAnsi="Arial" w:cs="Arial"/>
          <w:lang w:val="en-US"/>
        </w:rPr>
        <w:t>s da parte central para o</w:t>
      </w:r>
      <w:r>
        <w:rPr>
          <w:rFonts w:ascii="Arial" w:hAnsi="Arial" w:cs="Arial"/>
          <w:lang w:val="en-US"/>
        </w:rPr>
        <w:t xml:space="preserve"> sul do território estadual: Niterói (0.837), a</w:t>
      </w:r>
      <w:r w:rsidRPr="002D2B18">
        <w:rPr>
          <w:rFonts w:ascii="Arial" w:hAnsi="Arial" w:cs="Arial"/>
          <w:lang w:val="en-US"/>
        </w:rPr>
        <w:t xml:space="preserve"> Ca</w:t>
      </w:r>
      <w:r>
        <w:rPr>
          <w:rFonts w:ascii="Arial" w:hAnsi="Arial" w:cs="Arial"/>
          <w:lang w:val="en-US"/>
        </w:rPr>
        <w:t>pital (0.799), Nilópolis (0.753), São Gonçalo (0.739) e Mesquita (0.737) na Região Metropolitana; Rio das Ostras (0.773), Maricá (0.765), Iguaba Grande (0.761), Cabo Frio (0.735), Arraial do Cabo (0.733) e Armação de Búzios (0.728) na Lagos; Nova Friburgo (0.745), Petrópolis (0.7</w:t>
      </w:r>
      <w:r w:rsidRPr="002D2B18">
        <w:rPr>
          <w:rFonts w:ascii="Arial" w:hAnsi="Arial" w:cs="Arial"/>
          <w:lang w:val="en-US"/>
        </w:rPr>
        <w:t>4</w:t>
      </w:r>
      <w:r>
        <w:rPr>
          <w:rFonts w:ascii="Arial" w:hAnsi="Arial" w:cs="Arial"/>
          <w:lang w:val="en-US"/>
        </w:rPr>
        <w:t xml:space="preserve">5), </w:t>
      </w:r>
      <w:r w:rsidRPr="002D2B18">
        <w:rPr>
          <w:rFonts w:ascii="Arial" w:hAnsi="Arial" w:cs="Arial"/>
          <w:lang w:val="en-US"/>
        </w:rPr>
        <w:t>Teresópolis (0</w:t>
      </w:r>
      <w:r>
        <w:rPr>
          <w:rFonts w:ascii="Arial" w:hAnsi="Arial" w:cs="Arial"/>
          <w:lang w:val="en-US"/>
        </w:rPr>
        <w:t>.730) e Cordeiro (0.729) na Serrana; Miguel Pereira (0.745) e Mendes (0.736) na Centro-S</w:t>
      </w:r>
      <w:r w:rsidRPr="002D2B18">
        <w:rPr>
          <w:rFonts w:ascii="Arial" w:hAnsi="Arial" w:cs="Arial"/>
          <w:lang w:val="en-US"/>
        </w:rPr>
        <w:t>ul; Volta</w:t>
      </w:r>
      <w:r>
        <w:rPr>
          <w:rFonts w:ascii="Arial" w:hAnsi="Arial" w:cs="Arial"/>
          <w:color w:val="FF0000"/>
          <w:lang w:val="en-US"/>
        </w:rPr>
        <w:t xml:space="preserve"> </w:t>
      </w:r>
      <w:r>
        <w:rPr>
          <w:rFonts w:ascii="Arial" w:hAnsi="Arial" w:cs="Arial"/>
          <w:lang w:val="en-US"/>
        </w:rPr>
        <w:t xml:space="preserve">Redonda (0.771), Resende (0.762), Mangaratiba (0.753), Valença (0.738), Itatiaia (0.737), Barra do Piraí </w:t>
      </w:r>
      <w:r w:rsidR="00D46E2E">
        <w:rPr>
          <w:rFonts w:ascii="Arial" w:hAnsi="Arial" w:cs="Arial"/>
          <w:lang w:val="en-US"/>
        </w:rPr>
        <w:t>(0.733) e Barra Mansa (0.729) na</w:t>
      </w:r>
      <w:r>
        <w:rPr>
          <w:rFonts w:ascii="Arial" w:hAnsi="Arial" w:cs="Arial"/>
          <w:lang w:val="en-US"/>
        </w:rPr>
        <w:t xml:space="preserve"> M</w:t>
      </w:r>
      <w:r w:rsidRPr="002D2B18">
        <w:rPr>
          <w:rFonts w:ascii="Arial" w:hAnsi="Arial" w:cs="Arial"/>
          <w:lang w:val="en-US"/>
        </w:rPr>
        <w:t>édio Paraíba.</w:t>
      </w:r>
      <w:r>
        <w:rPr>
          <w:rFonts w:ascii="Arial" w:hAnsi="Arial" w:cs="Arial"/>
          <w:lang w:val="en-US"/>
        </w:rPr>
        <w:t xml:space="preserve"> Niterói, com o sétimo índice do território nacional, classificado </w:t>
      </w:r>
      <w:proofErr w:type="gramStart"/>
      <w:r>
        <w:rPr>
          <w:rFonts w:ascii="Arial" w:hAnsi="Arial" w:cs="Arial"/>
          <w:lang w:val="en-US"/>
        </w:rPr>
        <w:t>como</w:t>
      </w:r>
      <w:proofErr w:type="gramEnd"/>
      <w:r>
        <w:rPr>
          <w:rFonts w:ascii="Arial" w:hAnsi="Arial" w:cs="Arial"/>
          <w:lang w:val="en-US"/>
        </w:rPr>
        <w:t xml:space="preserve"> muito alto e os demais considerados de alto padrão.</w:t>
      </w: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Desta maneira, </w:t>
      </w:r>
      <w:proofErr w:type="gramStart"/>
      <w:r>
        <w:rPr>
          <w:rFonts w:ascii="Arial" w:hAnsi="Arial" w:cs="Arial"/>
          <w:lang w:val="en-US"/>
        </w:rPr>
        <w:t>como</w:t>
      </w:r>
      <w:proofErr w:type="gramEnd"/>
      <w:r>
        <w:rPr>
          <w:rFonts w:ascii="Arial" w:hAnsi="Arial" w:cs="Arial"/>
          <w:lang w:val="en-US"/>
        </w:rPr>
        <w:t xml:space="preserve"> observado no levantamento do IFDM, também na distribuição do IDH confirma-se uma concentração dos melhores índices da parte central para o sul do território fluminense. Isto posto, reafirma-se a necessidade de intervenção da gestão estadual com um planejamento que busque a melhoria desses indicadores </w:t>
      </w:r>
      <w:proofErr w:type="gramStart"/>
      <w:r>
        <w:rPr>
          <w:rFonts w:ascii="Arial" w:hAnsi="Arial" w:cs="Arial"/>
          <w:lang w:val="en-US"/>
        </w:rPr>
        <w:t>na</w:t>
      </w:r>
      <w:proofErr w:type="gramEnd"/>
      <w:r>
        <w:rPr>
          <w:rFonts w:ascii="Arial" w:hAnsi="Arial" w:cs="Arial"/>
          <w:lang w:val="en-US"/>
        </w:rPr>
        <w:t xml:space="preserve"> parte Norte e Noroeste do Estado do Rio de Janeiro.</w:t>
      </w:r>
    </w:p>
    <w:p w:rsidR="006C4C09" w:rsidRDefault="006C4C09" w:rsidP="006C4C09">
      <w:pPr>
        <w:spacing w:line="360" w:lineRule="auto"/>
        <w:jc w:val="both"/>
        <w:rPr>
          <w:rFonts w:ascii="Arial" w:hAnsi="Arial" w:cs="Arial"/>
          <w:lang w:val="en-US"/>
        </w:rPr>
      </w:pPr>
    </w:p>
    <w:p w:rsidR="006C4C09" w:rsidRPr="009632E7" w:rsidRDefault="006C4C09" w:rsidP="006C4C09">
      <w:pPr>
        <w:spacing w:line="360" w:lineRule="auto"/>
        <w:jc w:val="both"/>
        <w:rPr>
          <w:rFonts w:ascii="Arial" w:hAnsi="Arial" w:cs="Arial"/>
          <w:lang w:val="en-US"/>
        </w:rPr>
      </w:pPr>
      <w:r w:rsidRPr="009632E7">
        <w:rPr>
          <w:rFonts w:ascii="Arial" w:hAnsi="Arial" w:cs="Arial"/>
          <w:lang w:val="en-US"/>
        </w:rPr>
        <w:t>3.3 O IVS DO TERRITÓRIO ITAPERUNENSE: 11° DO RIO DE JANEIRO</w:t>
      </w:r>
    </w:p>
    <w:p w:rsidR="006C4C09" w:rsidRPr="004D7139" w:rsidRDefault="006C4C09" w:rsidP="006C4C09">
      <w:pPr>
        <w:spacing w:line="360" w:lineRule="auto"/>
        <w:jc w:val="both"/>
        <w:rPr>
          <w:rFonts w:ascii="Arial" w:hAnsi="Arial" w:cs="Arial"/>
          <w:b/>
          <w:lang w:val="en-US"/>
        </w:rPr>
      </w:pP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Itaperuna também se sobressai </w:t>
      </w:r>
      <w:proofErr w:type="gramStart"/>
      <w:r>
        <w:rPr>
          <w:rFonts w:ascii="Arial" w:hAnsi="Arial" w:cs="Arial"/>
          <w:lang w:val="en-US"/>
        </w:rPr>
        <w:t>na</w:t>
      </w:r>
      <w:proofErr w:type="gramEnd"/>
      <w:r>
        <w:rPr>
          <w:rFonts w:ascii="Arial" w:hAnsi="Arial" w:cs="Arial"/>
          <w:lang w:val="en-US"/>
        </w:rPr>
        <w:t xml:space="preserve"> abordagem do IVS. Da amostra, destacam-se com uma vulnerabilidade social muito baixa os municípios de: Volta Redonda, Armação de Búzios, Resende e Quatis. Os demais, dentre os </w:t>
      </w:r>
      <w:r>
        <w:rPr>
          <w:rFonts w:ascii="Arial" w:hAnsi="Arial" w:cs="Arial"/>
          <w:lang w:val="en-US"/>
        </w:rPr>
        <w:lastRenderedPageBreak/>
        <w:t xml:space="preserve">melhores do território fluminense, são classificados </w:t>
      </w:r>
      <w:proofErr w:type="gramStart"/>
      <w:r>
        <w:rPr>
          <w:rFonts w:ascii="Arial" w:hAnsi="Arial" w:cs="Arial"/>
          <w:lang w:val="en-US"/>
        </w:rPr>
        <w:t>como</w:t>
      </w:r>
      <w:proofErr w:type="gramEnd"/>
      <w:r>
        <w:rPr>
          <w:rFonts w:ascii="Arial" w:hAnsi="Arial" w:cs="Arial"/>
          <w:lang w:val="en-US"/>
        </w:rPr>
        <w:t xml:space="preserve"> de baixa vulnerabilidade.</w:t>
      </w:r>
    </w:p>
    <w:p w:rsidR="006C4C09" w:rsidRDefault="006C4C09" w:rsidP="006C4C09">
      <w:pPr>
        <w:spacing w:line="360" w:lineRule="auto"/>
        <w:ind w:firstLine="851"/>
        <w:jc w:val="both"/>
        <w:rPr>
          <w:rFonts w:ascii="Arial" w:hAnsi="Arial" w:cs="Arial"/>
          <w:lang w:val="en-US"/>
        </w:rPr>
      </w:pPr>
      <w:r>
        <w:rPr>
          <w:rFonts w:ascii="Arial" w:hAnsi="Arial" w:cs="Arial"/>
          <w:lang w:val="en-US"/>
        </w:rPr>
        <w:t>O território itaperunense é o 11° melhor desempenho do território estadual do Rio de Janeiro, conforme Tabela 2 a seguir, que apresenta os municípios com os melhores indicadores.</w:t>
      </w:r>
    </w:p>
    <w:p w:rsidR="00CA0BDD" w:rsidRDefault="00CA0BDD" w:rsidP="006C4C09">
      <w:pPr>
        <w:spacing w:line="360" w:lineRule="auto"/>
        <w:ind w:firstLine="851"/>
        <w:jc w:val="both"/>
        <w:rPr>
          <w:rFonts w:ascii="Arial" w:hAnsi="Arial" w:cs="Arial"/>
          <w:lang w:val="en-US"/>
        </w:rPr>
      </w:pPr>
    </w:p>
    <w:p w:rsidR="006C4C09" w:rsidRPr="009632E7" w:rsidRDefault="006C4C09" w:rsidP="006C4C09">
      <w:pPr>
        <w:jc w:val="both"/>
        <w:rPr>
          <w:rFonts w:ascii="Arial" w:hAnsi="Arial" w:cs="Arial"/>
          <w:sz w:val="20"/>
          <w:szCs w:val="20"/>
          <w:lang w:val="en-US"/>
        </w:rPr>
      </w:pPr>
      <w:r w:rsidRPr="009632E7">
        <w:rPr>
          <w:rFonts w:ascii="Arial" w:hAnsi="Arial" w:cs="Arial"/>
          <w:sz w:val="20"/>
          <w:szCs w:val="20"/>
          <w:lang w:val="en-US"/>
        </w:rPr>
        <w:t>Tabela 2 – Os melhores IVS’s do Estado do Rio de Janeiro</w:t>
      </w:r>
    </w:p>
    <w:tbl>
      <w:tblPr>
        <w:tblStyle w:val="LightShading-Accent11"/>
        <w:tblW w:w="0" w:type="auto"/>
        <w:tblLook w:val="04A0"/>
      </w:tblPr>
      <w:tblGrid>
        <w:gridCol w:w="1201"/>
        <w:gridCol w:w="2095"/>
        <w:gridCol w:w="1308"/>
        <w:gridCol w:w="1113"/>
        <w:gridCol w:w="1822"/>
        <w:gridCol w:w="1181"/>
      </w:tblGrid>
      <w:tr w:rsidR="006C4C09" w:rsidRPr="009632E7" w:rsidTr="006706D5">
        <w:trPr>
          <w:cnfStyle w:val="100000000000"/>
        </w:trPr>
        <w:tc>
          <w:tcPr>
            <w:cnfStyle w:val="001000000000"/>
            <w:tcW w:w="1242" w:type="dxa"/>
          </w:tcPr>
          <w:p w:rsidR="006C4C09" w:rsidRPr="009632E7" w:rsidRDefault="006C4C09" w:rsidP="006706D5">
            <w:pPr>
              <w:jc w:val="center"/>
              <w:rPr>
                <w:rFonts w:ascii="Arial" w:hAnsi="Arial" w:cs="Arial"/>
                <w:sz w:val="20"/>
                <w:szCs w:val="20"/>
                <w:lang w:val="en-US"/>
              </w:rPr>
            </w:pPr>
            <w:r w:rsidRPr="009632E7">
              <w:rPr>
                <w:rFonts w:ascii="Arial" w:hAnsi="Arial" w:cs="Arial"/>
                <w:sz w:val="20"/>
                <w:szCs w:val="20"/>
                <w:lang w:val="en-US"/>
              </w:rPr>
              <w:t xml:space="preserve">Posição </w:t>
            </w:r>
          </w:p>
        </w:tc>
        <w:tc>
          <w:tcPr>
            <w:tcW w:w="2268" w:type="dxa"/>
          </w:tcPr>
          <w:p w:rsidR="006C4C09" w:rsidRPr="009632E7" w:rsidRDefault="006C4C09" w:rsidP="006706D5">
            <w:pPr>
              <w:jc w:val="center"/>
              <w:cnfStyle w:val="100000000000"/>
              <w:rPr>
                <w:rFonts w:ascii="Arial" w:hAnsi="Arial" w:cs="Arial"/>
                <w:sz w:val="20"/>
                <w:szCs w:val="20"/>
                <w:lang w:val="en-US"/>
              </w:rPr>
            </w:pPr>
            <w:r w:rsidRPr="009632E7">
              <w:rPr>
                <w:rFonts w:ascii="Arial" w:hAnsi="Arial" w:cs="Arial"/>
                <w:sz w:val="20"/>
                <w:szCs w:val="20"/>
                <w:lang w:val="en-US"/>
              </w:rPr>
              <w:t>Território</w:t>
            </w:r>
          </w:p>
        </w:tc>
        <w:tc>
          <w:tcPr>
            <w:tcW w:w="1418" w:type="dxa"/>
          </w:tcPr>
          <w:p w:rsidR="006C4C09" w:rsidRPr="009632E7" w:rsidRDefault="006C4C09" w:rsidP="006706D5">
            <w:pPr>
              <w:jc w:val="center"/>
              <w:cnfStyle w:val="100000000000"/>
              <w:rPr>
                <w:rFonts w:ascii="Arial" w:hAnsi="Arial" w:cs="Arial"/>
                <w:sz w:val="20"/>
                <w:szCs w:val="20"/>
                <w:lang w:val="en-US"/>
              </w:rPr>
            </w:pPr>
            <w:r w:rsidRPr="009632E7">
              <w:rPr>
                <w:rFonts w:ascii="Arial" w:hAnsi="Arial" w:cs="Arial"/>
                <w:sz w:val="20"/>
                <w:szCs w:val="20"/>
                <w:lang w:val="en-US"/>
              </w:rPr>
              <w:t>IVS</w:t>
            </w:r>
          </w:p>
        </w:tc>
        <w:tc>
          <w:tcPr>
            <w:tcW w:w="1137" w:type="dxa"/>
          </w:tcPr>
          <w:p w:rsidR="006C4C09" w:rsidRPr="009632E7" w:rsidRDefault="006C4C09" w:rsidP="006706D5">
            <w:pPr>
              <w:jc w:val="center"/>
              <w:cnfStyle w:val="100000000000"/>
              <w:rPr>
                <w:rFonts w:ascii="Arial" w:hAnsi="Arial" w:cs="Arial"/>
                <w:sz w:val="20"/>
                <w:szCs w:val="20"/>
                <w:lang w:val="en-US"/>
              </w:rPr>
            </w:pPr>
            <w:r w:rsidRPr="009632E7">
              <w:rPr>
                <w:rFonts w:ascii="Arial" w:hAnsi="Arial" w:cs="Arial"/>
                <w:sz w:val="20"/>
                <w:szCs w:val="20"/>
                <w:lang w:val="en-US"/>
              </w:rPr>
              <w:t>Posição</w:t>
            </w:r>
          </w:p>
        </w:tc>
        <w:tc>
          <w:tcPr>
            <w:tcW w:w="1955" w:type="dxa"/>
          </w:tcPr>
          <w:p w:rsidR="006C4C09" w:rsidRPr="009632E7" w:rsidRDefault="006C4C09" w:rsidP="006706D5">
            <w:pPr>
              <w:jc w:val="center"/>
              <w:cnfStyle w:val="100000000000"/>
              <w:rPr>
                <w:rFonts w:ascii="Arial" w:hAnsi="Arial" w:cs="Arial"/>
                <w:sz w:val="20"/>
                <w:szCs w:val="20"/>
                <w:lang w:val="en-US"/>
              </w:rPr>
            </w:pPr>
            <w:r w:rsidRPr="009632E7">
              <w:rPr>
                <w:rFonts w:ascii="Arial" w:hAnsi="Arial" w:cs="Arial"/>
                <w:sz w:val="20"/>
                <w:szCs w:val="20"/>
                <w:lang w:val="en-US"/>
              </w:rPr>
              <w:t>Território</w:t>
            </w:r>
          </w:p>
        </w:tc>
        <w:tc>
          <w:tcPr>
            <w:tcW w:w="1267" w:type="dxa"/>
          </w:tcPr>
          <w:p w:rsidR="006C4C09" w:rsidRPr="009632E7" w:rsidRDefault="006C4C09" w:rsidP="006706D5">
            <w:pPr>
              <w:jc w:val="center"/>
              <w:cnfStyle w:val="100000000000"/>
              <w:rPr>
                <w:rFonts w:ascii="Arial" w:hAnsi="Arial" w:cs="Arial"/>
                <w:sz w:val="20"/>
                <w:szCs w:val="20"/>
                <w:lang w:val="en-US"/>
              </w:rPr>
            </w:pPr>
            <w:r w:rsidRPr="009632E7">
              <w:rPr>
                <w:rFonts w:ascii="Arial" w:hAnsi="Arial" w:cs="Arial"/>
                <w:sz w:val="20"/>
                <w:szCs w:val="20"/>
                <w:lang w:val="en-US"/>
              </w:rPr>
              <w:t>IVS</w:t>
            </w:r>
          </w:p>
        </w:tc>
      </w:tr>
      <w:tr w:rsidR="006C4C09" w:rsidRPr="009632E7" w:rsidTr="006706D5">
        <w:trPr>
          <w:cnfStyle w:val="000000100000"/>
        </w:trPr>
        <w:tc>
          <w:tcPr>
            <w:cnfStyle w:val="001000000000"/>
            <w:tcW w:w="1242"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1°</w:t>
            </w:r>
          </w:p>
        </w:tc>
        <w:tc>
          <w:tcPr>
            <w:tcW w:w="2268"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Volta Redonda</w:t>
            </w:r>
          </w:p>
        </w:tc>
        <w:tc>
          <w:tcPr>
            <w:tcW w:w="1418"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 xml:space="preserve">  0.191           </w:t>
            </w:r>
          </w:p>
        </w:tc>
        <w:tc>
          <w:tcPr>
            <w:tcW w:w="1137"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10°</w:t>
            </w:r>
          </w:p>
        </w:tc>
        <w:tc>
          <w:tcPr>
            <w:tcW w:w="1955"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Porto Real</w:t>
            </w:r>
          </w:p>
        </w:tc>
        <w:tc>
          <w:tcPr>
            <w:tcW w:w="1267"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 xml:space="preserve">    0.212</w:t>
            </w:r>
          </w:p>
        </w:tc>
      </w:tr>
      <w:tr w:rsidR="006C4C09" w:rsidRPr="009632E7" w:rsidTr="006706D5">
        <w:tc>
          <w:tcPr>
            <w:cnfStyle w:val="001000000000"/>
            <w:tcW w:w="1242"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2°</w:t>
            </w:r>
          </w:p>
        </w:tc>
        <w:tc>
          <w:tcPr>
            <w:tcW w:w="2268"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Armação Búzios</w:t>
            </w:r>
          </w:p>
        </w:tc>
        <w:tc>
          <w:tcPr>
            <w:tcW w:w="1418"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 xml:space="preserve">  0.192              </w:t>
            </w:r>
          </w:p>
        </w:tc>
        <w:tc>
          <w:tcPr>
            <w:tcW w:w="1137" w:type="dxa"/>
          </w:tcPr>
          <w:p w:rsidR="006C4C09" w:rsidRPr="009632E7" w:rsidRDefault="006C4C09" w:rsidP="006706D5">
            <w:pPr>
              <w:jc w:val="both"/>
              <w:cnfStyle w:val="000000000000"/>
              <w:rPr>
                <w:rFonts w:ascii="Arial" w:hAnsi="Arial" w:cs="Arial"/>
                <w:color w:val="FF0000"/>
                <w:sz w:val="20"/>
                <w:szCs w:val="20"/>
                <w:lang w:val="en-US"/>
              </w:rPr>
            </w:pPr>
            <w:r w:rsidRPr="009632E7">
              <w:rPr>
                <w:rFonts w:ascii="Arial" w:hAnsi="Arial" w:cs="Arial"/>
                <w:color w:val="FF0000"/>
                <w:sz w:val="20"/>
                <w:szCs w:val="20"/>
                <w:lang w:val="en-US"/>
              </w:rPr>
              <w:t>11°</w:t>
            </w:r>
          </w:p>
        </w:tc>
        <w:tc>
          <w:tcPr>
            <w:tcW w:w="1955" w:type="dxa"/>
          </w:tcPr>
          <w:p w:rsidR="006C4C09" w:rsidRPr="009632E7" w:rsidRDefault="006C4C09" w:rsidP="006706D5">
            <w:pPr>
              <w:jc w:val="both"/>
              <w:cnfStyle w:val="000000000000"/>
              <w:rPr>
                <w:rFonts w:ascii="Arial" w:hAnsi="Arial" w:cs="Arial"/>
                <w:color w:val="FF0000"/>
                <w:sz w:val="20"/>
                <w:szCs w:val="20"/>
                <w:lang w:val="en-US"/>
              </w:rPr>
            </w:pPr>
            <w:r w:rsidRPr="009632E7">
              <w:rPr>
                <w:rFonts w:ascii="Arial" w:hAnsi="Arial" w:cs="Arial"/>
                <w:color w:val="FF0000"/>
                <w:sz w:val="20"/>
                <w:szCs w:val="20"/>
                <w:lang w:val="en-US"/>
              </w:rPr>
              <w:t>Itaperuna</w:t>
            </w:r>
          </w:p>
        </w:tc>
        <w:tc>
          <w:tcPr>
            <w:tcW w:w="1267" w:type="dxa"/>
          </w:tcPr>
          <w:p w:rsidR="006C4C09" w:rsidRPr="009632E7" w:rsidRDefault="006C4C09" w:rsidP="006706D5">
            <w:pPr>
              <w:jc w:val="both"/>
              <w:cnfStyle w:val="000000000000"/>
              <w:rPr>
                <w:rFonts w:ascii="Arial" w:hAnsi="Arial" w:cs="Arial"/>
                <w:color w:val="FF0000"/>
                <w:sz w:val="20"/>
                <w:szCs w:val="20"/>
                <w:lang w:val="en-US"/>
              </w:rPr>
            </w:pPr>
            <w:r w:rsidRPr="009632E7">
              <w:rPr>
                <w:rFonts w:ascii="Arial" w:hAnsi="Arial" w:cs="Arial"/>
                <w:color w:val="FF0000"/>
                <w:sz w:val="20"/>
                <w:szCs w:val="20"/>
                <w:lang w:val="en-US"/>
              </w:rPr>
              <w:t xml:space="preserve">    0.215</w:t>
            </w:r>
          </w:p>
        </w:tc>
      </w:tr>
      <w:tr w:rsidR="006C4C09" w:rsidRPr="009632E7" w:rsidTr="006706D5">
        <w:trPr>
          <w:cnfStyle w:val="000000100000"/>
        </w:trPr>
        <w:tc>
          <w:tcPr>
            <w:cnfStyle w:val="001000000000"/>
            <w:tcW w:w="1242"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3°</w:t>
            </w:r>
          </w:p>
        </w:tc>
        <w:tc>
          <w:tcPr>
            <w:tcW w:w="2268"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Resende</w:t>
            </w:r>
          </w:p>
        </w:tc>
        <w:tc>
          <w:tcPr>
            <w:tcW w:w="1418"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 xml:space="preserve">  0.194             </w:t>
            </w:r>
          </w:p>
        </w:tc>
        <w:tc>
          <w:tcPr>
            <w:tcW w:w="1137"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12°</w:t>
            </w:r>
          </w:p>
        </w:tc>
        <w:tc>
          <w:tcPr>
            <w:tcW w:w="1955"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Itaocara</w:t>
            </w:r>
          </w:p>
        </w:tc>
        <w:tc>
          <w:tcPr>
            <w:tcW w:w="1267"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 xml:space="preserve">    0.221</w:t>
            </w:r>
          </w:p>
        </w:tc>
      </w:tr>
      <w:tr w:rsidR="006C4C09" w:rsidRPr="009632E7" w:rsidTr="006706D5">
        <w:tc>
          <w:tcPr>
            <w:cnfStyle w:val="001000000000"/>
            <w:tcW w:w="1242"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4°</w:t>
            </w:r>
          </w:p>
        </w:tc>
        <w:tc>
          <w:tcPr>
            <w:tcW w:w="2268"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Quatis</w:t>
            </w:r>
          </w:p>
        </w:tc>
        <w:tc>
          <w:tcPr>
            <w:tcW w:w="1418"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 xml:space="preserve">  0.200            </w:t>
            </w:r>
          </w:p>
        </w:tc>
        <w:tc>
          <w:tcPr>
            <w:tcW w:w="1137"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13°</w:t>
            </w:r>
          </w:p>
        </w:tc>
        <w:tc>
          <w:tcPr>
            <w:tcW w:w="1955"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Niterói</w:t>
            </w:r>
          </w:p>
        </w:tc>
        <w:tc>
          <w:tcPr>
            <w:tcW w:w="1267"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 xml:space="preserve">    0.223</w:t>
            </w:r>
          </w:p>
        </w:tc>
      </w:tr>
      <w:tr w:rsidR="006C4C09" w:rsidRPr="009632E7" w:rsidTr="006706D5">
        <w:trPr>
          <w:cnfStyle w:val="000000100000"/>
        </w:trPr>
        <w:tc>
          <w:tcPr>
            <w:cnfStyle w:val="001000000000"/>
            <w:tcW w:w="1242"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5°</w:t>
            </w:r>
          </w:p>
        </w:tc>
        <w:tc>
          <w:tcPr>
            <w:tcW w:w="2268"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Nova Friburgo</w:t>
            </w:r>
          </w:p>
        </w:tc>
        <w:tc>
          <w:tcPr>
            <w:tcW w:w="1418"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 xml:space="preserve">  0.201              </w:t>
            </w:r>
          </w:p>
        </w:tc>
        <w:tc>
          <w:tcPr>
            <w:tcW w:w="1137"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14°</w:t>
            </w:r>
          </w:p>
        </w:tc>
        <w:tc>
          <w:tcPr>
            <w:tcW w:w="1955"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Rio das Ostras</w:t>
            </w:r>
          </w:p>
        </w:tc>
        <w:tc>
          <w:tcPr>
            <w:tcW w:w="1267"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 xml:space="preserve">    0.225</w:t>
            </w:r>
          </w:p>
        </w:tc>
      </w:tr>
      <w:tr w:rsidR="006C4C09" w:rsidRPr="009632E7" w:rsidTr="006706D5">
        <w:tc>
          <w:tcPr>
            <w:cnfStyle w:val="001000000000"/>
            <w:tcW w:w="1242"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6°</w:t>
            </w:r>
          </w:p>
        </w:tc>
        <w:tc>
          <w:tcPr>
            <w:tcW w:w="2268"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Arraial do Cabo</w:t>
            </w:r>
          </w:p>
        </w:tc>
        <w:tc>
          <w:tcPr>
            <w:tcW w:w="1418"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 xml:space="preserve">  0.204             </w:t>
            </w:r>
          </w:p>
        </w:tc>
        <w:tc>
          <w:tcPr>
            <w:tcW w:w="1137" w:type="dxa"/>
          </w:tcPr>
          <w:p w:rsidR="006C4C09" w:rsidRPr="009632E7" w:rsidRDefault="006C4C09" w:rsidP="006706D5">
            <w:pPr>
              <w:jc w:val="both"/>
              <w:cnfStyle w:val="000000000000"/>
              <w:rPr>
                <w:rFonts w:ascii="Arial" w:hAnsi="Arial" w:cs="Arial"/>
                <w:sz w:val="20"/>
                <w:szCs w:val="20"/>
                <w:lang w:val="en-US"/>
              </w:rPr>
            </w:pPr>
          </w:p>
        </w:tc>
        <w:tc>
          <w:tcPr>
            <w:tcW w:w="1955"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São Fidelis</w:t>
            </w:r>
          </w:p>
        </w:tc>
        <w:tc>
          <w:tcPr>
            <w:tcW w:w="1267"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 xml:space="preserve">    0.225</w:t>
            </w:r>
          </w:p>
        </w:tc>
      </w:tr>
      <w:tr w:rsidR="006C4C09" w:rsidRPr="009632E7" w:rsidTr="006706D5">
        <w:trPr>
          <w:cnfStyle w:val="000000100000"/>
        </w:trPr>
        <w:tc>
          <w:tcPr>
            <w:cnfStyle w:val="001000000000"/>
            <w:tcW w:w="1242"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7°</w:t>
            </w:r>
          </w:p>
        </w:tc>
        <w:tc>
          <w:tcPr>
            <w:tcW w:w="2268"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Vassouras</w:t>
            </w:r>
          </w:p>
        </w:tc>
        <w:tc>
          <w:tcPr>
            <w:tcW w:w="1418"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 xml:space="preserve">  0.209            </w:t>
            </w:r>
          </w:p>
        </w:tc>
        <w:tc>
          <w:tcPr>
            <w:tcW w:w="1137"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15°</w:t>
            </w:r>
          </w:p>
        </w:tc>
        <w:tc>
          <w:tcPr>
            <w:tcW w:w="1955"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Paraíba do Sul</w:t>
            </w:r>
          </w:p>
        </w:tc>
        <w:tc>
          <w:tcPr>
            <w:tcW w:w="1267"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 xml:space="preserve">    0.227</w:t>
            </w:r>
          </w:p>
        </w:tc>
      </w:tr>
      <w:tr w:rsidR="006C4C09" w:rsidRPr="009632E7" w:rsidTr="006706D5">
        <w:tc>
          <w:tcPr>
            <w:cnfStyle w:val="001000000000"/>
            <w:tcW w:w="1242"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8°</w:t>
            </w:r>
          </w:p>
        </w:tc>
        <w:tc>
          <w:tcPr>
            <w:tcW w:w="2268"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C.Levy Gasparian</w:t>
            </w:r>
          </w:p>
        </w:tc>
        <w:tc>
          <w:tcPr>
            <w:tcW w:w="1418"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 xml:space="preserve">  0.210             </w:t>
            </w:r>
          </w:p>
        </w:tc>
        <w:tc>
          <w:tcPr>
            <w:tcW w:w="1137"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16°</w:t>
            </w:r>
          </w:p>
        </w:tc>
        <w:tc>
          <w:tcPr>
            <w:tcW w:w="1955"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Três Rios</w:t>
            </w:r>
          </w:p>
        </w:tc>
        <w:tc>
          <w:tcPr>
            <w:tcW w:w="1267"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 xml:space="preserve">    0.228</w:t>
            </w:r>
          </w:p>
        </w:tc>
      </w:tr>
      <w:tr w:rsidR="006C4C09" w:rsidRPr="009632E7" w:rsidTr="006706D5">
        <w:trPr>
          <w:cnfStyle w:val="000000100000"/>
        </w:trPr>
        <w:tc>
          <w:tcPr>
            <w:cnfStyle w:val="001000000000"/>
            <w:tcW w:w="1242"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9°</w:t>
            </w:r>
          </w:p>
        </w:tc>
        <w:tc>
          <w:tcPr>
            <w:tcW w:w="2268"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Aperibé</w:t>
            </w:r>
          </w:p>
        </w:tc>
        <w:tc>
          <w:tcPr>
            <w:tcW w:w="1418"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 xml:space="preserve">  0.211           </w:t>
            </w:r>
          </w:p>
        </w:tc>
        <w:tc>
          <w:tcPr>
            <w:tcW w:w="1137" w:type="dxa"/>
          </w:tcPr>
          <w:p w:rsidR="006C4C09" w:rsidRPr="009632E7" w:rsidRDefault="006C4C09" w:rsidP="006706D5">
            <w:pPr>
              <w:jc w:val="both"/>
              <w:cnfStyle w:val="000000100000"/>
              <w:rPr>
                <w:rFonts w:ascii="Arial" w:hAnsi="Arial" w:cs="Arial"/>
                <w:sz w:val="20"/>
                <w:szCs w:val="20"/>
                <w:lang w:val="en-US"/>
              </w:rPr>
            </w:pPr>
          </w:p>
        </w:tc>
        <w:tc>
          <w:tcPr>
            <w:tcW w:w="1955"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Valença</w:t>
            </w:r>
          </w:p>
        </w:tc>
        <w:tc>
          <w:tcPr>
            <w:tcW w:w="1267" w:type="dxa"/>
          </w:tcPr>
          <w:p w:rsidR="006C4C09" w:rsidRPr="009632E7" w:rsidRDefault="006C4C09" w:rsidP="006706D5">
            <w:pPr>
              <w:jc w:val="both"/>
              <w:cnfStyle w:val="000000100000"/>
              <w:rPr>
                <w:rFonts w:ascii="Arial" w:hAnsi="Arial" w:cs="Arial"/>
                <w:sz w:val="20"/>
                <w:szCs w:val="20"/>
                <w:lang w:val="en-US"/>
              </w:rPr>
            </w:pPr>
            <w:r w:rsidRPr="009632E7">
              <w:rPr>
                <w:rFonts w:ascii="Arial" w:hAnsi="Arial" w:cs="Arial"/>
                <w:sz w:val="20"/>
                <w:szCs w:val="20"/>
                <w:lang w:val="en-US"/>
              </w:rPr>
              <w:t xml:space="preserve">    0.228</w:t>
            </w:r>
          </w:p>
        </w:tc>
      </w:tr>
      <w:tr w:rsidR="006C4C09" w:rsidRPr="009632E7" w:rsidTr="006706D5">
        <w:tc>
          <w:tcPr>
            <w:cnfStyle w:val="001000000000"/>
            <w:tcW w:w="1242" w:type="dxa"/>
          </w:tcPr>
          <w:p w:rsidR="006C4C09" w:rsidRPr="009632E7" w:rsidRDefault="006C4C09" w:rsidP="006706D5">
            <w:pPr>
              <w:jc w:val="both"/>
              <w:rPr>
                <w:rFonts w:ascii="Arial" w:hAnsi="Arial" w:cs="Arial"/>
                <w:b w:val="0"/>
                <w:sz w:val="20"/>
                <w:szCs w:val="20"/>
                <w:lang w:val="en-US"/>
              </w:rPr>
            </w:pPr>
            <w:r w:rsidRPr="009632E7">
              <w:rPr>
                <w:rFonts w:ascii="Arial" w:hAnsi="Arial" w:cs="Arial"/>
                <w:b w:val="0"/>
                <w:sz w:val="20"/>
                <w:szCs w:val="20"/>
                <w:lang w:val="en-US"/>
              </w:rPr>
              <w:t>10°</w:t>
            </w:r>
          </w:p>
        </w:tc>
        <w:tc>
          <w:tcPr>
            <w:tcW w:w="2268"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Cordeiro</w:t>
            </w:r>
          </w:p>
        </w:tc>
        <w:tc>
          <w:tcPr>
            <w:tcW w:w="1418"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 xml:space="preserve">  0.212           </w:t>
            </w:r>
          </w:p>
        </w:tc>
        <w:tc>
          <w:tcPr>
            <w:tcW w:w="1137"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17°</w:t>
            </w:r>
          </w:p>
        </w:tc>
        <w:tc>
          <w:tcPr>
            <w:tcW w:w="1955"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Itatiaia</w:t>
            </w:r>
          </w:p>
        </w:tc>
        <w:tc>
          <w:tcPr>
            <w:tcW w:w="1267" w:type="dxa"/>
          </w:tcPr>
          <w:p w:rsidR="006C4C09" w:rsidRPr="009632E7" w:rsidRDefault="006C4C09" w:rsidP="006706D5">
            <w:pPr>
              <w:jc w:val="both"/>
              <w:cnfStyle w:val="000000000000"/>
              <w:rPr>
                <w:rFonts w:ascii="Arial" w:hAnsi="Arial" w:cs="Arial"/>
                <w:sz w:val="20"/>
                <w:szCs w:val="20"/>
                <w:lang w:val="en-US"/>
              </w:rPr>
            </w:pPr>
            <w:r w:rsidRPr="009632E7">
              <w:rPr>
                <w:rFonts w:ascii="Arial" w:hAnsi="Arial" w:cs="Arial"/>
                <w:sz w:val="20"/>
                <w:szCs w:val="20"/>
                <w:lang w:val="en-US"/>
              </w:rPr>
              <w:t xml:space="preserve">    0.230</w:t>
            </w:r>
          </w:p>
        </w:tc>
      </w:tr>
    </w:tbl>
    <w:p w:rsidR="006C4C09" w:rsidRDefault="006C4C09" w:rsidP="006C4C09">
      <w:pPr>
        <w:jc w:val="both"/>
        <w:rPr>
          <w:rFonts w:ascii="Arial" w:hAnsi="Arial" w:cs="Arial"/>
          <w:sz w:val="20"/>
          <w:szCs w:val="20"/>
          <w:lang w:val="en-US"/>
        </w:rPr>
      </w:pPr>
      <w:r w:rsidRPr="002D108F">
        <w:rPr>
          <w:rFonts w:ascii="Arial" w:hAnsi="Arial" w:cs="Arial"/>
          <w:sz w:val="20"/>
          <w:szCs w:val="20"/>
          <w:lang w:val="en-US"/>
        </w:rPr>
        <w:t xml:space="preserve">Fonte: </w:t>
      </w:r>
      <w:hyperlink r:id="rId10" w:history="1">
        <w:r w:rsidRPr="00FD1DBE">
          <w:rPr>
            <w:rStyle w:val="Hyperlink"/>
            <w:rFonts w:ascii="Arial" w:hAnsi="Arial" w:cs="Arial"/>
            <w:sz w:val="20"/>
            <w:szCs w:val="20"/>
            <w:lang w:val="en-US"/>
          </w:rPr>
          <w:t xml:space="preserve">https://dados.gov.br/dados/conjuntos-dados/ivs. </w:t>
        </w:r>
        <w:proofErr w:type="gramStart"/>
        <w:r w:rsidRPr="00FD1DBE">
          <w:rPr>
            <w:rStyle w:val="Hyperlink"/>
            <w:rFonts w:ascii="Arial" w:hAnsi="Arial" w:cs="Arial"/>
            <w:sz w:val="20"/>
            <w:szCs w:val="20"/>
            <w:lang w:val="en-US"/>
          </w:rPr>
          <w:t>Acesso em 25/08/2025</w:t>
        </w:r>
      </w:hyperlink>
      <w:r w:rsidRPr="002D108F">
        <w:rPr>
          <w:rFonts w:ascii="Arial" w:hAnsi="Arial" w:cs="Arial"/>
          <w:sz w:val="20"/>
          <w:szCs w:val="20"/>
          <w:lang w:val="en-US"/>
        </w:rPr>
        <w:t>.</w:t>
      </w:r>
      <w:proofErr w:type="gramEnd"/>
    </w:p>
    <w:p w:rsidR="006C4C09" w:rsidRDefault="006C4C09" w:rsidP="006C4C09">
      <w:pPr>
        <w:jc w:val="both"/>
        <w:rPr>
          <w:rFonts w:ascii="Arial" w:hAnsi="Arial" w:cs="Arial"/>
          <w:sz w:val="20"/>
          <w:szCs w:val="20"/>
          <w:lang w:val="en-US"/>
        </w:rPr>
      </w:pPr>
    </w:p>
    <w:p w:rsidR="005D2CA1" w:rsidRDefault="005D2CA1" w:rsidP="006C4C09">
      <w:pPr>
        <w:spacing w:line="360" w:lineRule="auto"/>
        <w:ind w:firstLine="851"/>
        <w:jc w:val="both"/>
        <w:rPr>
          <w:rFonts w:ascii="Arial" w:hAnsi="Arial" w:cs="Arial"/>
          <w:lang w:val="en-US"/>
        </w:rPr>
      </w:pPr>
    </w:p>
    <w:p w:rsidR="006C4C09" w:rsidRPr="00337E1D" w:rsidRDefault="006C4C09" w:rsidP="006C4C09">
      <w:pPr>
        <w:spacing w:line="360" w:lineRule="auto"/>
        <w:ind w:firstLine="851"/>
        <w:jc w:val="both"/>
        <w:rPr>
          <w:rFonts w:ascii="Arial" w:hAnsi="Arial" w:cs="Arial"/>
          <w:lang w:val="en-US"/>
        </w:rPr>
      </w:pPr>
      <w:r>
        <w:rPr>
          <w:rFonts w:ascii="Arial" w:hAnsi="Arial" w:cs="Arial"/>
          <w:lang w:val="en-US"/>
        </w:rPr>
        <w:t xml:space="preserve">Mais uma vez cabe realçar que dos </w:t>
      </w:r>
      <w:r w:rsidR="00D46E2E">
        <w:rPr>
          <w:rFonts w:ascii="Arial" w:hAnsi="Arial" w:cs="Arial"/>
          <w:lang w:val="en-US"/>
        </w:rPr>
        <w:t>20</w:t>
      </w:r>
      <w:r>
        <w:rPr>
          <w:rFonts w:ascii="Arial" w:hAnsi="Arial" w:cs="Arial"/>
          <w:lang w:val="en-US"/>
        </w:rPr>
        <w:t xml:space="preserve"> municípios apresentados </w:t>
      </w:r>
      <w:proofErr w:type="gramStart"/>
      <w:r>
        <w:rPr>
          <w:rFonts w:ascii="Arial" w:hAnsi="Arial" w:cs="Arial"/>
          <w:lang w:val="en-US"/>
        </w:rPr>
        <w:t>na</w:t>
      </w:r>
      <w:proofErr w:type="gramEnd"/>
      <w:r>
        <w:rPr>
          <w:rFonts w:ascii="Arial" w:hAnsi="Arial" w:cs="Arial"/>
          <w:lang w:val="en-US"/>
        </w:rPr>
        <w:t xml:space="preserve"> Tabela 2 e classificados no intervalo entre 0.000 e 0.230, dentre os melhores IVS’s, apenas quatro estão situados no Norte/Noroeste: Aperibé, Itaperuna, Itaocara e São Fidelis. Aqui, como nos demais indicadores analisados, novamente percebe-se uma concentração na parte centro-sul do Estado</w:t>
      </w:r>
      <w:r w:rsidR="000B4546">
        <w:rPr>
          <w:rFonts w:ascii="Arial" w:hAnsi="Arial" w:cs="Arial"/>
          <w:lang w:val="en-US"/>
        </w:rPr>
        <w:t xml:space="preserve"> do Rio de Janeiro</w:t>
      </w:r>
      <w:r>
        <w:rPr>
          <w:rFonts w:ascii="Arial" w:hAnsi="Arial" w:cs="Arial"/>
          <w:lang w:val="en-US"/>
        </w:rPr>
        <w:t>, e que aponta para uma maior atenção das políticas públicas voltadas para a parte ao Norte/Noroeste do território.</w:t>
      </w:r>
    </w:p>
    <w:p w:rsidR="006C4C09" w:rsidRDefault="006C4C09" w:rsidP="006C4C09">
      <w:pPr>
        <w:spacing w:line="360" w:lineRule="auto"/>
        <w:jc w:val="both"/>
        <w:rPr>
          <w:rFonts w:ascii="Arial" w:hAnsi="Arial" w:cs="Arial"/>
          <w:lang w:val="en-US"/>
        </w:rPr>
      </w:pPr>
    </w:p>
    <w:p w:rsidR="006C4C09" w:rsidRPr="00962A58" w:rsidRDefault="006C4C09" w:rsidP="006C4C09">
      <w:pPr>
        <w:pStyle w:val="ListParagraph"/>
        <w:numPr>
          <w:ilvl w:val="0"/>
          <w:numId w:val="45"/>
        </w:numPr>
        <w:spacing w:line="360" w:lineRule="auto"/>
        <w:ind w:left="0" w:firstLine="0"/>
        <w:jc w:val="both"/>
        <w:rPr>
          <w:rFonts w:ascii="Arial" w:hAnsi="Arial" w:cs="Arial"/>
          <w:b/>
          <w:sz w:val="24"/>
          <w:szCs w:val="24"/>
          <w:lang w:val="en-US"/>
        </w:rPr>
      </w:pPr>
      <w:r w:rsidRPr="00862635">
        <w:rPr>
          <w:rFonts w:ascii="Arial" w:hAnsi="Arial" w:cs="Arial"/>
          <w:b/>
          <w:sz w:val="24"/>
          <w:szCs w:val="24"/>
          <w:lang w:val="en-US"/>
        </w:rPr>
        <w:t>ITAPERUNA</w:t>
      </w:r>
      <w:r>
        <w:rPr>
          <w:rFonts w:ascii="Arial" w:hAnsi="Arial" w:cs="Arial"/>
          <w:b/>
          <w:sz w:val="24"/>
          <w:szCs w:val="24"/>
          <w:lang w:val="en-US"/>
        </w:rPr>
        <w:t>: POLO DA REGIÃO NOROESTE FLUMINENSE</w:t>
      </w:r>
    </w:p>
    <w:p w:rsidR="006C4C09" w:rsidRDefault="006C4C09" w:rsidP="006C4C09">
      <w:pPr>
        <w:pStyle w:val="ListParagraph"/>
        <w:spacing w:line="360" w:lineRule="auto"/>
        <w:ind w:left="218"/>
        <w:jc w:val="both"/>
        <w:rPr>
          <w:rFonts w:ascii="Arial" w:hAnsi="Arial" w:cs="Arial"/>
          <w:b/>
          <w:sz w:val="24"/>
          <w:szCs w:val="24"/>
          <w:lang w:val="en-US"/>
        </w:rPr>
      </w:pPr>
    </w:p>
    <w:p w:rsidR="006C4C09" w:rsidRDefault="006C4C09" w:rsidP="005D2CA1">
      <w:pPr>
        <w:spacing w:line="360" w:lineRule="auto"/>
        <w:ind w:firstLine="851"/>
        <w:jc w:val="both"/>
        <w:rPr>
          <w:rFonts w:ascii="Arial" w:hAnsi="Arial" w:cs="Arial"/>
          <w:lang w:val="en-US"/>
        </w:rPr>
      </w:pPr>
      <w:proofErr w:type="gramStart"/>
      <w:r>
        <w:rPr>
          <w:rFonts w:ascii="Arial" w:hAnsi="Arial" w:cs="Arial"/>
          <w:lang w:val="en-US"/>
        </w:rPr>
        <w:t>Os indicadores IFDM, IDH e IVS demonstram claramente que o Município de Itaperuna é o polo de desenvolvimento da Região Noroeste Fluminense.</w:t>
      </w:r>
      <w:proofErr w:type="gramEnd"/>
      <w:r>
        <w:rPr>
          <w:rFonts w:ascii="Arial" w:hAnsi="Arial" w:cs="Arial"/>
          <w:lang w:val="en-US"/>
        </w:rPr>
        <w:t xml:space="preserve"> O ente subestadual destaca-se em sua estrutura econômica </w:t>
      </w:r>
      <w:proofErr w:type="gramStart"/>
      <w:r>
        <w:rPr>
          <w:rFonts w:ascii="Arial" w:hAnsi="Arial" w:cs="Arial"/>
          <w:lang w:val="en-US"/>
        </w:rPr>
        <w:t>como</w:t>
      </w:r>
      <w:proofErr w:type="gramEnd"/>
      <w:r>
        <w:rPr>
          <w:rFonts w:ascii="Arial" w:hAnsi="Arial" w:cs="Arial"/>
          <w:lang w:val="en-US"/>
        </w:rPr>
        <w:t xml:space="preserve"> centro industrial-turístico, comercial e de serviços, cujos índices não deixam margem a dúvidas: </w:t>
      </w:r>
      <w:r w:rsidRPr="00AF7526">
        <w:rPr>
          <w:rFonts w:ascii="Arial" w:hAnsi="Arial" w:cs="Arial"/>
          <w:lang w:val="en-US"/>
        </w:rPr>
        <w:t>pr</w:t>
      </w:r>
      <w:r>
        <w:rPr>
          <w:rFonts w:ascii="Arial" w:hAnsi="Arial" w:cs="Arial"/>
          <w:lang w:val="en-US"/>
        </w:rPr>
        <w:t xml:space="preserve">imeiro IFDM regional e sexto do território estadual, 2ª posição no </w:t>
      </w:r>
      <w:r w:rsidRPr="00DE3B5F">
        <w:rPr>
          <w:rFonts w:ascii="Arial" w:hAnsi="Arial" w:cs="Arial"/>
          <w:i/>
          <w:lang w:val="en-US"/>
        </w:rPr>
        <w:t>ranking</w:t>
      </w:r>
      <w:r>
        <w:rPr>
          <w:rFonts w:ascii="Arial" w:hAnsi="Arial" w:cs="Arial"/>
          <w:lang w:val="en-US"/>
        </w:rPr>
        <w:t xml:space="preserve"> regional do IDH e muito pouco falta para atingir um IVS de muito baixa vulnerabilidade social. </w:t>
      </w:r>
      <w:proofErr w:type="gramStart"/>
      <w:r>
        <w:rPr>
          <w:rFonts w:ascii="Arial" w:hAnsi="Arial" w:cs="Arial"/>
          <w:lang w:val="en-US"/>
        </w:rPr>
        <w:t>Vejamos então o Município no âmbito da Região Noroeste.</w:t>
      </w:r>
      <w:proofErr w:type="gramEnd"/>
    </w:p>
    <w:p w:rsidR="006C4C09" w:rsidRPr="009632E7" w:rsidRDefault="006C4C09" w:rsidP="006C4C09">
      <w:pPr>
        <w:spacing w:line="360" w:lineRule="auto"/>
        <w:jc w:val="both"/>
        <w:rPr>
          <w:rFonts w:ascii="Arial" w:hAnsi="Arial" w:cs="Arial"/>
          <w:lang w:val="en-US"/>
        </w:rPr>
      </w:pPr>
      <w:r w:rsidRPr="009632E7">
        <w:rPr>
          <w:rFonts w:ascii="Arial" w:hAnsi="Arial" w:cs="Arial"/>
          <w:lang w:val="en-US"/>
        </w:rPr>
        <w:lastRenderedPageBreak/>
        <w:t>4.1 O IFDM NO NOROESTE FLUMINENSE</w:t>
      </w:r>
    </w:p>
    <w:p w:rsidR="006C4C09" w:rsidRDefault="006C4C09" w:rsidP="006C4C09">
      <w:pPr>
        <w:spacing w:line="360" w:lineRule="auto"/>
        <w:jc w:val="both"/>
        <w:rPr>
          <w:rFonts w:ascii="Arial" w:hAnsi="Arial" w:cs="Arial"/>
          <w:lang w:val="en-US"/>
        </w:rPr>
      </w:pPr>
    </w:p>
    <w:p w:rsidR="006C4C09" w:rsidRDefault="006C4C09" w:rsidP="006C4C09">
      <w:pPr>
        <w:spacing w:line="360" w:lineRule="auto"/>
        <w:ind w:firstLine="851"/>
        <w:jc w:val="both"/>
        <w:rPr>
          <w:rFonts w:ascii="Arial" w:hAnsi="Arial" w:cs="Arial"/>
          <w:lang w:val="en-US"/>
        </w:rPr>
      </w:pPr>
      <w:r w:rsidRPr="002D2B18">
        <w:rPr>
          <w:rFonts w:ascii="Arial" w:hAnsi="Arial" w:cs="Arial"/>
          <w:lang w:val="en-US"/>
        </w:rPr>
        <w:t>Em ordem decrescente, os territórios com seus re</w:t>
      </w:r>
      <w:r>
        <w:rPr>
          <w:rFonts w:ascii="Arial" w:hAnsi="Arial" w:cs="Arial"/>
          <w:lang w:val="en-US"/>
        </w:rPr>
        <w:t>spectivos índices no Gráfico 2: Itaperuna (0.7401), Itaocara (0.6682), Aperibé (0.6670), Natividade (0.</w:t>
      </w:r>
      <w:r w:rsidRPr="002D2B18">
        <w:rPr>
          <w:rFonts w:ascii="Arial" w:hAnsi="Arial" w:cs="Arial"/>
          <w:lang w:val="en-US"/>
        </w:rPr>
        <w:t>64</w:t>
      </w:r>
      <w:r>
        <w:rPr>
          <w:rFonts w:ascii="Arial" w:hAnsi="Arial" w:cs="Arial"/>
          <w:lang w:val="en-US"/>
        </w:rPr>
        <w:t>12), Bom Jesus do Itabapoana (0.6317), Laje do Muriaé (0.</w:t>
      </w:r>
      <w:r w:rsidRPr="002D2B18">
        <w:rPr>
          <w:rFonts w:ascii="Arial" w:hAnsi="Arial" w:cs="Arial"/>
          <w:lang w:val="en-US"/>
        </w:rPr>
        <w:t>6256), Santo Antônio de Pádua</w:t>
      </w:r>
      <w:r>
        <w:rPr>
          <w:rFonts w:ascii="Arial" w:hAnsi="Arial" w:cs="Arial"/>
          <w:lang w:val="en-US"/>
        </w:rPr>
        <w:t xml:space="preserve"> (0.6184), Miracema (0.6073) e Cambuci (0.</w:t>
      </w:r>
      <w:r w:rsidRPr="002D2B18">
        <w:rPr>
          <w:rFonts w:ascii="Arial" w:hAnsi="Arial" w:cs="Arial"/>
          <w:lang w:val="en-US"/>
        </w:rPr>
        <w:t>6023), com fatores de dese</w:t>
      </w:r>
      <w:r>
        <w:rPr>
          <w:rFonts w:ascii="Arial" w:hAnsi="Arial" w:cs="Arial"/>
          <w:lang w:val="en-US"/>
        </w:rPr>
        <w:t>nvolvimento moderado; Italva (0.5749), São José de Ubá (0.</w:t>
      </w:r>
      <w:r w:rsidRPr="002D2B18">
        <w:rPr>
          <w:rFonts w:ascii="Arial" w:hAnsi="Arial" w:cs="Arial"/>
          <w:lang w:val="en-US"/>
        </w:rPr>
        <w:t>5662),</w:t>
      </w:r>
      <w:r>
        <w:rPr>
          <w:rFonts w:ascii="Arial" w:hAnsi="Arial" w:cs="Arial"/>
          <w:color w:val="FF0000"/>
          <w:lang w:val="en-US"/>
        </w:rPr>
        <w:t xml:space="preserve"> </w:t>
      </w:r>
      <w:r w:rsidR="007A7994">
        <w:rPr>
          <w:rFonts w:ascii="Arial" w:hAnsi="Arial" w:cs="Arial"/>
          <w:lang w:val="en-US"/>
        </w:rPr>
        <w:t>Porciúncula (0.5562) e Varre-</w:t>
      </w:r>
      <w:r>
        <w:rPr>
          <w:rFonts w:ascii="Arial" w:hAnsi="Arial" w:cs="Arial"/>
          <w:lang w:val="en-US"/>
        </w:rPr>
        <w:t>Sai (0.</w:t>
      </w:r>
      <w:r w:rsidRPr="002D2B18">
        <w:rPr>
          <w:rFonts w:ascii="Arial" w:hAnsi="Arial" w:cs="Arial"/>
          <w:lang w:val="en-US"/>
        </w:rPr>
        <w:t>5276) com ín</w:t>
      </w:r>
      <w:r>
        <w:rPr>
          <w:rFonts w:ascii="Arial" w:hAnsi="Arial" w:cs="Arial"/>
          <w:lang w:val="en-US"/>
        </w:rPr>
        <w:t>dices de baixo desenvolvimento.</w:t>
      </w:r>
    </w:p>
    <w:p w:rsidR="006C4C09" w:rsidRDefault="006C4C09" w:rsidP="006C4C09">
      <w:pPr>
        <w:spacing w:line="360" w:lineRule="auto"/>
        <w:ind w:firstLine="851"/>
        <w:jc w:val="both"/>
        <w:rPr>
          <w:rFonts w:ascii="Arial" w:hAnsi="Arial" w:cs="Arial"/>
          <w:lang w:val="en-US"/>
        </w:rPr>
      </w:pPr>
      <w:r>
        <w:rPr>
          <w:rFonts w:ascii="Arial" w:hAnsi="Arial" w:cs="Arial"/>
          <w:lang w:val="en-US"/>
        </w:rPr>
        <w:t>Nota-se, em relação ao levantamento da FIRJAN, que Itaperuna se destaca bem acima das unidades polarizadas por ela, conforme Gráfico 2 a seguir:</w:t>
      </w:r>
    </w:p>
    <w:p w:rsidR="00CA0BDD" w:rsidRPr="002D2B18" w:rsidRDefault="00CA0BDD" w:rsidP="006C4C09">
      <w:pPr>
        <w:spacing w:line="360" w:lineRule="auto"/>
        <w:ind w:firstLine="851"/>
        <w:jc w:val="both"/>
        <w:rPr>
          <w:rFonts w:ascii="Arial" w:hAnsi="Arial" w:cs="Arial"/>
          <w:lang w:val="en-US"/>
        </w:rPr>
      </w:pPr>
    </w:p>
    <w:p w:rsidR="006C4C09" w:rsidRPr="00D72D7F" w:rsidRDefault="006C4C09" w:rsidP="006C4C09">
      <w:pPr>
        <w:ind w:firstLine="708"/>
        <w:jc w:val="both"/>
        <w:rPr>
          <w:rFonts w:ascii="Arial" w:hAnsi="Arial" w:cs="Arial"/>
          <w:sz w:val="20"/>
          <w:szCs w:val="20"/>
          <w:lang w:val="en-US"/>
        </w:rPr>
      </w:pPr>
      <w:r>
        <w:rPr>
          <w:rFonts w:ascii="Arial" w:hAnsi="Arial" w:cs="Arial"/>
          <w:sz w:val="20"/>
          <w:szCs w:val="20"/>
          <w:lang w:val="en-US"/>
        </w:rPr>
        <w:t xml:space="preserve">   </w:t>
      </w:r>
      <w:r w:rsidRPr="00D72D7F">
        <w:rPr>
          <w:rFonts w:ascii="Arial" w:hAnsi="Arial" w:cs="Arial"/>
          <w:sz w:val="20"/>
          <w:szCs w:val="20"/>
          <w:lang w:val="en-US"/>
        </w:rPr>
        <w:t xml:space="preserve">Gráfico 2 – </w:t>
      </w:r>
      <w:r w:rsidRPr="00D72D7F">
        <w:rPr>
          <w:rFonts w:ascii="Arial" w:hAnsi="Arial" w:cs="Arial"/>
          <w:i/>
          <w:sz w:val="20"/>
          <w:szCs w:val="20"/>
          <w:lang w:val="en-US"/>
        </w:rPr>
        <w:t>Ranking</w:t>
      </w:r>
      <w:r w:rsidRPr="00D72D7F">
        <w:rPr>
          <w:rFonts w:ascii="Arial" w:hAnsi="Arial" w:cs="Arial"/>
          <w:sz w:val="20"/>
          <w:szCs w:val="20"/>
          <w:lang w:val="en-US"/>
        </w:rPr>
        <w:t xml:space="preserve"> do IFDM </w:t>
      </w:r>
      <w:proofErr w:type="gramStart"/>
      <w:r w:rsidRPr="00D72D7F">
        <w:rPr>
          <w:rFonts w:ascii="Arial" w:hAnsi="Arial" w:cs="Arial"/>
          <w:sz w:val="20"/>
          <w:szCs w:val="20"/>
          <w:lang w:val="en-US"/>
        </w:rPr>
        <w:t>na</w:t>
      </w:r>
      <w:proofErr w:type="gramEnd"/>
      <w:r w:rsidRPr="00D72D7F">
        <w:rPr>
          <w:rFonts w:ascii="Arial" w:hAnsi="Arial" w:cs="Arial"/>
          <w:sz w:val="20"/>
          <w:szCs w:val="20"/>
          <w:lang w:val="en-US"/>
        </w:rPr>
        <w:t xml:space="preserve"> Região Noroeste do Rio de Janeiro.</w:t>
      </w:r>
    </w:p>
    <w:p w:rsidR="006C4C09" w:rsidRDefault="006C4C09" w:rsidP="006C4C09">
      <w:pPr>
        <w:ind w:left="-142"/>
        <w:jc w:val="center"/>
        <w:rPr>
          <w:rFonts w:ascii="Arial" w:hAnsi="Arial" w:cs="Arial"/>
          <w:color w:val="FF0000"/>
          <w:lang w:val="en-US"/>
        </w:rPr>
      </w:pPr>
      <w:r w:rsidRPr="002E037E">
        <w:rPr>
          <w:rFonts w:ascii="Arial" w:hAnsi="Arial" w:cs="Arial"/>
          <w:noProof/>
          <w:color w:val="FF0000"/>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4C09" w:rsidRPr="00862635" w:rsidRDefault="006C4C09" w:rsidP="006C4C09">
      <w:pPr>
        <w:ind w:left="-142"/>
        <w:jc w:val="both"/>
        <w:rPr>
          <w:rFonts w:ascii="Arial" w:hAnsi="Arial" w:cs="Arial"/>
          <w:sz w:val="20"/>
          <w:szCs w:val="20"/>
          <w:lang w:val="en-US"/>
        </w:rPr>
      </w:pPr>
      <w:r w:rsidRPr="002D2B18">
        <w:rPr>
          <w:rFonts w:ascii="Arial" w:hAnsi="Arial" w:cs="Arial"/>
          <w:lang w:val="en-US"/>
        </w:rPr>
        <w:tab/>
      </w:r>
      <w:r w:rsidRPr="002D2B18">
        <w:rPr>
          <w:rFonts w:ascii="Arial" w:hAnsi="Arial" w:cs="Arial"/>
          <w:lang w:val="en-US"/>
        </w:rPr>
        <w:tab/>
      </w:r>
      <w:r>
        <w:rPr>
          <w:rFonts w:ascii="Arial" w:hAnsi="Arial" w:cs="Arial"/>
          <w:lang w:val="en-US"/>
        </w:rPr>
        <w:t xml:space="preserve">  </w:t>
      </w:r>
      <w:r w:rsidRPr="002D2B18">
        <w:rPr>
          <w:rFonts w:ascii="Arial" w:hAnsi="Arial" w:cs="Arial"/>
          <w:sz w:val="20"/>
          <w:szCs w:val="20"/>
          <w:lang w:val="en-US"/>
        </w:rPr>
        <w:t>Font</w:t>
      </w:r>
      <w:r>
        <w:rPr>
          <w:rFonts w:ascii="Arial" w:hAnsi="Arial" w:cs="Arial"/>
          <w:sz w:val="20"/>
          <w:szCs w:val="20"/>
          <w:lang w:val="en-US"/>
        </w:rPr>
        <w:t>e: FIRJAN, Relatório IFDM, 2025.</w:t>
      </w:r>
    </w:p>
    <w:p w:rsidR="006C4C09" w:rsidRDefault="006C4C09" w:rsidP="006C4C09">
      <w:pPr>
        <w:spacing w:line="360" w:lineRule="auto"/>
        <w:jc w:val="both"/>
        <w:rPr>
          <w:rFonts w:ascii="Arial" w:hAnsi="Arial" w:cs="Arial"/>
          <w:lang w:val="en-US"/>
        </w:rPr>
      </w:pPr>
    </w:p>
    <w:p w:rsidR="005D2CA1" w:rsidRDefault="005D2CA1" w:rsidP="006C4C09">
      <w:pPr>
        <w:spacing w:line="360" w:lineRule="auto"/>
        <w:jc w:val="both"/>
        <w:rPr>
          <w:rFonts w:ascii="Arial" w:hAnsi="Arial" w:cs="Arial"/>
          <w:lang w:val="en-US"/>
        </w:rPr>
      </w:pPr>
    </w:p>
    <w:p w:rsidR="00CA0BDD" w:rsidRDefault="00CA0BDD" w:rsidP="006C4C09">
      <w:pPr>
        <w:spacing w:line="360" w:lineRule="auto"/>
        <w:jc w:val="both"/>
        <w:rPr>
          <w:rFonts w:ascii="Arial" w:hAnsi="Arial" w:cs="Arial"/>
          <w:lang w:val="en-US"/>
        </w:rPr>
      </w:pPr>
    </w:p>
    <w:p w:rsidR="006C4C09" w:rsidRPr="00D72D7F" w:rsidRDefault="006C4C09" w:rsidP="006C4C09">
      <w:pPr>
        <w:spacing w:line="360" w:lineRule="auto"/>
        <w:jc w:val="both"/>
        <w:rPr>
          <w:rFonts w:ascii="Arial" w:hAnsi="Arial" w:cs="Arial"/>
          <w:lang w:val="en-US"/>
        </w:rPr>
      </w:pPr>
      <w:r w:rsidRPr="00D72D7F">
        <w:rPr>
          <w:rFonts w:ascii="Arial" w:hAnsi="Arial" w:cs="Arial"/>
          <w:lang w:val="en-US"/>
        </w:rPr>
        <w:t>4.2 O IDH DO NOROESTE DO ESTADO DO RIO DE JANEIRO</w:t>
      </w:r>
    </w:p>
    <w:p w:rsidR="006C4C09" w:rsidRPr="003F5F09" w:rsidRDefault="006C4C09" w:rsidP="006C4C09">
      <w:pPr>
        <w:spacing w:line="360" w:lineRule="auto"/>
        <w:jc w:val="both"/>
        <w:rPr>
          <w:rFonts w:ascii="Arial" w:hAnsi="Arial" w:cs="Arial"/>
          <w:i/>
          <w:lang w:val="en-US"/>
        </w:rPr>
      </w:pPr>
    </w:p>
    <w:p w:rsidR="006C4C09" w:rsidRPr="00337E1D" w:rsidRDefault="006C4C09" w:rsidP="006C4C09">
      <w:pPr>
        <w:spacing w:line="360" w:lineRule="auto"/>
        <w:ind w:firstLine="851"/>
        <w:jc w:val="both"/>
        <w:rPr>
          <w:rFonts w:ascii="Arial" w:hAnsi="Arial" w:cs="Arial"/>
          <w:lang w:val="en-US"/>
        </w:rPr>
      </w:pPr>
      <w:r>
        <w:rPr>
          <w:rFonts w:ascii="Arial" w:hAnsi="Arial" w:cs="Arial"/>
          <w:lang w:val="en-US"/>
        </w:rPr>
        <w:t xml:space="preserve">Olhando sob o ângulo do IDH, ainda que Itaperuna ocupe a segunda posição no âmbito regional, </w:t>
      </w:r>
      <w:proofErr w:type="gramStart"/>
      <w:r>
        <w:rPr>
          <w:rFonts w:ascii="Arial" w:hAnsi="Arial" w:cs="Arial"/>
          <w:lang w:val="en-US"/>
        </w:rPr>
        <w:t>tal</w:t>
      </w:r>
      <w:proofErr w:type="gramEnd"/>
      <w:r>
        <w:rPr>
          <w:rFonts w:ascii="Arial" w:hAnsi="Arial" w:cs="Arial"/>
          <w:lang w:val="en-US"/>
        </w:rPr>
        <w:t xml:space="preserve"> índice é muito próximo da primeira colocação, conforme pode-se verificar no Gráfico 3 a seguir.</w:t>
      </w:r>
    </w:p>
    <w:p w:rsidR="00CA0BDD" w:rsidRDefault="006C4C09" w:rsidP="006C4C09">
      <w:pPr>
        <w:ind w:firstLine="708"/>
        <w:jc w:val="both"/>
        <w:rPr>
          <w:rFonts w:ascii="Arial" w:hAnsi="Arial" w:cs="Arial"/>
          <w:sz w:val="20"/>
          <w:szCs w:val="20"/>
          <w:lang w:val="en-US"/>
        </w:rPr>
      </w:pPr>
      <w:r>
        <w:rPr>
          <w:rFonts w:ascii="Arial" w:hAnsi="Arial" w:cs="Arial"/>
          <w:sz w:val="20"/>
          <w:szCs w:val="20"/>
          <w:lang w:val="en-US"/>
        </w:rPr>
        <w:t xml:space="preserve">   </w:t>
      </w:r>
    </w:p>
    <w:p w:rsidR="00CA0BDD" w:rsidRDefault="00CA0BDD" w:rsidP="00CA0BDD">
      <w:pPr>
        <w:jc w:val="both"/>
        <w:rPr>
          <w:rFonts w:ascii="Arial" w:hAnsi="Arial" w:cs="Arial"/>
          <w:sz w:val="20"/>
          <w:szCs w:val="20"/>
          <w:lang w:val="en-US"/>
        </w:rPr>
      </w:pPr>
    </w:p>
    <w:p w:rsidR="006C4C09" w:rsidRPr="00D72D7F" w:rsidRDefault="006C4C09" w:rsidP="006C4C09">
      <w:pPr>
        <w:ind w:firstLine="708"/>
        <w:jc w:val="both"/>
        <w:rPr>
          <w:rFonts w:ascii="Arial" w:hAnsi="Arial" w:cs="Arial"/>
          <w:sz w:val="20"/>
          <w:szCs w:val="20"/>
          <w:lang w:val="en-US"/>
        </w:rPr>
      </w:pPr>
      <w:r>
        <w:rPr>
          <w:rFonts w:ascii="Arial" w:hAnsi="Arial" w:cs="Arial"/>
          <w:sz w:val="20"/>
          <w:szCs w:val="20"/>
          <w:lang w:val="en-US"/>
        </w:rPr>
        <w:lastRenderedPageBreak/>
        <w:t xml:space="preserve">  </w:t>
      </w:r>
      <w:r w:rsidRPr="00D72D7F">
        <w:rPr>
          <w:rFonts w:ascii="Arial" w:hAnsi="Arial" w:cs="Arial"/>
          <w:sz w:val="20"/>
          <w:szCs w:val="20"/>
          <w:lang w:val="en-US"/>
        </w:rPr>
        <w:t xml:space="preserve">Gráfico 3 – </w:t>
      </w:r>
      <w:r w:rsidRPr="00D72D7F">
        <w:rPr>
          <w:rFonts w:ascii="Arial" w:hAnsi="Arial" w:cs="Arial"/>
          <w:i/>
          <w:sz w:val="20"/>
          <w:szCs w:val="20"/>
          <w:lang w:val="en-US"/>
        </w:rPr>
        <w:t>Ranking</w:t>
      </w:r>
      <w:r w:rsidRPr="00D72D7F">
        <w:rPr>
          <w:rFonts w:ascii="Arial" w:hAnsi="Arial" w:cs="Arial"/>
          <w:sz w:val="20"/>
          <w:szCs w:val="20"/>
          <w:lang w:val="en-US"/>
        </w:rPr>
        <w:t xml:space="preserve"> do IDH da Região Noroeste do Rio de Janeiro</w:t>
      </w:r>
    </w:p>
    <w:p w:rsidR="006C4C09" w:rsidRDefault="006C4C09" w:rsidP="006C4C09">
      <w:pPr>
        <w:jc w:val="center"/>
        <w:rPr>
          <w:rFonts w:ascii="Arial" w:hAnsi="Arial" w:cs="Arial"/>
          <w:lang w:val="en-US"/>
        </w:rPr>
      </w:pPr>
      <w:r w:rsidRPr="00DF738D">
        <w:rPr>
          <w:rFonts w:ascii="Arial" w:hAnsi="Arial" w:cs="Arial"/>
          <w:noProof/>
        </w:rPr>
        <w:drawing>
          <wp:inline distT="0" distB="0" distL="0" distR="0">
            <wp:extent cx="4572000" cy="27432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4C09" w:rsidRPr="00337E1D" w:rsidRDefault="006C4C09" w:rsidP="006C4C09">
      <w:pPr>
        <w:jc w:val="both"/>
        <w:rPr>
          <w:rFonts w:ascii="Arial" w:hAnsi="Arial" w:cs="Arial"/>
          <w:sz w:val="20"/>
          <w:szCs w:val="20"/>
          <w:lang w:val="en-US"/>
        </w:rPr>
      </w:pPr>
      <w:r>
        <w:rPr>
          <w:rFonts w:ascii="Arial" w:hAnsi="Arial" w:cs="Arial"/>
          <w:lang w:val="en-US"/>
        </w:rPr>
        <w:tab/>
        <w:t xml:space="preserve">   </w:t>
      </w:r>
      <w:r w:rsidRPr="00823249">
        <w:rPr>
          <w:rFonts w:ascii="Arial" w:hAnsi="Arial" w:cs="Arial"/>
          <w:sz w:val="20"/>
          <w:szCs w:val="20"/>
          <w:lang w:val="en-US"/>
        </w:rPr>
        <w:t xml:space="preserve">Fonte: </w:t>
      </w:r>
      <w:hyperlink r:id="rId13" w:history="1">
        <w:r w:rsidRPr="00823249">
          <w:rPr>
            <w:rStyle w:val="Hyperlink"/>
            <w:rFonts w:ascii="Arial" w:hAnsi="Arial" w:cs="Arial"/>
            <w:sz w:val="20"/>
            <w:szCs w:val="20"/>
            <w:lang w:val="en-US"/>
          </w:rPr>
          <w:t>http://www.atlasbrasil.org.br/ranking</w:t>
        </w:r>
      </w:hyperlink>
      <w:r>
        <w:rPr>
          <w:rFonts w:ascii="Arial" w:hAnsi="Arial" w:cs="Arial"/>
          <w:sz w:val="20"/>
          <w:szCs w:val="20"/>
          <w:lang w:val="en-US"/>
        </w:rPr>
        <w:t xml:space="preserve">. </w:t>
      </w:r>
      <w:proofErr w:type="gramStart"/>
      <w:r>
        <w:rPr>
          <w:rFonts w:ascii="Arial" w:hAnsi="Arial" w:cs="Arial"/>
          <w:sz w:val="20"/>
          <w:szCs w:val="20"/>
          <w:lang w:val="en-US"/>
        </w:rPr>
        <w:t>Acesso em 22/08/2025.</w:t>
      </w:r>
      <w:proofErr w:type="gramEnd"/>
    </w:p>
    <w:p w:rsidR="006C4C09" w:rsidRDefault="006C4C09" w:rsidP="006C4C09">
      <w:pPr>
        <w:spacing w:line="360" w:lineRule="auto"/>
        <w:ind w:firstLine="851"/>
        <w:jc w:val="both"/>
        <w:rPr>
          <w:rFonts w:ascii="Arial" w:hAnsi="Arial" w:cs="Arial"/>
          <w:lang w:val="en-US"/>
        </w:rPr>
      </w:pPr>
    </w:p>
    <w:p w:rsidR="00CA0BDD" w:rsidRDefault="00CA0BDD" w:rsidP="006C4C09">
      <w:pPr>
        <w:spacing w:line="360" w:lineRule="auto"/>
        <w:ind w:firstLine="851"/>
        <w:jc w:val="both"/>
        <w:rPr>
          <w:rFonts w:ascii="Arial" w:hAnsi="Arial" w:cs="Arial"/>
          <w:lang w:val="en-US"/>
        </w:rPr>
      </w:pP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Mais </w:t>
      </w:r>
      <w:r w:rsidR="00B5114B">
        <w:rPr>
          <w:rFonts w:ascii="Arial" w:hAnsi="Arial" w:cs="Arial"/>
          <w:lang w:val="en-US"/>
        </w:rPr>
        <w:t>da metade dos municípios possui</w:t>
      </w:r>
      <w:r>
        <w:rPr>
          <w:rFonts w:ascii="Arial" w:hAnsi="Arial" w:cs="Arial"/>
          <w:lang w:val="en-US"/>
        </w:rPr>
        <w:t xml:space="preserve"> um IDH Médio: São José de Ubá (0.652), Varre-Sai (0.659), Laje do Muriaé (0.668), Italva (0.688), Cambuci (0.691), Aperibé (0.692) e Porciúncula (0.697). As outras seis unidades subestaduais possuem uma classificação de Alto IDH: Miracema (0.713), Itaocara (0.713), Santo Antônio de Pádua (0.718), Natividade (0.730), Itaperuna (0.730) e Bom Jesus do Itabapoana (0.732).</w:t>
      </w:r>
    </w:p>
    <w:p w:rsidR="006C4C09" w:rsidRDefault="006C4C09" w:rsidP="006C4C09">
      <w:pPr>
        <w:spacing w:line="360" w:lineRule="auto"/>
        <w:jc w:val="both"/>
        <w:rPr>
          <w:rFonts w:ascii="Arial" w:hAnsi="Arial" w:cs="Arial"/>
          <w:lang w:val="en-US"/>
        </w:rPr>
      </w:pPr>
    </w:p>
    <w:p w:rsidR="00BE03D9" w:rsidRDefault="00BE03D9" w:rsidP="006C4C09">
      <w:pPr>
        <w:spacing w:line="360" w:lineRule="auto"/>
        <w:jc w:val="both"/>
        <w:rPr>
          <w:rFonts w:ascii="Arial" w:hAnsi="Arial" w:cs="Arial"/>
          <w:lang w:val="en-US"/>
        </w:rPr>
      </w:pPr>
    </w:p>
    <w:p w:rsidR="006C4C09" w:rsidRPr="00D72D7F" w:rsidRDefault="006C4C09" w:rsidP="006C4C09">
      <w:pPr>
        <w:spacing w:line="360" w:lineRule="auto"/>
        <w:jc w:val="both"/>
        <w:rPr>
          <w:rFonts w:ascii="Arial" w:hAnsi="Arial" w:cs="Arial"/>
          <w:lang w:val="en-US"/>
        </w:rPr>
      </w:pPr>
      <w:r w:rsidRPr="00D72D7F">
        <w:rPr>
          <w:rFonts w:ascii="Arial" w:hAnsi="Arial" w:cs="Arial"/>
          <w:lang w:val="en-US"/>
        </w:rPr>
        <w:t>4.3 O IVS DO NOROESTE</w:t>
      </w:r>
    </w:p>
    <w:p w:rsidR="006C4C09" w:rsidRPr="00CC59F4" w:rsidRDefault="006C4C09" w:rsidP="006C4C09">
      <w:pPr>
        <w:spacing w:line="360" w:lineRule="auto"/>
        <w:jc w:val="both"/>
        <w:rPr>
          <w:rFonts w:ascii="Arial" w:hAnsi="Arial" w:cs="Arial"/>
          <w:lang w:val="en-US"/>
        </w:rPr>
      </w:pPr>
    </w:p>
    <w:p w:rsidR="00BE03D9" w:rsidRDefault="006C4C09" w:rsidP="006C4C09">
      <w:pPr>
        <w:spacing w:line="360" w:lineRule="auto"/>
        <w:ind w:firstLine="851"/>
        <w:jc w:val="both"/>
        <w:rPr>
          <w:rFonts w:ascii="Arial" w:hAnsi="Arial" w:cs="Arial"/>
          <w:lang w:val="en-US"/>
        </w:rPr>
      </w:pPr>
      <w:r>
        <w:rPr>
          <w:rFonts w:ascii="Arial" w:hAnsi="Arial" w:cs="Arial"/>
          <w:lang w:val="en-US"/>
        </w:rPr>
        <w:t>I</w:t>
      </w:r>
      <w:r w:rsidR="00B5114B">
        <w:rPr>
          <w:rFonts w:ascii="Arial" w:hAnsi="Arial" w:cs="Arial"/>
          <w:lang w:val="en-US"/>
        </w:rPr>
        <w:t>taperuna é o 2° melhor índice da Região</w:t>
      </w:r>
      <w:r>
        <w:rPr>
          <w:rFonts w:ascii="Arial" w:hAnsi="Arial" w:cs="Arial"/>
          <w:lang w:val="en-US"/>
        </w:rPr>
        <w:t xml:space="preserve"> Noroeste Fluminense, abaixo somente de Aperibé por uma diferença ínfima e mantido o devido distanciamento entre os tamanhos dos territórios, dos perímetros urbanos e da população absoluta e re</w:t>
      </w:r>
      <w:r w:rsidR="00BE03D9">
        <w:rPr>
          <w:rFonts w:ascii="Arial" w:hAnsi="Arial" w:cs="Arial"/>
          <w:lang w:val="en-US"/>
        </w:rPr>
        <w:t>spectiva densidade demográfica.</w:t>
      </w:r>
    </w:p>
    <w:p w:rsidR="00BE03D9" w:rsidRDefault="00BE03D9" w:rsidP="00BE03D9">
      <w:pPr>
        <w:spacing w:line="360" w:lineRule="auto"/>
        <w:ind w:firstLine="851"/>
        <w:jc w:val="both"/>
        <w:rPr>
          <w:rFonts w:ascii="Arial" w:hAnsi="Arial" w:cs="Arial"/>
          <w:lang w:val="en-US"/>
        </w:rPr>
      </w:pPr>
      <w:r>
        <w:rPr>
          <w:rFonts w:ascii="Arial" w:hAnsi="Arial" w:cs="Arial"/>
          <w:lang w:val="en-US"/>
        </w:rPr>
        <w:t xml:space="preserve">Em relação </w:t>
      </w:r>
      <w:proofErr w:type="gramStart"/>
      <w:r>
        <w:rPr>
          <w:rFonts w:ascii="Arial" w:hAnsi="Arial" w:cs="Arial"/>
          <w:lang w:val="en-US"/>
        </w:rPr>
        <w:t>a</w:t>
      </w:r>
      <w:proofErr w:type="gramEnd"/>
      <w:r>
        <w:rPr>
          <w:rFonts w:ascii="Arial" w:hAnsi="Arial" w:cs="Arial"/>
          <w:lang w:val="en-US"/>
        </w:rPr>
        <w:t xml:space="preserve"> esse indicador, todos eles com baixa vulnerabilidade social. Aperibé, Itaperuna e Itaocara destacando-se entre os melhores do Estado do Rio de Janeiro.</w:t>
      </w:r>
    </w:p>
    <w:p w:rsidR="006C4C09" w:rsidRDefault="00BE03D9" w:rsidP="006C4C09">
      <w:pPr>
        <w:spacing w:line="360" w:lineRule="auto"/>
        <w:ind w:firstLine="851"/>
        <w:jc w:val="both"/>
        <w:rPr>
          <w:rFonts w:ascii="Arial" w:hAnsi="Arial" w:cs="Arial"/>
          <w:lang w:val="en-US"/>
        </w:rPr>
      </w:pPr>
      <w:r>
        <w:rPr>
          <w:rFonts w:ascii="Arial" w:hAnsi="Arial" w:cs="Arial"/>
          <w:lang w:val="en-US"/>
        </w:rPr>
        <w:t>Vale lembrar que quanto menor o índice alcançado melhor é o desempenho no indicador. Isto pode ser verificado no Gráfico 4 a seguir,</w:t>
      </w:r>
    </w:p>
    <w:p w:rsidR="00CA0BDD" w:rsidRDefault="006C4C09" w:rsidP="006C4C09">
      <w:pPr>
        <w:ind w:firstLine="708"/>
        <w:jc w:val="both"/>
        <w:rPr>
          <w:rFonts w:ascii="Arial" w:hAnsi="Arial" w:cs="Arial"/>
          <w:sz w:val="20"/>
          <w:szCs w:val="20"/>
          <w:lang w:val="en-US"/>
        </w:rPr>
      </w:pPr>
      <w:r w:rsidRPr="00D72D7F">
        <w:rPr>
          <w:rFonts w:ascii="Arial" w:hAnsi="Arial" w:cs="Arial"/>
          <w:sz w:val="20"/>
          <w:szCs w:val="20"/>
          <w:lang w:val="en-US"/>
        </w:rPr>
        <w:t xml:space="preserve">  </w:t>
      </w:r>
    </w:p>
    <w:p w:rsidR="00CA0BDD" w:rsidRDefault="00CA0BDD" w:rsidP="00BE03D9">
      <w:pPr>
        <w:jc w:val="both"/>
        <w:rPr>
          <w:rFonts w:ascii="Arial" w:hAnsi="Arial" w:cs="Arial"/>
          <w:sz w:val="20"/>
          <w:szCs w:val="20"/>
          <w:lang w:val="en-US"/>
        </w:rPr>
      </w:pPr>
    </w:p>
    <w:p w:rsidR="006C4C09" w:rsidRPr="00D72D7F" w:rsidRDefault="006C4C09" w:rsidP="006C4C09">
      <w:pPr>
        <w:ind w:firstLine="708"/>
        <w:jc w:val="both"/>
        <w:rPr>
          <w:rFonts w:ascii="Arial" w:hAnsi="Arial" w:cs="Arial"/>
          <w:sz w:val="20"/>
          <w:szCs w:val="20"/>
          <w:lang w:val="en-US"/>
        </w:rPr>
      </w:pPr>
      <w:r w:rsidRPr="00D72D7F">
        <w:rPr>
          <w:rFonts w:ascii="Arial" w:hAnsi="Arial" w:cs="Arial"/>
          <w:sz w:val="20"/>
          <w:szCs w:val="20"/>
          <w:lang w:val="en-US"/>
        </w:rPr>
        <w:lastRenderedPageBreak/>
        <w:t xml:space="preserve"> </w:t>
      </w:r>
      <w:r>
        <w:rPr>
          <w:rFonts w:ascii="Arial" w:hAnsi="Arial" w:cs="Arial"/>
          <w:sz w:val="20"/>
          <w:szCs w:val="20"/>
          <w:lang w:val="en-US"/>
        </w:rPr>
        <w:t xml:space="preserve"> </w:t>
      </w:r>
      <w:r w:rsidRPr="00D72D7F">
        <w:rPr>
          <w:rFonts w:ascii="Arial" w:hAnsi="Arial" w:cs="Arial"/>
          <w:sz w:val="20"/>
          <w:szCs w:val="20"/>
          <w:lang w:val="en-US"/>
        </w:rPr>
        <w:t xml:space="preserve"> Gráfico 4 – IVS da Região Noroeste Fluminense</w:t>
      </w:r>
    </w:p>
    <w:p w:rsidR="006C4C09" w:rsidRDefault="006C4C09" w:rsidP="006C4C09">
      <w:pPr>
        <w:jc w:val="center"/>
        <w:rPr>
          <w:rFonts w:ascii="Arial" w:hAnsi="Arial" w:cs="Arial"/>
          <w:lang w:val="en-US"/>
        </w:rPr>
      </w:pPr>
      <w:r w:rsidRPr="000E682F">
        <w:rPr>
          <w:rFonts w:ascii="Arial" w:hAnsi="Arial" w:cs="Arial"/>
          <w:noProof/>
        </w:rPr>
        <w:drawing>
          <wp:inline distT="0" distB="0" distL="0" distR="0">
            <wp:extent cx="4572000" cy="27432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4C09" w:rsidRPr="004436E1" w:rsidRDefault="006C4C09" w:rsidP="006C4C09">
      <w:pPr>
        <w:ind w:firstLine="708"/>
        <w:jc w:val="both"/>
        <w:rPr>
          <w:rFonts w:ascii="Arial" w:hAnsi="Arial" w:cs="Arial"/>
          <w:lang w:val="en-US"/>
        </w:rPr>
      </w:pPr>
      <w:r>
        <w:rPr>
          <w:rFonts w:ascii="Arial" w:hAnsi="Arial" w:cs="Arial"/>
          <w:sz w:val="20"/>
          <w:szCs w:val="20"/>
          <w:lang w:val="en-US"/>
        </w:rPr>
        <w:t xml:space="preserve">     </w:t>
      </w:r>
      <w:r w:rsidRPr="004436E1">
        <w:rPr>
          <w:rFonts w:ascii="Arial" w:hAnsi="Arial" w:cs="Arial"/>
          <w:sz w:val="20"/>
          <w:szCs w:val="20"/>
          <w:lang w:val="en-US"/>
        </w:rPr>
        <w:t xml:space="preserve">Fonte: </w:t>
      </w:r>
      <w:hyperlink r:id="rId15" w:history="1">
        <w:r w:rsidRPr="004436E1">
          <w:rPr>
            <w:rStyle w:val="Hyperlink"/>
            <w:rFonts w:ascii="Arial" w:hAnsi="Arial" w:cs="Arial"/>
            <w:sz w:val="20"/>
            <w:szCs w:val="20"/>
            <w:lang w:val="en-US"/>
          </w:rPr>
          <w:t>https://dados.gov.br/dados/conjuntos-dados/ivs</w:t>
        </w:r>
      </w:hyperlink>
      <w:r w:rsidRPr="004436E1">
        <w:rPr>
          <w:rFonts w:ascii="Arial" w:hAnsi="Arial" w:cs="Arial"/>
          <w:sz w:val="20"/>
          <w:szCs w:val="20"/>
          <w:lang w:val="en-US"/>
        </w:rPr>
        <w:t xml:space="preserve">. </w:t>
      </w:r>
      <w:proofErr w:type="gramStart"/>
      <w:r w:rsidRPr="004436E1">
        <w:rPr>
          <w:rFonts w:ascii="Arial" w:hAnsi="Arial" w:cs="Arial"/>
          <w:sz w:val="20"/>
          <w:szCs w:val="20"/>
          <w:lang w:val="en-US"/>
        </w:rPr>
        <w:t>Acesso em 25/08/2025.</w:t>
      </w:r>
      <w:proofErr w:type="gramEnd"/>
    </w:p>
    <w:p w:rsidR="006C4C09" w:rsidRDefault="006C4C09" w:rsidP="006C4C09">
      <w:pPr>
        <w:spacing w:line="360" w:lineRule="auto"/>
        <w:jc w:val="both"/>
        <w:rPr>
          <w:rFonts w:ascii="Arial" w:hAnsi="Arial" w:cs="Arial"/>
          <w:lang w:val="en-US"/>
        </w:rPr>
      </w:pPr>
    </w:p>
    <w:p w:rsidR="006C4C09" w:rsidRDefault="006C4C09" w:rsidP="006C4C09">
      <w:pPr>
        <w:spacing w:line="360" w:lineRule="auto"/>
        <w:jc w:val="both"/>
        <w:rPr>
          <w:rFonts w:ascii="Arial" w:hAnsi="Arial" w:cs="Arial"/>
          <w:lang w:val="en-US"/>
        </w:rPr>
      </w:pPr>
    </w:p>
    <w:p w:rsidR="00BE03D9" w:rsidRPr="00EC7C6F" w:rsidRDefault="00BE03D9" w:rsidP="006C4C09">
      <w:pPr>
        <w:spacing w:line="360" w:lineRule="auto"/>
        <w:jc w:val="both"/>
        <w:rPr>
          <w:rFonts w:ascii="Arial" w:hAnsi="Arial" w:cs="Arial"/>
          <w:lang w:val="en-US"/>
        </w:rPr>
      </w:pPr>
    </w:p>
    <w:p w:rsidR="006C4C09" w:rsidRDefault="006C4C09" w:rsidP="006C4C09">
      <w:pPr>
        <w:pStyle w:val="ListParagraph"/>
        <w:numPr>
          <w:ilvl w:val="0"/>
          <w:numId w:val="45"/>
        </w:numPr>
        <w:spacing w:line="360" w:lineRule="auto"/>
        <w:ind w:left="0" w:firstLine="0"/>
        <w:jc w:val="both"/>
        <w:rPr>
          <w:rFonts w:ascii="Arial" w:hAnsi="Arial" w:cs="Arial"/>
          <w:b/>
          <w:sz w:val="24"/>
          <w:szCs w:val="24"/>
          <w:lang w:val="en-US"/>
        </w:rPr>
      </w:pPr>
      <w:r>
        <w:rPr>
          <w:rFonts w:ascii="Arial" w:hAnsi="Arial" w:cs="Arial"/>
          <w:b/>
          <w:sz w:val="24"/>
          <w:szCs w:val="24"/>
          <w:lang w:val="en-US"/>
        </w:rPr>
        <w:t>EM BUSCA DE UM ALTO PADRÃO DE DESENVOLVIMENTO</w:t>
      </w:r>
    </w:p>
    <w:p w:rsidR="006C4C09" w:rsidRDefault="006C4C09" w:rsidP="006C4C09">
      <w:pPr>
        <w:spacing w:line="360" w:lineRule="auto"/>
        <w:jc w:val="both"/>
        <w:rPr>
          <w:rFonts w:ascii="Arial" w:hAnsi="Arial" w:cs="Arial"/>
          <w:b/>
          <w:lang w:val="en-US"/>
        </w:rPr>
      </w:pPr>
    </w:p>
    <w:p w:rsidR="006C4C09" w:rsidRPr="003549D8" w:rsidRDefault="006C4C09" w:rsidP="006C4C09">
      <w:pPr>
        <w:spacing w:line="360" w:lineRule="auto"/>
        <w:ind w:firstLine="851"/>
        <w:jc w:val="both"/>
        <w:rPr>
          <w:rFonts w:ascii="Arial" w:hAnsi="Arial" w:cs="Arial"/>
          <w:lang w:val="en-US"/>
        </w:rPr>
      </w:pPr>
      <w:r>
        <w:rPr>
          <w:rFonts w:ascii="Arial" w:hAnsi="Arial" w:cs="Arial"/>
          <w:lang w:val="en-US"/>
        </w:rPr>
        <w:t>Itaperuna ainda não alcançou as faixas superiores dos três indicadores aqui retratados, apesar do bom desempenho verificado. No IFDM precisa avançar de moderado (0.7401) para um alto padrão acima de 0.800; de um alto IDH de 0.730 deve alavancar políticas públicas para atingir o padrão muito alto acima 0.800; e para diminuir a baixa vulnerabilidade social, observada num índice de 0.215, deve implementar programas que eleve o território à situação de muito baixa vulnerabilidade num patamar igual ou menor que um IVS de 0.200.</w:t>
      </w:r>
    </w:p>
    <w:p w:rsidR="006C4C09" w:rsidRDefault="006C4C09" w:rsidP="006C4C09">
      <w:pPr>
        <w:pStyle w:val="ListParagraph"/>
        <w:spacing w:line="360" w:lineRule="auto"/>
        <w:ind w:left="0"/>
        <w:jc w:val="both"/>
        <w:rPr>
          <w:rFonts w:ascii="Arial" w:hAnsi="Arial" w:cs="Arial"/>
          <w:b/>
          <w:sz w:val="24"/>
          <w:szCs w:val="24"/>
          <w:lang w:val="en-US"/>
        </w:rPr>
      </w:pPr>
    </w:p>
    <w:p w:rsidR="006C4C09" w:rsidRPr="00D72D7F" w:rsidRDefault="006C4C09" w:rsidP="006C4C09">
      <w:pPr>
        <w:pStyle w:val="ListParagraph"/>
        <w:spacing w:line="360" w:lineRule="auto"/>
        <w:ind w:left="0"/>
        <w:jc w:val="both"/>
        <w:rPr>
          <w:rFonts w:ascii="Arial" w:hAnsi="Arial" w:cs="Arial"/>
          <w:sz w:val="24"/>
          <w:szCs w:val="24"/>
          <w:lang w:val="en-US"/>
        </w:rPr>
      </w:pPr>
      <w:r w:rsidRPr="00D72D7F">
        <w:rPr>
          <w:rFonts w:ascii="Arial" w:hAnsi="Arial" w:cs="Arial"/>
          <w:sz w:val="24"/>
          <w:szCs w:val="24"/>
          <w:lang w:val="en-US"/>
        </w:rPr>
        <w:t>5.1 NO ENCALÇO DA ALTA PERFORMANCE NO IFDM</w:t>
      </w:r>
    </w:p>
    <w:p w:rsidR="00BE03D9" w:rsidRDefault="00BE03D9" w:rsidP="006C4C09">
      <w:pPr>
        <w:spacing w:line="360" w:lineRule="auto"/>
        <w:ind w:firstLine="851"/>
        <w:jc w:val="both"/>
        <w:rPr>
          <w:rFonts w:ascii="Arial" w:hAnsi="Arial" w:cs="Arial"/>
          <w:lang w:val="en-US"/>
        </w:rPr>
      </w:pPr>
    </w:p>
    <w:p w:rsidR="006C4C09" w:rsidRDefault="006C4C09" w:rsidP="006C4C09">
      <w:pPr>
        <w:spacing w:line="360" w:lineRule="auto"/>
        <w:ind w:firstLine="851"/>
        <w:jc w:val="both"/>
        <w:rPr>
          <w:rFonts w:ascii="Arial" w:hAnsi="Arial" w:cs="Arial"/>
          <w:lang w:val="en-US"/>
        </w:rPr>
      </w:pPr>
      <w:r>
        <w:rPr>
          <w:rFonts w:ascii="Arial" w:hAnsi="Arial" w:cs="Arial"/>
          <w:lang w:val="en-US"/>
        </w:rPr>
        <w:t>Itaperuna p</w:t>
      </w:r>
      <w:r w:rsidRPr="002D2B18">
        <w:rPr>
          <w:rFonts w:ascii="Arial" w:hAnsi="Arial" w:cs="Arial"/>
          <w:lang w:val="en-US"/>
        </w:rPr>
        <w:t xml:space="preserve">ara atingir a </w:t>
      </w:r>
      <w:proofErr w:type="gramStart"/>
      <w:r w:rsidRPr="002D2B18">
        <w:rPr>
          <w:rFonts w:ascii="Arial" w:hAnsi="Arial" w:cs="Arial"/>
          <w:lang w:val="en-US"/>
        </w:rPr>
        <w:t>meta</w:t>
      </w:r>
      <w:proofErr w:type="gramEnd"/>
      <w:r w:rsidRPr="002D2B18">
        <w:rPr>
          <w:rFonts w:ascii="Arial" w:hAnsi="Arial" w:cs="Arial"/>
          <w:lang w:val="en-US"/>
        </w:rPr>
        <w:t xml:space="preserve"> e ser considerado de alto desenvo</w:t>
      </w:r>
      <w:r>
        <w:rPr>
          <w:rFonts w:ascii="Arial" w:hAnsi="Arial" w:cs="Arial"/>
          <w:lang w:val="en-US"/>
        </w:rPr>
        <w:t xml:space="preserve">lvimento, precisa que a gestão trabalhe para melhorar </w:t>
      </w:r>
      <w:r w:rsidRPr="002D2B18">
        <w:rPr>
          <w:rFonts w:ascii="Arial" w:hAnsi="Arial" w:cs="Arial"/>
          <w:lang w:val="en-US"/>
        </w:rPr>
        <w:t>as trê</w:t>
      </w:r>
      <w:r>
        <w:rPr>
          <w:rFonts w:ascii="Arial" w:hAnsi="Arial" w:cs="Arial"/>
          <w:lang w:val="en-US"/>
        </w:rPr>
        <w:t>s áreas pesquisadas pela FIRJAN:</w:t>
      </w:r>
    </w:p>
    <w:p w:rsidR="00BE03D9" w:rsidRDefault="00BE03D9" w:rsidP="006C4C09">
      <w:pPr>
        <w:spacing w:line="360" w:lineRule="auto"/>
        <w:ind w:firstLine="851"/>
        <w:jc w:val="both"/>
        <w:rPr>
          <w:rFonts w:ascii="Arial" w:hAnsi="Arial" w:cs="Arial"/>
          <w:lang w:val="en-US"/>
        </w:rPr>
      </w:pPr>
    </w:p>
    <w:p w:rsidR="00BE03D9" w:rsidRDefault="00BE03D9" w:rsidP="006C4C09">
      <w:pPr>
        <w:spacing w:line="360" w:lineRule="auto"/>
        <w:ind w:firstLine="851"/>
        <w:jc w:val="both"/>
        <w:rPr>
          <w:rFonts w:ascii="Arial" w:hAnsi="Arial" w:cs="Arial"/>
          <w:lang w:val="en-US"/>
        </w:rPr>
      </w:pPr>
    </w:p>
    <w:p w:rsidR="006C4C09" w:rsidRPr="00D72D7F" w:rsidRDefault="006C4C09" w:rsidP="006C4C09">
      <w:pPr>
        <w:jc w:val="both"/>
        <w:rPr>
          <w:rFonts w:ascii="Arial" w:hAnsi="Arial" w:cs="Arial"/>
          <w:sz w:val="20"/>
          <w:szCs w:val="20"/>
          <w:lang w:val="en-US"/>
        </w:rPr>
      </w:pPr>
      <w:r w:rsidRPr="00D72D7F">
        <w:rPr>
          <w:rFonts w:ascii="Arial" w:hAnsi="Arial" w:cs="Arial"/>
          <w:sz w:val="20"/>
          <w:szCs w:val="20"/>
          <w:lang w:val="en-US"/>
        </w:rPr>
        <w:lastRenderedPageBreak/>
        <w:t>Gráfico 5 - IFDM e indicadores de Itaperuna em 2023</w:t>
      </w:r>
    </w:p>
    <w:p w:rsidR="006C4C09" w:rsidRPr="00D72D7F" w:rsidRDefault="006C4C09" w:rsidP="006C4C09">
      <w:pPr>
        <w:jc w:val="both"/>
        <w:rPr>
          <w:rFonts w:ascii="Arial" w:hAnsi="Arial" w:cs="Arial"/>
          <w:color w:val="FF0000"/>
          <w:sz w:val="20"/>
          <w:szCs w:val="20"/>
          <w:lang w:val="en-US"/>
        </w:rPr>
      </w:pPr>
      <w:r w:rsidRPr="00D72D7F">
        <w:rPr>
          <w:rFonts w:ascii="Arial" w:hAnsi="Arial" w:cs="Arial"/>
          <w:noProof/>
          <w:color w:val="FF0000"/>
          <w:sz w:val="20"/>
          <w:szCs w:val="20"/>
        </w:rPr>
        <w:drawing>
          <wp:inline distT="0" distB="0" distL="0" distR="0">
            <wp:extent cx="5404027" cy="2902688"/>
            <wp:effectExtent l="19050" t="0" r="25223"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4C09" w:rsidRPr="007A31BB" w:rsidRDefault="006C4C09" w:rsidP="006C4C09">
      <w:pPr>
        <w:jc w:val="both"/>
        <w:rPr>
          <w:rFonts w:ascii="Arial" w:hAnsi="Arial" w:cs="Arial"/>
          <w:sz w:val="20"/>
          <w:szCs w:val="20"/>
          <w:lang w:val="en-US"/>
        </w:rPr>
      </w:pPr>
      <w:r w:rsidRPr="002D2B18">
        <w:rPr>
          <w:rFonts w:ascii="Arial" w:hAnsi="Arial" w:cs="Arial"/>
          <w:sz w:val="20"/>
          <w:szCs w:val="20"/>
          <w:lang w:val="en-US"/>
        </w:rPr>
        <w:t>Fonte: FIRJAN, Relatório IFDM, 2025.</w:t>
      </w:r>
    </w:p>
    <w:p w:rsidR="00BE03D9" w:rsidRDefault="00BE03D9" w:rsidP="006C4C09">
      <w:pPr>
        <w:spacing w:line="360" w:lineRule="auto"/>
        <w:ind w:firstLine="851"/>
        <w:jc w:val="both"/>
        <w:rPr>
          <w:rFonts w:ascii="Arial" w:hAnsi="Arial" w:cs="Arial"/>
          <w:lang w:val="en-US"/>
        </w:rPr>
      </w:pPr>
    </w:p>
    <w:p w:rsidR="00955C80" w:rsidRDefault="00955C80" w:rsidP="006C4C09">
      <w:pPr>
        <w:spacing w:line="360" w:lineRule="auto"/>
        <w:ind w:firstLine="851"/>
        <w:jc w:val="both"/>
        <w:rPr>
          <w:rFonts w:ascii="Arial" w:hAnsi="Arial" w:cs="Arial"/>
          <w:lang w:val="en-US"/>
        </w:rPr>
      </w:pPr>
    </w:p>
    <w:p w:rsidR="00BE03D9" w:rsidRDefault="006C4C09" w:rsidP="006C4C09">
      <w:pPr>
        <w:spacing w:line="360" w:lineRule="auto"/>
        <w:ind w:firstLine="851"/>
        <w:jc w:val="both"/>
        <w:rPr>
          <w:rFonts w:ascii="Arial" w:hAnsi="Arial" w:cs="Arial"/>
          <w:lang w:val="en-US"/>
        </w:rPr>
      </w:pPr>
      <w:r w:rsidRPr="002D2B18">
        <w:rPr>
          <w:rFonts w:ascii="Arial" w:hAnsi="Arial" w:cs="Arial"/>
          <w:lang w:val="en-US"/>
        </w:rPr>
        <w:t>Com essa configuração, cabe ao p</w:t>
      </w:r>
      <w:r>
        <w:rPr>
          <w:rFonts w:ascii="Arial" w:hAnsi="Arial" w:cs="Arial"/>
          <w:lang w:val="en-US"/>
        </w:rPr>
        <w:t>oder público itaperunense busc</w:t>
      </w:r>
      <w:r w:rsidRPr="002D2B18">
        <w:rPr>
          <w:rFonts w:ascii="Arial" w:hAnsi="Arial" w:cs="Arial"/>
          <w:lang w:val="en-US"/>
        </w:rPr>
        <w:t xml:space="preserve">ar esses quocientes, especialmente </w:t>
      </w:r>
      <w:proofErr w:type="gramStart"/>
      <w:r w:rsidRPr="002D2B18">
        <w:rPr>
          <w:rFonts w:ascii="Arial" w:hAnsi="Arial" w:cs="Arial"/>
          <w:lang w:val="en-US"/>
        </w:rPr>
        <w:t>na</w:t>
      </w:r>
      <w:proofErr w:type="gramEnd"/>
      <w:r w:rsidRPr="002D2B18">
        <w:rPr>
          <w:rFonts w:ascii="Arial" w:hAnsi="Arial" w:cs="Arial"/>
          <w:lang w:val="en-US"/>
        </w:rPr>
        <w:t xml:space="preserve"> ges</w:t>
      </w:r>
      <w:r>
        <w:rPr>
          <w:rFonts w:ascii="Arial" w:hAnsi="Arial" w:cs="Arial"/>
          <w:lang w:val="en-US"/>
        </w:rPr>
        <w:t>tão educacional e da saúde. Conforme dado</w:t>
      </w:r>
      <w:r w:rsidR="007A7994">
        <w:rPr>
          <w:rFonts w:ascii="Arial" w:hAnsi="Arial" w:cs="Arial"/>
          <w:lang w:val="en-US"/>
        </w:rPr>
        <w:t>s</w:t>
      </w:r>
      <w:r>
        <w:rPr>
          <w:rFonts w:ascii="Arial" w:hAnsi="Arial" w:cs="Arial"/>
          <w:lang w:val="en-US"/>
        </w:rPr>
        <w:t xml:space="preserve"> do IBGE, por exemplo, o município pelo </w:t>
      </w:r>
      <w:r w:rsidRPr="00AF7526">
        <w:rPr>
          <w:rFonts w:ascii="Arial" w:hAnsi="Arial" w:cs="Arial"/>
          <w:lang w:val="en-US"/>
        </w:rPr>
        <w:t>último Censo Demográfico de 2022, registrou um percentual de</w:t>
      </w:r>
      <w:r>
        <w:rPr>
          <w:rFonts w:ascii="Arial" w:hAnsi="Arial" w:cs="Arial"/>
          <w:lang w:val="en-US"/>
        </w:rPr>
        <w:t xml:space="preserve"> 96.1</w:t>
      </w:r>
      <w:r w:rsidRPr="00AF7526">
        <w:rPr>
          <w:rFonts w:ascii="Arial" w:hAnsi="Arial" w:cs="Arial"/>
          <w:lang w:val="en-US"/>
        </w:rPr>
        <w:t>% de</w:t>
      </w:r>
      <w:r>
        <w:rPr>
          <w:rFonts w:ascii="Arial" w:hAnsi="Arial" w:cs="Arial"/>
          <w:lang w:val="en-US"/>
        </w:rPr>
        <w:t xml:space="preserve"> estudantes matriculados </w:t>
      </w:r>
      <w:proofErr w:type="gramStart"/>
      <w:r>
        <w:rPr>
          <w:rFonts w:ascii="Arial" w:hAnsi="Arial" w:cs="Arial"/>
          <w:lang w:val="en-US"/>
        </w:rPr>
        <w:t>na</w:t>
      </w:r>
      <w:proofErr w:type="gramEnd"/>
      <w:r>
        <w:rPr>
          <w:rFonts w:ascii="Arial" w:hAnsi="Arial" w:cs="Arial"/>
          <w:lang w:val="en-US"/>
        </w:rPr>
        <w:t xml:space="preserve"> escola básica, o que por si revela que há ao menos uma ação pública a ser realizada em busca da meta de universalização do ensino.</w:t>
      </w:r>
    </w:p>
    <w:p w:rsidR="006C4C09" w:rsidRDefault="006C4C09" w:rsidP="006C4C09">
      <w:pPr>
        <w:spacing w:line="360" w:lineRule="auto"/>
        <w:ind w:firstLine="851"/>
        <w:jc w:val="both"/>
        <w:rPr>
          <w:rFonts w:ascii="Arial" w:hAnsi="Arial" w:cs="Arial"/>
          <w:lang w:val="en-US"/>
        </w:rPr>
      </w:pPr>
      <w:r>
        <w:rPr>
          <w:rFonts w:ascii="Arial" w:hAnsi="Arial" w:cs="Arial"/>
          <w:lang w:val="en-US"/>
        </w:rPr>
        <w:t>Além disso, ainda no âmbito das políticas educacionais, o Índice de Desenvolvimento da Educação Básica (IDEB) do município, em 2023, alcançou a nota de 6,7 nos anos iniciais, o que é considerado um desempenho acima da média 6,0. Entretanto, as notas foram 5</w:t>
      </w:r>
      <w:proofErr w:type="gramStart"/>
      <w:r>
        <w:rPr>
          <w:rFonts w:ascii="Arial" w:hAnsi="Arial" w:cs="Arial"/>
          <w:lang w:val="en-US"/>
        </w:rPr>
        <w:t>,4</w:t>
      </w:r>
      <w:proofErr w:type="gramEnd"/>
      <w:r>
        <w:rPr>
          <w:rFonts w:ascii="Arial" w:hAnsi="Arial" w:cs="Arial"/>
          <w:lang w:val="en-US"/>
        </w:rPr>
        <w:t xml:space="preserve"> nos anos finais do Ensino Fundamental e 4,6 no Ensino Médio, ambas abaixo do desejável (Portal QEdu).</w:t>
      </w:r>
    </w:p>
    <w:p w:rsidR="006C4C09" w:rsidRDefault="006C4C09" w:rsidP="006C4C09">
      <w:pPr>
        <w:spacing w:line="360" w:lineRule="auto"/>
        <w:jc w:val="both"/>
        <w:rPr>
          <w:rFonts w:ascii="Arial" w:hAnsi="Arial" w:cs="Arial"/>
          <w:lang w:val="en-US"/>
        </w:rPr>
      </w:pPr>
    </w:p>
    <w:p w:rsidR="00955C80" w:rsidRDefault="00955C80" w:rsidP="006C4C09">
      <w:pPr>
        <w:spacing w:line="360" w:lineRule="auto"/>
        <w:jc w:val="both"/>
        <w:rPr>
          <w:rFonts w:ascii="Arial" w:hAnsi="Arial" w:cs="Arial"/>
          <w:lang w:val="en-US"/>
        </w:rPr>
      </w:pPr>
    </w:p>
    <w:p w:rsidR="006C4C09" w:rsidRPr="00D72D7F" w:rsidRDefault="006C4C09" w:rsidP="006C4C09">
      <w:pPr>
        <w:pStyle w:val="ListParagraph"/>
        <w:spacing w:line="360" w:lineRule="auto"/>
        <w:ind w:left="0"/>
        <w:jc w:val="both"/>
        <w:rPr>
          <w:rFonts w:ascii="Arial" w:hAnsi="Arial" w:cs="Arial"/>
          <w:sz w:val="24"/>
          <w:szCs w:val="24"/>
          <w:lang w:val="en-US"/>
        </w:rPr>
      </w:pPr>
      <w:r w:rsidRPr="00D72D7F">
        <w:rPr>
          <w:rFonts w:ascii="Arial" w:hAnsi="Arial" w:cs="Arial"/>
          <w:sz w:val="24"/>
          <w:szCs w:val="24"/>
          <w:lang w:val="en-US"/>
        </w:rPr>
        <w:t>5.2 UM IDH MUITO ALTO COMO OBJETIVO</w:t>
      </w:r>
    </w:p>
    <w:p w:rsidR="006C4C09" w:rsidRDefault="006C4C09" w:rsidP="006C4C09">
      <w:pPr>
        <w:pStyle w:val="ListParagraph"/>
        <w:spacing w:line="360" w:lineRule="auto"/>
        <w:ind w:left="0"/>
        <w:jc w:val="both"/>
        <w:rPr>
          <w:rFonts w:ascii="Arial" w:hAnsi="Arial" w:cs="Arial"/>
          <w:b/>
          <w:sz w:val="24"/>
          <w:szCs w:val="24"/>
          <w:lang w:val="en-US"/>
        </w:rPr>
      </w:pPr>
    </w:p>
    <w:p w:rsidR="006C4C09" w:rsidRDefault="006C4C09" w:rsidP="006C4C09">
      <w:pPr>
        <w:pStyle w:val="ListParagraph"/>
        <w:spacing w:line="360" w:lineRule="auto"/>
        <w:ind w:left="0" w:firstLine="851"/>
        <w:jc w:val="both"/>
        <w:rPr>
          <w:rFonts w:ascii="Arial" w:hAnsi="Arial" w:cs="Arial"/>
          <w:sz w:val="24"/>
          <w:szCs w:val="24"/>
          <w:lang w:val="en-US"/>
        </w:rPr>
      </w:pPr>
      <w:r>
        <w:rPr>
          <w:rFonts w:ascii="Arial" w:hAnsi="Arial" w:cs="Arial"/>
          <w:sz w:val="24"/>
          <w:szCs w:val="24"/>
          <w:lang w:val="en-US"/>
        </w:rPr>
        <w:t xml:space="preserve">Assim </w:t>
      </w:r>
      <w:proofErr w:type="gramStart"/>
      <w:r>
        <w:rPr>
          <w:rFonts w:ascii="Arial" w:hAnsi="Arial" w:cs="Arial"/>
          <w:sz w:val="24"/>
          <w:szCs w:val="24"/>
          <w:lang w:val="en-US"/>
        </w:rPr>
        <w:t>como</w:t>
      </w:r>
      <w:proofErr w:type="gramEnd"/>
      <w:r>
        <w:rPr>
          <w:rFonts w:ascii="Arial" w:hAnsi="Arial" w:cs="Arial"/>
          <w:sz w:val="24"/>
          <w:szCs w:val="24"/>
          <w:lang w:val="en-US"/>
        </w:rPr>
        <w:t xml:space="preserve"> no IFDM, igualmente o IDH aponta para a busca de melhoria na renda e muito especialmente na educação, conforme se observa no Gráfico 6:</w:t>
      </w:r>
    </w:p>
    <w:p w:rsidR="006C4C09" w:rsidRDefault="006C4C09" w:rsidP="006C4C09">
      <w:pPr>
        <w:pStyle w:val="ListParagraph"/>
        <w:spacing w:line="360" w:lineRule="auto"/>
        <w:ind w:left="0"/>
        <w:jc w:val="both"/>
        <w:rPr>
          <w:rFonts w:ascii="Arial" w:hAnsi="Arial" w:cs="Arial"/>
          <w:sz w:val="24"/>
          <w:szCs w:val="24"/>
          <w:lang w:val="en-US"/>
        </w:rPr>
      </w:pPr>
    </w:p>
    <w:p w:rsidR="00CA0BDD" w:rsidRDefault="00CA0BDD" w:rsidP="006C4C09">
      <w:pPr>
        <w:pStyle w:val="ListParagraph"/>
        <w:spacing w:line="360" w:lineRule="auto"/>
        <w:ind w:left="0" w:firstLine="708"/>
        <w:jc w:val="both"/>
        <w:rPr>
          <w:rFonts w:ascii="Arial" w:hAnsi="Arial" w:cs="Arial"/>
          <w:sz w:val="20"/>
          <w:szCs w:val="20"/>
          <w:lang w:val="en-US"/>
        </w:rPr>
      </w:pPr>
    </w:p>
    <w:p w:rsidR="006C4C09" w:rsidRPr="00D72D7F" w:rsidRDefault="006C4C09" w:rsidP="006C4C09">
      <w:pPr>
        <w:pStyle w:val="ListParagraph"/>
        <w:spacing w:line="360" w:lineRule="auto"/>
        <w:ind w:left="0" w:firstLine="708"/>
        <w:jc w:val="both"/>
        <w:rPr>
          <w:rFonts w:ascii="Arial" w:hAnsi="Arial" w:cs="Arial"/>
          <w:sz w:val="20"/>
          <w:szCs w:val="20"/>
          <w:lang w:val="en-US"/>
        </w:rPr>
      </w:pPr>
      <w:r w:rsidRPr="00D72D7F">
        <w:rPr>
          <w:rFonts w:ascii="Arial" w:hAnsi="Arial" w:cs="Arial"/>
          <w:sz w:val="20"/>
          <w:szCs w:val="20"/>
          <w:lang w:val="en-US"/>
        </w:rPr>
        <w:lastRenderedPageBreak/>
        <w:t xml:space="preserve">   </w:t>
      </w:r>
      <w:r>
        <w:rPr>
          <w:rFonts w:ascii="Arial" w:hAnsi="Arial" w:cs="Arial"/>
          <w:sz w:val="20"/>
          <w:szCs w:val="20"/>
          <w:lang w:val="en-US"/>
        </w:rPr>
        <w:t xml:space="preserve"> </w:t>
      </w:r>
      <w:r w:rsidRPr="00D72D7F">
        <w:rPr>
          <w:rFonts w:ascii="Arial" w:hAnsi="Arial" w:cs="Arial"/>
          <w:sz w:val="20"/>
          <w:szCs w:val="20"/>
          <w:lang w:val="en-US"/>
        </w:rPr>
        <w:t>Gráfico 6 – Dados desagregados do IDH de Itaperuna</w:t>
      </w:r>
    </w:p>
    <w:p w:rsidR="006C4C09" w:rsidRDefault="006C4C09" w:rsidP="006C4C09">
      <w:pPr>
        <w:pStyle w:val="ListParagraph"/>
        <w:spacing w:line="240" w:lineRule="auto"/>
        <w:ind w:left="0"/>
        <w:jc w:val="center"/>
        <w:rPr>
          <w:rFonts w:ascii="Arial" w:hAnsi="Arial" w:cs="Arial"/>
          <w:sz w:val="24"/>
          <w:szCs w:val="24"/>
          <w:lang w:val="en-US"/>
        </w:rPr>
      </w:pPr>
      <w:r w:rsidRPr="003456B9">
        <w:rPr>
          <w:rFonts w:ascii="Arial" w:hAnsi="Arial" w:cs="Arial"/>
          <w:noProof/>
          <w:sz w:val="24"/>
          <w:szCs w:val="24"/>
          <w:lang w:eastAsia="pt-BR"/>
        </w:rPr>
        <w:drawing>
          <wp:inline distT="0" distB="0" distL="0" distR="0">
            <wp:extent cx="4572000" cy="27432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4C09" w:rsidRPr="00903C31" w:rsidRDefault="006C4C09" w:rsidP="006C4C09">
      <w:pPr>
        <w:spacing w:line="360" w:lineRule="auto"/>
        <w:ind w:firstLine="708"/>
        <w:jc w:val="both"/>
        <w:rPr>
          <w:rFonts w:ascii="Arial" w:hAnsi="Arial" w:cs="Arial"/>
          <w:sz w:val="20"/>
          <w:szCs w:val="20"/>
          <w:lang w:val="en-US"/>
        </w:rPr>
      </w:pPr>
      <w:r>
        <w:rPr>
          <w:rFonts w:ascii="Arial" w:hAnsi="Arial" w:cs="Arial"/>
          <w:sz w:val="20"/>
          <w:szCs w:val="20"/>
          <w:lang w:val="en-US"/>
        </w:rPr>
        <w:t xml:space="preserve">    </w:t>
      </w:r>
      <w:r w:rsidRPr="00823249">
        <w:rPr>
          <w:rFonts w:ascii="Arial" w:hAnsi="Arial" w:cs="Arial"/>
          <w:sz w:val="20"/>
          <w:szCs w:val="20"/>
          <w:lang w:val="en-US"/>
        </w:rPr>
        <w:t xml:space="preserve">Fonte: </w:t>
      </w:r>
      <w:hyperlink r:id="rId18" w:history="1">
        <w:r w:rsidRPr="00FD1DBE">
          <w:rPr>
            <w:rStyle w:val="Hyperlink"/>
            <w:rFonts w:ascii="Arial" w:hAnsi="Arial" w:cs="Arial"/>
            <w:sz w:val="20"/>
            <w:szCs w:val="20"/>
            <w:lang w:val="en-US"/>
          </w:rPr>
          <w:t>http://www.atlasbrasil.org.br/ranking</w:t>
        </w:r>
      </w:hyperlink>
      <w:r>
        <w:rPr>
          <w:rFonts w:ascii="Arial" w:hAnsi="Arial" w:cs="Arial"/>
          <w:sz w:val="20"/>
          <w:szCs w:val="20"/>
          <w:lang w:val="en-US"/>
        </w:rPr>
        <w:t xml:space="preserve">. </w:t>
      </w:r>
      <w:proofErr w:type="gramStart"/>
      <w:r>
        <w:rPr>
          <w:rFonts w:ascii="Arial" w:hAnsi="Arial" w:cs="Arial"/>
          <w:sz w:val="20"/>
          <w:szCs w:val="20"/>
          <w:lang w:val="en-US"/>
        </w:rPr>
        <w:t>Acesso em 22/08/2025.</w:t>
      </w:r>
      <w:proofErr w:type="gramEnd"/>
    </w:p>
    <w:p w:rsidR="006C4C09" w:rsidRDefault="006C4C09" w:rsidP="006C4C09">
      <w:pPr>
        <w:pStyle w:val="ListParagraph"/>
        <w:spacing w:line="360" w:lineRule="auto"/>
        <w:ind w:left="0"/>
        <w:jc w:val="both"/>
        <w:rPr>
          <w:rFonts w:ascii="Arial" w:hAnsi="Arial" w:cs="Arial"/>
          <w:sz w:val="24"/>
          <w:szCs w:val="24"/>
          <w:lang w:val="en-US"/>
        </w:rPr>
      </w:pPr>
    </w:p>
    <w:p w:rsidR="006C4C09" w:rsidRPr="007C3F3E" w:rsidRDefault="006C4C09" w:rsidP="006C4C09">
      <w:pPr>
        <w:pStyle w:val="ListParagraph"/>
        <w:spacing w:line="360" w:lineRule="auto"/>
        <w:ind w:left="0" w:firstLine="851"/>
        <w:jc w:val="both"/>
        <w:rPr>
          <w:rFonts w:ascii="Arial" w:hAnsi="Arial" w:cs="Arial"/>
          <w:sz w:val="24"/>
          <w:szCs w:val="24"/>
          <w:lang w:val="en-US"/>
        </w:rPr>
      </w:pPr>
      <w:r>
        <w:rPr>
          <w:rFonts w:ascii="Arial" w:hAnsi="Arial" w:cs="Arial"/>
          <w:sz w:val="24"/>
          <w:szCs w:val="24"/>
          <w:lang w:val="en-US"/>
        </w:rPr>
        <w:t xml:space="preserve">É latente que </w:t>
      </w:r>
      <w:proofErr w:type="gramStart"/>
      <w:r>
        <w:rPr>
          <w:rFonts w:ascii="Arial" w:hAnsi="Arial" w:cs="Arial"/>
          <w:sz w:val="24"/>
          <w:szCs w:val="24"/>
          <w:lang w:val="en-US"/>
        </w:rPr>
        <w:t>a</w:t>
      </w:r>
      <w:proofErr w:type="gramEnd"/>
      <w:r>
        <w:rPr>
          <w:rFonts w:ascii="Arial" w:hAnsi="Arial" w:cs="Arial"/>
          <w:sz w:val="24"/>
          <w:szCs w:val="24"/>
          <w:lang w:val="en-US"/>
        </w:rPr>
        <w:t xml:space="preserve"> educação é a área a desejar de Itaperuna, pois que apresenta um índice médio de acordo com a padronização do IDH. Neste indicador, a surpresa </w:t>
      </w:r>
      <w:proofErr w:type="gramStart"/>
      <w:r>
        <w:rPr>
          <w:rFonts w:ascii="Arial" w:hAnsi="Arial" w:cs="Arial"/>
          <w:sz w:val="24"/>
          <w:szCs w:val="24"/>
          <w:lang w:val="en-US"/>
        </w:rPr>
        <w:t>fica</w:t>
      </w:r>
      <w:proofErr w:type="gramEnd"/>
      <w:r>
        <w:rPr>
          <w:rFonts w:ascii="Arial" w:hAnsi="Arial" w:cs="Arial"/>
          <w:sz w:val="24"/>
          <w:szCs w:val="24"/>
          <w:lang w:val="en-US"/>
        </w:rPr>
        <w:t xml:space="preserve"> por conta da longevidade com um índice de 0.837, considerado muito alto, o décimo-primeiro do Estado do Rio de Janeiro.</w:t>
      </w:r>
    </w:p>
    <w:p w:rsidR="006C4C09" w:rsidRDefault="006C4C09" w:rsidP="006C4C09">
      <w:pPr>
        <w:pStyle w:val="ListParagraph"/>
        <w:spacing w:line="360" w:lineRule="auto"/>
        <w:ind w:left="0"/>
        <w:jc w:val="both"/>
        <w:rPr>
          <w:rFonts w:ascii="Arial" w:hAnsi="Arial" w:cs="Arial"/>
          <w:b/>
          <w:sz w:val="24"/>
          <w:szCs w:val="24"/>
          <w:lang w:val="en-US"/>
        </w:rPr>
      </w:pPr>
    </w:p>
    <w:p w:rsidR="006C4C09" w:rsidRDefault="006C4C09" w:rsidP="006C4C09">
      <w:pPr>
        <w:pStyle w:val="ListParagraph"/>
        <w:spacing w:line="360" w:lineRule="auto"/>
        <w:ind w:left="0"/>
        <w:jc w:val="both"/>
        <w:rPr>
          <w:rFonts w:ascii="Arial" w:hAnsi="Arial" w:cs="Arial"/>
          <w:b/>
          <w:sz w:val="24"/>
          <w:szCs w:val="24"/>
          <w:lang w:val="en-US"/>
        </w:rPr>
      </w:pPr>
    </w:p>
    <w:p w:rsidR="006C4C09" w:rsidRDefault="006C4C09" w:rsidP="006C4C09">
      <w:pPr>
        <w:pStyle w:val="ListParagraph"/>
        <w:spacing w:line="360" w:lineRule="auto"/>
        <w:ind w:left="0"/>
        <w:jc w:val="both"/>
        <w:rPr>
          <w:rFonts w:ascii="Arial" w:hAnsi="Arial" w:cs="Arial"/>
          <w:sz w:val="24"/>
          <w:szCs w:val="24"/>
          <w:lang w:val="en-US"/>
        </w:rPr>
      </w:pPr>
      <w:r w:rsidRPr="001F51C2">
        <w:rPr>
          <w:rFonts w:ascii="Arial" w:hAnsi="Arial" w:cs="Arial"/>
          <w:sz w:val="24"/>
          <w:szCs w:val="24"/>
          <w:lang w:val="en-US"/>
        </w:rPr>
        <w:t>5</w:t>
      </w:r>
      <w:proofErr w:type="gramStart"/>
      <w:r w:rsidRPr="001F51C2">
        <w:rPr>
          <w:rFonts w:ascii="Arial" w:hAnsi="Arial" w:cs="Arial"/>
          <w:sz w:val="24"/>
          <w:szCs w:val="24"/>
          <w:lang w:val="en-US"/>
        </w:rPr>
        <w:t>,3</w:t>
      </w:r>
      <w:proofErr w:type="gramEnd"/>
      <w:r w:rsidRPr="001F51C2">
        <w:rPr>
          <w:rFonts w:ascii="Arial" w:hAnsi="Arial" w:cs="Arial"/>
          <w:sz w:val="24"/>
          <w:szCs w:val="24"/>
          <w:lang w:val="en-US"/>
        </w:rPr>
        <w:t xml:space="preserve"> O DESAFIO DE ZERAR A VULNERABILIDADE SOCIAL</w:t>
      </w:r>
    </w:p>
    <w:p w:rsidR="006C4C09" w:rsidRDefault="006C4C09" w:rsidP="006C4C09">
      <w:pPr>
        <w:pStyle w:val="ListParagraph"/>
        <w:spacing w:line="360" w:lineRule="auto"/>
        <w:ind w:left="0"/>
        <w:jc w:val="both"/>
        <w:rPr>
          <w:rFonts w:ascii="Arial" w:hAnsi="Arial" w:cs="Arial"/>
          <w:sz w:val="24"/>
          <w:szCs w:val="24"/>
          <w:lang w:val="en-US"/>
        </w:rPr>
      </w:pPr>
    </w:p>
    <w:p w:rsidR="006C4C09" w:rsidRPr="001F51C2" w:rsidRDefault="006C4C09" w:rsidP="006C4C09">
      <w:pPr>
        <w:pStyle w:val="ListParagraph"/>
        <w:spacing w:line="360" w:lineRule="auto"/>
        <w:ind w:left="0"/>
        <w:jc w:val="both"/>
        <w:rPr>
          <w:rFonts w:ascii="Arial" w:hAnsi="Arial" w:cs="Arial"/>
          <w:sz w:val="24"/>
          <w:szCs w:val="24"/>
          <w:lang w:val="en-US"/>
        </w:rPr>
      </w:pPr>
    </w:p>
    <w:p w:rsidR="006C4C09" w:rsidRDefault="006C4C09" w:rsidP="006C4C09">
      <w:pPr>
        <w:pStyle w:val="ListParagraph"/>
        <w:spacing w:line="360" w:lineRule="auto"/>
        <w:ind w:left="0" w:firstLine="851"/>
        <w:jc w:val="both"/>
        <w:rPr>
          <w:rFonts w:ascii="Arial" w:hAnsi="Arial" w:cs="Arial"/>
          <w:sz w:val="24"/>
          <w:szCs w:val="24"/>
          <w:lang w:val="en-US"/>
        </w:rPr>
      </w:pPr>
      <w:r>
        <w:rPr>
          <w:rFonts w:ascii="Arial" w:hAnsi="Arial" w:cs="Arial"/>
          <w:sz w:val="24"/>
          <w:szCs w:val="24"/>
          <w:lang w:val="en-US"/>
        </w:rPr>
        <w:t>Apesar do IVS ser classificado dentre os melhores do ente estadual, quando há uma desagregação dos dados, percebe-se que existe muito trabalho a frente em termos de políticas públicas para que Itaperuna atinja o patamar de muito baixa vulnerabilidade. Alguns exemplos são: o desafio em reduzir o percentual de 21</w:t>
      </w:r>
      <w:proofErr w:type="gramStart"/>
      <w:r>
        <w:rPr>
          <w:rFonts w:ascii="Arial" w:hAnsi="Arial" w:cs="Arial"/>
          <w:sz w:val="24"/>
          <w:szCs w:val="24"/>
          <w:lang w:val="en-US"/>
        </w:rPr>
        <w:t>,82</w:t>
      </w:r>
      <w:proofErr w:type="gramEnd"/>
      <w:r>
        <w:rPr>
          <w:rFonts w:ascii="Arial" w:hAnsi="Arial" w:cs="Arial"/>
          <w:sz w:val="24"/>
          <w:szCs w:val="24"/>
          <w:lang w:val="en-US"/>
        </w:rPr>
        <w:t>% da classe trabalhadora contratada sem carteira assinada em relação a População Economicamente Ativa (PEA) de 45.850 trabalhadores com 18 anos ou mais; levar saneamento básico para todos os domicílios, ainda sem atingir 100%, mas bem próximo desse patamar; erradicar o analfabetismo, pois com uma taxa de 7,62% da população com 15 anos ou mais, ainda que seja o menor percentual regional; dentre outros.</w:t>
      </w:r>
    </w:p>
    <w:p w:rsidR="006C4C09" w:rsidRPr="006211FB" w:rsidRDefault="006C4C09" w:rsidP="006C4C09">
      <w:pPr>
        <w:pStyle w:val="ListParagraph"/>
        <w:spacing w:line="360" w:lineRule="auto"/>
        <w:ind w:left="0"/>
        <w:jc w:val="both"/>
        <w:rPr>
          <w:rFonts w:ascii="Arial" w:hAnsi="Arial" w:cs="Arial"/>
          <w:sz w:val="24"/>
          <w:szCs w:val="24"/>
          <w:lang w:val="en-US"/>
        </w:rPr>
      </w:pPr>
    </w:p>
    <w:p w:rsidR="006C4C09" w:rsidRDefault="006C4C09" w:rsidP="006C4C09">
      <w:pPr>
        <w:pStyle w:val="ListParagraph"/>
        <w:numPr>
          <w:ilvl w:val="0"/>
          <w:numId w:val="45"/>
        </w:numPr>
        <w:spacing w:line="360" w:lineRule="auto"/>
        <w:ind w:left="0" w:firstLine="0"/>
        <w:jc w:val="both"/>
        <w:rPr>
          <w:rFonts w:ascii="Arial" w:hAnsi="Arial" w:cs="Arial"/>
          <w:b/>
          <w:sz w:val="24"/>
          <w:szCs w:val="24"/>
          <w:lang w:val="en-US"/>
        </w:rPr>
      </w:pPr>
      <w:r>
        <w:rPr>
          <w:rFonts w:ascii="Arial" w:hAnsi="Arial" w:cs="Arial"/>
          <w:b/>
          <w:sz w:val="24"/>
          <w:szCs w:val="24"/>
          <w:lang w:val="en-US"/>
        </w:rPr>
        <w:lastRenderedPageBreak/>
        <w:t>CONCLUSÃO</w:t>
      </w:r>
    </w:p>
    <w:p w:rsidR="006C4C09" w:rsidRPr="00632B78" w:rsidRDefault="006C4C09" w:rsidP="006C4C09">
      <w:pPr>
        <w:pStyle w:val="ListParagraph"/>
        <w:spacing w:line="360" w:lineRule="auto"/>
        <w:ind w:left="0"/>
        <w:jc w:val="both"/>
        <w:rPr>
          <w:rFonts w:ascii="Arial" w:hAnsi="Arial" w:cs="Arial"/>
          <w:b/>
          <w:sz w:val="24"/>
          <w:szCs w:val="24"/>
          <w:lang w:val="en-US"/>
        </w:rPr>
      </w:pPr>
    </w:p>
    <w:p w:rsidR="006C4C09" w:rsidRPr="0080570E" w:rsidRDefault="006C4C09" w:rsidP="006C4C09">
      <w:pPr>
        <w:spacing w:line="360" w:lineRule="auto"/>
        <w:ind w:left="-142" w:firstLine="993"/>
        <w:jc w:val="both"/>
        <w:rPr>
          <w:rFonts w:ascii="Arial" w:hAnsi="Arial" w:cs="Arial"/>
          <w:lang w:val="en-US"/>
        </w:rPr>
      </w:pPr>
      <w:r w:rsidRPr="0080570E">
        <w:rPr>
          <w:rFonts w:ascii="Arial" w:hAnsi="Arial" w:cs="Arial"/>
          <w:lang w:val="en-US"/>
        </w:rPr>
        <w:t>Espera-se que o contexto deste artigo tenha contribuído para demonstrar a importância do uso de indicadores socioeconômicos no diagnóstico de territórios, neste caso o de Itaperuna, para que além da leitura dos bons índices alcançados possa-se intervir na realidade com um plano de desenvolvimento regional nos moldes de François Perroux ao considerar o espaço como conteúdo de um plano (CLEMENTE, 2000, p.14).</w:t>
      </w:r>
    </w:p>
    <w:p w:rsidR="006C4C09" w:rsidRDefault="006C4C09" w:rsidP="006C4C09">
      <w:pPr>
        <w:spacing w:line="360" w:lineRule="auto"/>
        <w:ind w:firstLine="851"/>
        <w:jc w:val="both"/>
        <w:rPr>
          <w:rFonts w:ascii="Arial" w:hAnsi="Arial" w:cs="Arial"/>
          <w:lang w:val="en-US"/>
        </w:rPr>
      </w:pPr>
      <w:r>
        <w:rPr>
          <w:rFonts w:ascii="Arial" w:hAnsi="Arial" w:cs="Arial"/>
          <w:lang w:val="en-US"/>
        </w:rPr>
        <w:t>A partir da leitura de um conjunto de artigos</w:t>
      </w:r>
      <w:r w:rsidRPr="00F40671">
        <w:rPr>
          <w:rFonts w:ascii="Arial" w:hAnsi="Arial" w:cs="Arial"/>
          <w:lang w:val="en-US"/>
        </w:rPr>
        <w:t xml:space="preserve">, </w:t>
      </w:r>
      <w:r>
        <w:rPr>
          <w:rFonts w:ascii="Arial" w:hAnsi="Arial" w:cs="Arial"/>
          <w:lang w:val="en-US"/>
        </w:rPr>
        <w:t xml:space="preserve">dos levantamentos junto ao IBGE e </w:t>
      </w:r>
      <w:r w:rsidRPr="00F40671">
        <w:rPr>
          <w:rFonts w:ascii="Arial" w:hAnsi="Arial" w:cs="Arial"/>
          <w:lang w:val="en-US"/>
        </w:rPr>
        <w:t>do</w:t>
      </w:r>
      <w:r>
        <w:rPr>
          <w:rFonts w:ascii="Arial" w:hAnsi="Arial" w:cs="Arial"/>
          <w:lang w:val="en-US"/>
        </w:rPr>
        <w:t>s indicadores</w:t>
      </w:r>
      <w:r w:rsidRPr="00F40671">
        <w:rPr>
          <w:rFonts w:ascii="Arial" w:hAnsi="Arial" w:cs="Arial"/>
          <w:lang w:val="en-US"/>
        </w:rPr>
        <w:t xml:space="preserve"> IFDM</w:t>
      </w:r>
      <w:r>
        <w:rPr>
          <w:rFonts w:ascii="Arial" w:hAnsi="Arial" w:cs="Arial"/>
          <w:lang w:val="en-US"/>
        </w:rPr>
        <w:t xml:space="preserve">, IDH </w:t>
      </w:r>
      <w:r w:rsidRPr="00CE7865">
        <w:rPr>
          <w:rFonts w:ascii="Arial" w:hAnsi="Arial" w:cs="Arial"/>
          <w:lang w:val="en-US"/>
        </w:rPr>
        <w:t>e IVS</w:t>
      </w:r>
      <w:r w:rsidRPr="00F40671">
        <w:rPr>
          <w:rFonts w:ascii="Arial" w:hAnsi="Arial" w:cs="Arial"/>
          <w:lang w:val="en-US"/>
        </w:rPr>
        <w:t xml:space="preserve"> de Itaperuna </w:t>
      </w:r>
      <w:r>
        <w:rPr>
          <w:rFonts w:ascii="Arial" w:hAnsi="Arial" w:cs="Arial"/>
          <w:lang w:val="en-US"/>
        </w:rPr>
        <w:t xml:space="preserve">e da comparação com outras unidades territoriais fluminenses, pode-se confirmar o subespaço estadual como um polo de desenvolvimento consolidado em nível regional, </w:t>
      </w:r>
      <w:r w:rsidRPr="0080570E">
        <w:rPr>
          <w:rFonts w:ascii="Arial" w:hAnsi="Arial" w:cs="Arial"/>
          <w:lang w:val="en-US"/>
        </w:rPr>
        <w:t>situação que Perroux considera como uma área circunvizinha polarizada pela cidade que atrai consumidores com seu comércio e serviços (</w:t>
      </w:r>
      <w:r w:rsidRPr="0080570E">
        <w:rPr>
          <w:rFonts w:ascii="Arial" w:hAnsi="Arial" w:cs="Arial"/>
          <w:i/>
          <w:lang w:val="en-US"/>
        </w:rPr>
        <w:t>Ibid.</w:t>
      </w:r>
      <w:r w:rsidRPr="0080570E">
        <w:rPr>
          <w:rFonts w:ascii="Arial" w:hAnsi="Arial" w:cs="Arial"/>
          <w:lang w:val="en-US"/>
        </w:rPr>
        <w:t xml:space="preserve">, 2000, p.15). </w:t>
      </w:r>
      <w:proofErr w:type="gramStart"/>
      <w:r>
        <w:rPr>
          <w:rFonts w:ascii="Arial" w:hAnsi="Arial" w:cs="Arial"/>
          <w:lang w:val="en-US"/>
        </w:rPr>
        <w:t>A</w:t>
      </w:r>
      <w:proofErr w:type="gramEnd"/>
      <w:r>
        <w:rPr>
          <w:rFonts w:ascii="Arial" w:hAnsi="Arial" w:cs="Arial"/>
          <w:lang w:val="en-US"/>
        </w:rPr>
        <w:t xml:space="preserve"> estrutura produtiva ali instalada em muito contribui para a geração de renda e emprego para o lugar e seu entorno, muito particularmente a performance do emprego/renda no IFDM, a longevidade no IDH e a baixa vulnerabilidade social do IVS.</w:t>
      </w:r>
    </w:p>
    <w:p w:rsidR="006C4C09" w:rsidRDefault="006C4C09" w:rsidP="006C4C09">
      <w:pPr>
        <w:spacing w:line="360" w:lineRule="auto"/>
        <w:ind w:firstLine="851"/>
        <w:jc w:val="both"/>
        <w:rPr>
          <w:rFonts w:ascii="Arial" w:hAnsi="Arial" w:cs="Arial"/>
          <w:lang w:val="en-US"/>
        </w:rPr>
      </w:pPr>
      <w:proofErr w:type="gramStart"/>
      <w:r w:rsidRPr="00A4060F">
        <w:rPr>
          <w:rFonts w:ascii="Arial" w:hAnsi="Arial" w:cs="Arial"/>
          <w:lang w:val="en-US"/>
        </w:rPr>
        <w:t>Entretanto, esses mesmos índices apontam a necessidade de agir com políticas públicas que atinjam os intervalos mais significativos das classificações desses indicadores.</w:t>
      </w:r>
      <w:proofErr w:type="gramEnd"/>
      <w:r>
        <w:rPr>
          <w:rFonts w:ascii="Arial" w:hAnsi="Arial" w:cs="Arial"/>
          <w:lang w:val="en-US"/>
        </w:rPr>
        <w:t xml:space="preserve"> Apesar d</w:t>
      </w:r>
      <w:r w:rsidR="007A7994">
        <w:rPr>
          <w:rFonts w:ascii="Arial" w:hAnsi="Arial" w:cs="Arial"/>
          <w:lang w:val="en-US"/>
        </w:rPr>
        <w:t>o</w:t>
      </w:r>
      <w:r>
        <w:rPr>
          <w:rFonts w:ascii="Arial" w:hAnsi="Arial" w:cs="Arial"/>
          <w:lang w:val="en-US"/>
        </w:rPr>
        <w:t xml:space="preserve"> crescimento econômico robusto, necessário se faz despertar os gestores para um planejamento municipal, aproveitando-se dos efeitos motrizes que esse subespaço </w:t>
      </w:r>
      <w:r w:rsidRPr="00114BF4">
        <w:rPr>
          <w:rFonts w:ascii="Arial" w:hAnsi="Arial" w:cs="Arial"/>
          <w:lang w:val="en-US"/>
        </w:rPr>
        <w:t xml:space="preserve">oportuniza em busca </w:t>
      </w:r>
      <w:r>
        <w:rPr>
          <w:rFonts w:ascii="Arial" w:hAnsi="Arial" w:cs="Arial"/>
          <w:lang w:val="en-US"/>
        </w:rPr>
        <w:t>do aumento do IFDM, passando do patamar moderado de 0.7401 para o de alto desenvolvimento acima de 0.800 e do IDH para atingir o padrão muito alto de classificação nas áreas de emprego e educacional, a semelhança do que já ocorre com o índice da longevidade, e passar do atual índice 0.215 para um patamar igual ou menor que 0.200 na apuração do IVS, ou seja, de uma baixa para uma muito baixa vulnerabilidade social.</w:t>
      </w: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Por isso, é fundamental que a gestão pública de Itaperuna se programe no sentido de melhorar os índices educacionais, principalmente no segundo ciclo do Ensino Fundamental que é de competência da municipalidade. Assim </w:t>
      </w:r>
      <w:proofErr w:type="gramStart"/>
      <w:r>
        <w:rPr>
          <w:rFonts w:ascii="Arial" w:hAnsi="Arial" w:cs="Arial"/>
          <w:lang w:val="en-US"/>
        </w:rPr>
        <w:t>como</w:t>
      </w:r>
      <w:proofErr w:type="gramEnd"/>
      <w:r>
        <w:rPr>
          <w:rFonts w:ascii="Arial" w:hAnsi="Arial" w:cs="Arial"/>
          <w:lang w:val="en-US"/>
        </w:rPr>
        <w:t xml:space="preserve">, entende-se que o Ensino Médio, que é da responsabilidade da esfera </w:t>
      </w:r>
      <w:r>
        <w:rPr>
          <w:rFonts w:ascii="Arial" w:hAnsi="Arial" w:cs="Arial"/>
          <w:lang w:val="en-US"/>
        </w:rPr>
        <w:lastRenderedPageBreak/>
        <w:t>estadual, também deve buscar a melhoria do Índice de Desenvolvimento da Educação Básica (IDEB) dessa faixa de aprendizagem.</w:t>
      </w:r>
    </w:p>
    <w:p w:rsidR="006C4C09" w:rsidRDefault="006C4C09" w:rsidP="006C4C09">
      <w:pPr>
        <w:spacing w:line="360" w:lineRule="auto"/>
        <w:ind w:firstLine="851"/>
        <w:jc w:val="both"/>
        <w:rPr>
          <w:rFonts w:ascii="Arial" w:hAnsi="Arial" w:cs="Arial"/>
          <w:lang w:val="en-US"/>
        </w:rPr>
      </w:pPr>
      <w:r>
        <w:rPr>
          <w:rFonts w:ascii="Arial" w:hAnsi="Arial" w:cs="Arial"/>
          <w:lang w:val="en-US"/>
        </w:rPr>
        <w:t>Outrossim, é preciso diagnosticar o que não vai bem na saúde pública, dado que pelo levantamento da FIRJAN, essa é uma área em que a gestão itaperunense, apesar da cidade ser um centro de referência nesse campo e ter um índice muito alto no quesito longevidade do IDH, ainda precisa melhorar de acordo com o IFDM e com o IVS. Um</w:t>
      </w:r>
      <w:r>
        <w:rPr>
          <w:rFonts w:ascii="Arial" w:hAnsi="Arial" w:cs="Arial"/>
          <w:color w:val="FF0000"/>
          <w:lang w:val="en-US"/>
        </w:rPr>
        <w:t xml:space="preserve"> </w:t>
      </w:r>
      <w:r w:rsidRPr="00A4060F">
        <w:rPr>
          <w:rFonts w:ascii="Arial" w:hAnsi="Arial" w:cs="Arial"/>
          <w:lang w:val="en-US"/>
        </w:rPr>
        <w:t>exemplo é a mortalidade infantil de 12</w:t>
      </w:r>
      <w:proofErr w:type="gramStart"/>
      <w:r w:rsidRPr="00A4060F">
        <w:rPr>
          <w:rFonts w:ascii="Arial" w:hAnsi="Arial" w:cs="Arial"/>
          <w:lang w:val="en-US"/>
        </w:rPr>
        <w:t>,59</w:t>
      </w:r>
      <w:proofErr w:type="gramEnd"/>
      <w:r w:rsidRPr="00A4060F">
        <w:rPr>
          <w:rFonts w:ascii="Arial" w:hAnsi="Arial" w:cs="Arial"/>
          <w:lang w:val="en-US"/>
        </w:rPr>
        <w:t xml:space="preserve"> óbitos por mil nascidos vivos (IBGE).</w:t>
      </w:r>
      <w:r>
        <w:rPr>
          <w:rFonts w:ascii="Arial" w:hAnsi="Arial" w:cs="Arial"/>
          <w:color w:val="FF0000"/>
          <w:lang w:val="en-US"/>
        </w:rPr>
        <w:t xml:space="preserve"> </w:t>
      </w:r>
      <w:r>
        <w:rPr>
          <w:rFonts w:ascii="Arial" w:hAnsi="Arial" w:cs="Arial"/>
          <w:lang w:val="en-US"/>
        </w:rPr>
        <w:t>Por</w:t>
      </w:r>
      <w:r w:rsidR="00B5114B">
        <w:rPr>
          <w:rFonts w:ascii="Arial" w:hAnsi="Arial" w:cs="Arial"/>
          <w:lang w:val="en-US"/>
        </w:rPr>
        <w:t xml:space="preserve"> fim, muito pouco falta para o M</w:t>
      </w:r>
      <w:r>
        <w:rPr>
          <w:rFonts w:ascii="Arial" w:hAnsi="Arial" w:cs="Arial"/>
          <w:lang w:val="en-US"/>
        </w:rPr>
        <w:t xml:space="preserve">unicípio </w:t>
      </w:r>
      <w:r w:rsidR="004E3E90">
        <w:rPr>
          <w:rFonts w:ascii="Arial" w:hAnsi="Arial" w:cs="Arial"/>
          <w:lang w:val="en-US"/>
        </w:rPr>
        <w:t xml:space="preserve">de Itaperuna </w:t>
      </w:r>
      <w:r>
        <w:rPr>
          <w:rFonts w:ascii="Arial" w:hAnsi="Arial" w:cs="Arial"/>
          <w:lang w:val="en-US"/>
        </w:rPr>
        <w:t xml:space="preserve">atingir a excelência </w:t>
      </w:r>
      <w:proofErr w:type="gramStart"/>
      <w:r>
        <w:rPr>
          <w:rFonts w:ascii="Arial" w:hAnsi="Arial" w:cs="Arial"/>
          <w:lang w:val="en-US"/>
        </w:rPr>
        <w:t>na</w:t>
      </w:r>
      <w:proofErr w:type="gramEnd"/>
      <w:r>
        <w:rPr>
          <w:rFonts w:ascii="Arial" w:hAnsi="Arial" w:cs="Arial"/>
          <w:lang w:val="en-US"/>
        </w:rPr>
        <w:t xml:space="preserve"> geração de emprego e renda, o que depende obviamente de um programa de atração de investimentos e apoio ao empreendedorismo.</w:t>
      </w:r>
    </w:p>
    <w:p w:rsidR="006C4C09" w:rsidRDefault="006C4C09" w:rsidP="006C4C09">
      <w:pPr>
        <w:spacing w:line="360" w:lineRule="auto"/>
        <w:ind w:firstLine="851"/>
        <w:jc w:val="both"/>
        <w:rPr>
          <w:rFonts w:ascii="Arial" w:hAnsi="Arial" w:cs="Arial"/>
          <w:lang w:val="en-US"/>
        </w:rPr>
      </w:pPr>
      <w:r>
        <w:rPr>
          <w:rFonts w:ascii="Arial" w:hAnsi="Arial" w:cs="Arial"/>
          <w:lang w:val="en-US"/>
        </w:rPr>
        <w:t xml:space="preserve">Ademais, </w:t>
      </w:r>
      <w:proofErr w:type="gramStart"/>
      <w:r>
        <w:rPr>
          <w:rFonts w:ascii="Arial" w:hAnsi="Arial" w:cs="Arial"/>
          <w:lang w:val="en-US"/>
        </w:rPr>
        <w:t>na</w:t>
      </w:r>
      <w:proofErr w:type="gramEnd"/>
      <w:r>
        <w:rPr>
          <w:rFonts w:ascii="Arial" w:hAnsi="Arial" w:cs="Arial"/>
          <w:lang w:val="en-US"/>
        </w:rPr>
        <w:t xml:space="preserve"> c</w:t>
      </w:r>
      <w:r w:rsidR="004E3E90">
        <w:rPr>
          <w:rFonts w:ascii="Arial" w:hAnsi="Arial" w:cs="Arial"/>
          <w:lang w:val="en-US"/>
        </w:rPr>
        <w:t>omparação com os outros entes da Região</w:t>
      </w:r>
      <w:r>
        <w:rPr>
          <w:rFonts w:ascii="Arial" w:hAnsi="Arial" w:cs="Arial"/>
          <w:lang w:val="en-US"/>
        </w:rPr>
        <w:t xml:space="preserve"> Noroeste Fluminense, principalmente em relação ao indicador IFDM, é nítida a liderança de Itaperuna enquanto ponto nodal regional. Também é significativo o índice alcançado no IDH, ainda que </w:t>
      </w:r>
      <w:proofErr w:type="gramStart"/>
      <w:r>
        <w:rPr>
          <w:rFonts w:ascii="Arial" w:hAnsi="Arial" w:cs="Arial"/>
          <w:lang w:val="en-US"/>
        </w:rPr>
        <w:t>na</w:t>
      </w:r>
      <w:proofErr w:type="gramEnd"/>
      <w:r>
        <w:rPr>
          <w:rFonts w:ascii="Arial" w:hAnsi="Arial" w:cs="Arial"/>
          <w:lang w:val="en-US"/>
        </w:rPr>
        <w:t xml:space="preserve"> segunda posição pouco abaixo de Bom Jesus do Itabapoana e empatado com Natividade. Assim como é apreciável o índice de 0.215 de baixa vulnerabilidade, o 11</w:t>
      </w:r>
      <w:r w:rsidR="004E3E90">
        <w:rPr>
          <w:rFonts w:ascii="Arial" w:hAnsi="Arial" w:cs="Arial"/>
          <w:lang w:val="en-US"/>
        </w:rPr>
        <w:t>° melhor do território estadual, superado apenas por Aperibé.</w:t>
      </w:r>
    </w:p>
    <w:p w:rsidR="006C4C09" w:rsidRPr="003E2DBB" w:rsidRDefault="006C4C09" w:rsidP="006C4C09">
      <w:pPr>
        <w:spacing w:line="360" w:lineRule="auto"/>
        <w:ind w:firstLine="851"/>
        <w:jc w:val="both"/>
        <w:rPr>
          <w:rFonts w:ascii="Arial" w:hAnsi="Arial" w:cs="Arial"/>
          <w:lang w:val="en-US"/>
        </w:rPr>
      </w:pPr>
      <w:r>
        <w:rPr>
          <w:rFonts w:ascii="Arial" w:hAnsi="Arial" w:cs="Arial"/>
          <w:lang w:val="en-US"/>
        </w:rPr>
        <w:t xml:space="preserve">Neste sentido, com um planejamento com metas e objetivos focados </w:t>
      </w:r>
      <w:proofErr w:type="gramStart"/>
      <w:r>
        <w:rPr>
          <w:rFonts w:ascii="Arial" w:hAnsi="Arial" w:cs="Arial"/>
          <w:lang w:val="en-US"/>
        </w:rPr>
        <w:t>na</w:t>
      </w:r>
      <w:proofErr w:type="gramEnd"/>
      <w:r>
        <w:rPr>
          <w:rFonts w:ascii="Arial" w:hAnsi="Arial" w:cs="Arial"/>
          <w:lang w:val="en-US"/>
        </w:rPr>
        <w:t xml:space="preserve"> superação dos gargalos apontados por esses indicadores, o território na prática, tem potencial para alcançar índices que coloquem Itaperuna com um alto padrão da qualidade de vida para os seus moradores e visitantes.</w:t>
      </w:r>
    </w:p>
    <w:p w:rsidR="00715939" w:rsidRDefault="00715939" w:rsidP="006C4C09">
      <w:pPr>
        <w:spacing w:line="360" w:lineRule="auto"/>
        <w:jc w:val="both"/>
        <w:rPr>
          <w:rFonts w:ascii="Arial" w:hAnsi="Arial" w:cs="Arial"/>
          <w:b/>
          <w:lang w:val="en-US"/>
        </w:rPr>
      </w:pPr>
    </w:p>
    <w:p w:rsidR="006C4C09" w:rsidRPr="00D86300" w:rsidRDefault="006C4C09" w:rsidP="006C4C09">
      <w:pPr>
        <w:jc w:val="both"/>
        <w:rPr>
          <w:rFonts w:ascii="Arial" w:hAnsi="Arial" w:cs="Arial"/>
          <w:b/>
          <w:lang w:val="en-US"/>
        </w:rPr>
      </w:pPr>
      <w:r w:rsidRPr="00D86300">
        <w:rPr>
          <w:rFonts w:ascii="Arial" w:hAnsi="Arial" w:cs="Arial"/>
          <w:b/>
          <w:lang w:val="en-US"/>
        </w:rPr>
        <w:t>REFERENCIAL BIBLIOGRÁFICO</w:t>
      </w:r>
    </w:p>
    <w:p w:rsidR="006C4C09" w:rsidRPr="00D86300" w:rsidRDefault="006C4C09" w:rsidP="006C4C09">
      <w:pPr>
        <w:jc w:val="both"/>
        <w:rPr>
          <w:rFonts w:ascii="Arial" w:hAnsi="Arial" w:cs="Arial"/>
        </w:rPr>
      </w:pPr>
    </w:p>
    <w:p w:rsidR="006C4C09" w:rsidRPr="00D86300" w:rsidRDefault="006C4C09" w:rsidP="006C4C09">
      <w:pPr>
        <w:jc w:val="both"/>
        <w:rPr>
          <w:rFonts w:ascii="Arial" w:hAnsi="Arial" w:cs="Arial"/>
          <w:lang w:val="en-US"/>
        </w:rPr>
      </w:pPr>
      <w:r w:rsidRPr="00D86300">
        <w:rPr>
          <w:rFonts w:ascii="Arial" w:hAnsi="Arial" w:cs="Arial"/>
        </w:rPr>
        <w:t xml:space="preserve">AZEVEDO, Nilo Lima; CAMPOS, Mauro Macedo; LIRA, Rodrigo Anido. Por que os conselhos não funcionam? Entraves federativos para a participação popular no Brasil. </w:t>
      </w:r>
      <w:r w:rsidRPr="00D86300">
        <w:rPr>
          <w:rFonts w:ascii="Arial" w:hAnsi="Arial" w:cs="Arial"/>
          <w:b/>
        </w:rPr>
        <w:t>Revista Dilemas</w:t>
      </w:r>
      <w:r w:rsidRPr="00D86300">
        <w:rPr>
          <w:rFonts w:ascii="Arial" w:hAnsi="Arial" w:cs="Arial"/>
        </w:rPr>
        <w:t>, Rio de Janeiro, v.13, n.2, mai.ago.2020, p.439-61.</w:t>
      </w:r>
    </w:p>
    <w:p w:rsidR="006C4C09" w:rsidRPr="00D86300" w:rsidRDefault="006C4C09" w:rsidP="006C4C09">
      <w:pPr>
        <w:jc w:val="both"/>
        <w:rPr>
          <w:rFonts w:ascii="Arial" w:hAnsi="Arial" w:cs="Arial"/>
          <w:lang w:val="en-US"/>
        </w:rPr>
      </w:pPr>
      <w:proofErr w:type="gramStart"/>
      <w:r w:rsidRPr="00D86300">
        <w:rPr>
          <w:rFonts w:ascii="Arial" w:hAnsi="Arial" w:cs="Arial"/>
          <w:lang w:val="en-US"/>
        </w:rPr>
        <w:t>DA MATTA, Ludmila Gonçalves; VERDAN, Mateus Fernandes.</w:t>
      </w:r>
      <w:proofErr w:type="gramEnd"/>
      <w:r w:rsidRPr="00D86300">
        <w:rPr>
          <w:rFonts w:ascii="Arial" w:hAnsi="Arial" w:cs="Arial"/>
          <w:lang w:val="en-US"/>
        </w:rPr>
        <w:t xml:space="preserve"> </w:t>
      </w:r>
      <w:proofErr w:type="gramStart"/>
      <w:r w:rsidRPr="00D86300">
        <w:rPr>
          <w:rFonts w:ascii="Arial" w:hAnsi="Arial" w:cs="Arial"/>
          <w:lang w:val="en-US"/>
        </w:rPr>
        <w:t>Construção histórica do conceito de desenvolvimento e suas múltiplas abordagens.</w:t>
      </w:r>
      <w:proofErr w:type="gramEnd"/>
      <w:r w:rsidRPr="00D86300">
        <w:rPr>
          <w:rFonts w:ascii="Arial" w:hAnsi="Arial" w:cs="Arial"/>
          <w:lang w:val="en-US"/>
        </w:rPr>
        <w:t xml:space="preserve"> </w:t>
      </w:r>
      <w:proofErr w:type="gramStart"/>
      <w:r w:rsidRPr="00D86300">
        <w:rPr>
          <w:rFonts w:ascii="Arial" w:hAnsi="Arial" w:cs="Arial"/>
          <w:lang w:val="en-US"/>
        </w:rPr>
        <w:t>Observatório de la Economia Latinoamericana, Curitiba, v.21, p.18853-75, 2023.</w:t>
      </w:r>
      <w:proofErr w:type="gramEnd"/>
    </w:p>
    <w:p w:rsidR="006C4C09" w:rsidRPr="00D86300" w:rsidRDefault="006C4C09" w:rsidP="006C4C09">
      <w:pPr>
        <w:jc w:val="both"/>
        <w:rPr>
          <w:rFonts w:ascii="Arial" w:hAnsi="Arial" w:cs="Arial"/>
          <w:lang w:val="en-US"/>
        </w:rPr>
      </w:pPr>
      <w:r w:rsidRPr="00D86300">
        <w:rPr>
          <w:rFonts w:ascii="Arial" w:hAnsi="Arial" w:cs="Arial"/>
          <w:lang w:val="en-US"/>
        </w:rPr>
        <w:t xml:space="preserve">DALLABRIDA, Valdir Roque. </w:t>
      </w:r>
      <w:r w:rsidRPr="00D86300">
        <w:rPr>
          <w:rFonts w:ascii="Arial" w:hAnsi="Arial" w:cs="Arial"/>
          <w:b/>
          <w:lang w:val="en-US"/>
        </w:rPr>
        <w:t>Território, governança e desenvolvimento territorial</w:t>
      </w:r>
      <w:r w:rsidRPr="00D86300">
        <w:rPr>
          <w:rFonts w:ascii="Arial" w:hAnsi="Arial" w:cs="Arial"/>
          <w:lang w:val="en-US"/>
        </w:rPr>
        <w:t xml:space="preserve">: indicativos teórico-metodológicos, tendo a indicação geográfica </w:t>
      </w:r>
      <w:proofErr w:type="gramStart"/>
      <w:r w:rsidRPr="00D86300">
        <w:rPr>
          <w:rFonts w:ascii="Arial" w:hAnsi="Arial" w:cs="Arial"/>
          <w:lang w:val="en-US"/>
        </w:rPr>
        <w:t>como</w:t>
      </w:r>
      <w:proofErr w:type="gramEnd"/>
      <w:r w:rsidRPr="00D86300">
        <w:rPr>
          <w:rFonts w:ascii="Arial" w:hAnsi="Arial" w:cs="Arial"/>
          <w:lang w:val="en-US"/>
        </w:rPr>
        <w:t xml:space="preserve"> referência. São Paulo: LiverArts, 2016.</w:t>
      </w:r>
    </w:p>
    <w:p w:rsidR="006C4C09" w:rsidRPr="00D86300" w:rsidRDefault="006C4C09" w:rsidP="006C4C09">
      <w:pPr>
        <w:jc w:val="both"/>
        <w:rPr>
          <w:rFonts w:ascii="Arial" w:hAnsi="Arial" w:cs="Arial"/>
          <w:lang w:val="en-US"/>
        </w:rPr>
      </w:pPr>
      <w:proofErr w:type="gramStart"/>
      <w:r w:rsidRPr="00D86300">
        <w:rPr>
          <w:rFonts w:ascii="Arial" w:hAnsi="Arial" w:cs="Arial"/>
          <w:lang w:val="en-US"/>
        </w:rPr>
        <w:t>DIAS, Wagner Alceu; CALAÇA, Manoel.</w:t>
      </w:r>
      <w:proofErr w:type="gramEnd"/>
      <w:r w:rsidRPr="00D86300">
        <w:rPr>
          <w:rFonts w:ascii="Arial" w:hAnsi="Arial" w:cs="Arial"/>
          <w:lang w:val="en-US"/>
        </w:rPr>
        <w:t xml:space="preserve"> </w:t>
      </w:r>
      <w:r w:rsidRPr="00D86300">
        <w:rPr>
          <w:rFonts w:ascii="Arial" w:hAnsi="Arial" w:cs="Arial"/>
          <w:b/>
          <w:lang w:val="en-US"/>
        </w:rPr>
        <w:t>Município</w:t>
      </w:r>
      <w:r w:rsidRPr="00D86300">
        <w:rPr>
          <w:rFonts w:ascii="Arial" w:hAnsi="Arial" w:cs="Arial"/>
          <w:lang w:val="en-US"/>
        </w:rPr>
        <w:t>: a escala da (des</w:t>
      </w:r>
      <w:proofErr w:type="gramStart"/>
      <w:r w:rsidRPr="00D86300">
        <w:rPr>
          <w:rFonts w:ascii="Arial" w:hAnsi="Arial" w:cs="Arial"/>
          <w:lang w:val="en-US"/>
        </w:rPr>
        <w:t>)ordem</w:t>
      </w:r>
      <w:proofErr w:type="gramEnd"/>
      <w:r w:rsidRPr="00D86300">
        <w:rPr>
          <w:rFonts w:ascii="Arial" w:hAnsi="Arial" w:cs="Arial"/>
          <w:lang w:val="en-US"/>
        </w:rPr>
        <w:t>. Curitiba: CRV, 2024.</w:t>
      </w:r>
    </w:p>
    <w:p w:rsidR="006C4C09" w:rsidRPr="00D86300" w:rsidRDefault="006C4C09" w:rsidP="006C4C09">
      <w:pPr>
        <w:jc w:val="both"/>
        <w:rPr>
          <w:rFonts w:ascii="Arial" w:hAnsi="Arial" w:cs="Arial"/>
          <w:lang w:val="en-US"/>
        </w:rPr>
      </w:pPr>
      <w:proofErr w:type="gramStart"/>
      <w:r w:rsidRPr="00D86300">
        <w:rPr>
          <w:rFonts w:ascii="Arial" w:hAnsi="Arial" w:cs="Arial"/>
          <w:lang w:val="en-US"/>
        </w:rPr>
        <w:t>IBGE – Instituto Brasileiro de Geografia e Estatística.</w:t>
      </w:r>
      <w:proofErr w:type="gramEnd"/>
      <w:r w:rsidRPr="00D86300">
        <w:rPr>
          <w:rFonts w:ascii="Arial" w:hAnsi="Arial" w:cs="Arial"/>
          <w:lang w:val="en-US"/>
        </w:rPr>
        <w:t xml:space="preserve"> Censo Demográfico, 2022. [</w:t>
      </w:r>
      <w:proofErr w:type="gramStart"/>
      <w:r w:rsidRPr="00D86300">
        <w:rPr>
          <w:rFonts w:ascii="Arial" w:hAnsi="Arial" w:cs="Arial"/>
          <w:lang w:val="en-US"/>
        </w:rPr>
        <w:t>online</w:t>
      </w:r>
      <w:proofErr w:type="gramEnd"/>
      <w:r w:rsidRPr="00D86300">
        <w:rPr>
          <w:rFonts w:ascii="Arial" w:hAnsi="Arial" w:cs="Arial"/>
          <w:lang w:val="en-US"/>
        </w:rPr>
        <w:t>] Disponível em:</w:t>
      </w:r>
      <w:r w:rsidRPr="00D86300">
        <w:rPr>
          <w:rFonts w:ascii="Arial" w:hAnsi="Arial" w:cs="Arial"/>
        </w:rPr>
        <w:t xml:space="preserve"> </w:t>
      </w:r>
      <w:hyperlink r:id="rId19" w:history="1">
        <w:r w:rsidRPr="00D86300">
          <w:rPr>
            <w:rStyle w:val="Hyperlink"/>
            <w:rFonts w:ascii="Arial" w:hAnsi="Arial" w:cs="Arial"/>
            <w:lang w:val="en-US"/>
          </w:rPr>
          <w:t>https://cidades.ibge.gov.br/brasil/rj/itaperuna/panorama</w:t>
        </w:r>
      </w:hyperlink>
      <w:r w:rsidRPr="00D86300">
        <w:rPr>
          <w:rFonts w:ascii="Arial" w:hAnsi="Arial" w:cs="Arial"/>
          <w:lang w:val="en-US"/>
        </w:rPr>
        <w:t>. Acessado em 20 agosto de 2025</w:t>
      </w:r>
    </w:p>
    <w:p w:rsidR="006C4C09" w:rsidRPr="00D86300" w:rsidRDefault="006C4C09" w:rsidP="006C4C09">
      <w:pPr>
        <w:jc w:val="both"/>
        <w:rPr>
          <w:rFonts w:ascii="Arial" w:hAnsi="Arial" w:cs="Arial"/>
          <w:lang w:val="en-US"/>
        </w:rPr>
      </w:pPr>
      <w:proofErr w:type="gramStart"/>
      <w:r w:rsidRPr="00D86300">
        <w:rPr>
          <w:rFonts w:ascii="Arial" w:hAnsi="Arial" w:cs="Arial"/>
          <w:lang w:val="en-US"/>
        </w:rPr>
        <w:t>ÍNDICE FIRJAN DE DESENVOVIMENTO MUNICIPAL (IFDM).</w:t>
      </w:r>
      <w:proofErr w:type="gramEnd"/>
      <w:r w:rsidRPr="00D86300">
        <w:rPr>
          <w:rFonts w:ascii="Arial" w:hAnsi="Arial" w:cs="Arial"/>
          <w:lang w:val="en-US"/>
        </w:rPr>
        <w:t xml:space="preserve"> Rio de Janeiro: FIRJAN, edição 2025, ano base 2023. Capturado em: </w:t>
      </w:r>
      <w:hyperlink r:id="rId20" w:history="1">
        <w:r w:rsidRPr="00D86300">
          <w:rPr>
            <w:rStyle w:val="Hyperlink"/>
            <w:rFonts w:ascii="Arial" w:hAnsi="Arial" w:cs="Arial"/>
            <w:lang w:val="en-US"/>
          </w:rPr>
          <w:t>https://www.firjan.com.br/ifdm/consulta-ao-indice/ifdm</w:t>
        </w:r>
      </w:hyperlink>
      <w:r w:rsidRPr="00D86300">
        <w:rPr>
          <w:rFonts w:ascii="Arial" w:hAnsi="Arial" w:cs="Arial"/>
          <w:lang w:val="en-US"/>
        </w:rPr>
        <w:t>.</w:t>
      </w:r>
    </w:p>
    <w:p w:rsidR="006C4C09" w:rsidRPr="00D86300" w:rsidRDefault="006C4C09" w:rsidP="006C4C09">
      <w:pPr>
        <w:jc w:val="both"/>
        <w:rPr>
          <w:rFonts w:ascii="Arial" w:hAnsi="Arial" w:cs="Arial"/>
          <w:lang w:val="en-US"/>
        </w:rPr>
      </w:pPr>
      <w:r w:rsidRPr="00D86300">
        <w:rPr>
          <w:rFonts w:ascii="Arial" w:hAnsi="Arial" w:cs="Arial"/>
          <w:lang w:val="en-US"/>
        </w:rPr>
        <w:t xml:space="preserve">IPEA – Instituto de Pesquisa Econômica Aplicada. </w:t>
      </w:r>
      <w:proofErr w:type="gramStart"/>
      <w:r w:rsidRPr="00D86300">
        <w:rPr>
          <w:rFonts w:ascii="Arial" w:hAnsi="Arial" w:cs="Arial"/>
          <w:lang w:val="en-US"/>
        </w:rPr>
        <w:t>Atlas da Vulnerabilidade Social, 2010.</w:t>
      </w:r>
      <w:proofErr w:type="gramEnd"/>
      <w:r w:rsidRPr="00D86300">
        <w:rPr>
          <w:rFonts w:ascii="Arial" w:hAnsi="Arial" w:cs="Arial"/>
          <w:lang w:val="en-US"/>
        </w:rPr>
        <w:t xml:space="preserve"> [</w:t>
      </w:r>
      <w:proofErr w:type="gramStart"/>
      <w:r w:rsidRPr="00D86300">
        <w:rPr>
          <w:rFonts w:ascii="Arial" w:hAnsi="Arial" w:cs="Arial"/>
          <w:lang w:val="en-US"/>
        </w:rPr>
        <w:t>online</w:t>
      </w:r>
      <w:proofErr w:type="gramEnd"/>
      <w:r w:rsidRPr="00D86300">
        <w:rPr>
          <w:rFonts w:ascii="Arial" w:hAnsi="Arial" w:cs="Arial"/>
          <w:lang w:val="en-US"/>
        </w:rPr>
        <w:t xml:space="preserve">] Disponível em:    Fonte: https://dados.gov.br/dados/cojuntos-dados/ivs. </w:t>
      </w:r>
      <w:proofErr w:type="gramStart"/>
      <w:r w:rsidRPr="00D86300">
        <w:rPr>
          <w:rFonts w:ascii="Arial" w:hAnsi="Arial" w:cs="Arial"/>
          <w:lang w:val="en-US"/>
        </w:rPr>
        <w:t>Acessado em 25 de agosto de 2025.</w:t>
      </w:r>
      <w:proofErr w:type="gramEnd"/>
    </w:p>
    <w:p w:rsidR="006C4C09" w:rsidRDefault="006C4C09" w:rsidP="006C4C09">
      <w:pPr>
        <w:jc w:val="both"/>
        <w:rPr>
          <w:rFonts w:ascii="Arial" w:hAnsi="Arial" w:cs="Arial"/>
          <w:lang w:val="en-US"/>
        </w:rPr>
      </w:pPr>
      <w:proofErr w:type="gramStart"/>
      <w:r w:rsidRPr="00D86300">
        <w:rPr>
          <w:rFonts w:ascii="Arial" w:hAnsi="Arial" w:cs="Arial"/>
          <w:lang w:val="en-US"/>
        </w:rPr>
        <w:t>PNUD – PROGRAMA DAS NAÇÕES UNIDAS PARA O DESENVOLVIMENTO.</w:t>
      </w:r>
      <w:proofErr w:type="gramEnd"/>
      <w:r w:rsidRPr="00D86300">
        <w:rPr>
          <w:rFonts w:ascii="Arial" w:hAnsi="Arial" w:cs="Arial"/>
          <w:lang w:val="en-US"/>
        </w:rPr>
        <w:t xml:space="preserve"> Atlas </w:t>
      </w:r>
      <w:proofErr w:type="gramStart"/>
      <w:r w:rsidRPr="00D86300">
        <w:rPr>
          <w:rFonts w:ascii="Arial" w:hAnsi="Arial" w:cs="Arial"/>
          <w:lang w:val="en-US"/>
        </w:rPr>
        <w:t>do</w:t>
      </w:r>
      <w:proofErr w:type="gramEnd"/>
      <w:r w:rsidRPr="00D86300">
        <w:rPr>
          <w:rFonts w:ascii="Arial" w:hAnsi="Arial" w:cs="Arial"/>
          <w:lang w:val="en-US"/>
        </w:rPr>
        <w:t xml:space="preserve"> Desenvolvimento Humano. </w:t>
      </w:r>
      <w:proofErr w:type="gramStart"/>
      <w:r w:rsidRPr="00D86300">
        <w:rPr>
          <w:rFonts w:ascii="Arial" w:hAnsi="Arial" w:cs="Arial"/>
          <w:lang w:val="en-US"/>
        </w:rPr>
        <w:t>2010 [online].</w:t>
      </w:r>
      <w:proofErr w:type="gramEnd"/>
      <w:r w:rsidRPr="00D86300">
        <w:rPr>
          <w:rFonts w:ascii="Arial" w:hAnsi="Arial" w:cs="Arial"/>
          <w:lang w:val="en-US"/>
        </w:rPr>
        <w:t xml:space="preserve"> Disponível em: </w:t>
      </w:r>
      <w:hyperlink r:id="rId21" w:history="1">
        <w:r w:rsidRPr="00D86300">
          <w:rPr>
            <w:rStyle w:val="Hyperlink"/>
            <w:rFonts w:ascii="Arial" w:hAnsi="Arial" w:cs="Arial"/>
            <w:lang w:val="en-US"/>
          </w:rPr>
          <w:t>http://www.atlasbrasil.org.br/ranking</w:t>
        </w:r>
      </w:hyperlink>
      <w:r w:rsidRPr="00D86300">
        <w:rPr>
          <w:rFonts w:ascii="Arial" w:hAnsi="Arial" w:cs="Arial"/>
          <w:lang w:val="en-US"/>
        </w:rPr>
        <w:t xml:space="preserve">. </w:t>
      </w:r>
      <w:proofErr w:type="gramStart"/>
      <w:r w:rsidRPr="00D86300">
        <w:rPr>
          <w:rFonts w:ascii="Arial" w:hAnsi="Arial" w:cs="Arial"/>
          <w:lang w:val="en-US"/>
        </w:rPr>
        <w:t>Acessado em 22 de agosto de 2025.</w:t>
      </w:r>
      <w:proofErr w:type="gramEnd"/>
    </w:p>
    <w:p w:rsidR="006C4C09" w:rsidRPr="00D86300" w:rsidRDefault="006C4C09" w:rsidP="006C4C09">
      <w:pPr>
        <w:jc w:val="both"/>
        <w:rPr>
          <w:rFonts w:ascii="Arial" w:hAnsi="Arial" w:cs="Arial"/>
          <w:lang w:val="en-US"/>
        </w:rPr>
      </w:pPr>
      <w:proofErr w:type="gramStart"/>
      <w:r>
        <w:rPr>
          <w:rFonts w:ascii="Arial" w:hAnsi="Arial" w:cs="Arial"/>
          <w:lang w:val="en-US"/>
        </w:rPr>
        <w:t>Portal Qdu.</w:t>
      </w:r>
      <w:proofErr w:type="gramEnd"/>
      <w:r>
        <w:rPr>
          <w:rFonts w:ascii="Arial" w:hAnsi="Arial" w:cs="Arial"/>
          <w:lang w:val="en-US"/>
        </w:rPr>
        <w:t xml:space="preserve"> </w:t>
      </w:r>
      <w:proofErr w:type="gramStart"/>
      <w:r>
        <w:rPr>
          <w:rFonts w:ascii="Arial" w:hAnsi="Arial" w:cs="Arial"/>
          <w:lang w:val="en-US"/>
        </w:rPr>
        <w:t xml:space="preserve">Capturado em </w:t>
      </w:r>
      <w:hyperlink r:id="rId22" w:history="1">
        <w:r w:rsidRPr="00F50901">
          <w:rPr>
            <w:rStyle w:val="Hyperlink"/>
            <w:rFonts w:ascii="Arial" w:hAnsi="Arial" w:cs="Arial"/>
            <w:lang w:val="en-US"/>
          </w:rPr>
          <w:t>https://qedu.org.br/brasil/ideb</w:t>
        </w:r>
      </w:hyperlink>
      <w:r>
        <w:rPr>
          <w:rFonts w:ascii="Arial" w:hAnsi="Arial" w:cs="Arial"/>
          <w:lang w:val="en-US"/>
        </w:rPr>
        <w:t>.</w:t>
      </w:r>
      <w:proofErr w:type="gramEnd"/>
      <w:r>
        <w:rPr>
          <w:rFonts w:ascii="Arial" w:hAnsi="Arial" w:cs="Arial"/>
          <w:lang w:val="en-US"/>
        </w:rPr>
        <w:t xml:space="preserve"> Acesso em: 20/08/2025.</w:t>
      </w:r>
    </w:p>
    <w:p w:rsidR="006C4C09" w:rsidRPr="00D86300" w:rsidRDefault="006C4C09" w:rsidP="006C4C09">
      <w:pPr>
        <w:jc w:val="both"/>
        <w:rPr>
          <w:rFonts w:ascii="Arial" w:hAnsi="Arial" w:cs="Arial"/>
        </w:rPr>
      </w:pPr>
      <w:r w:rsidRPr="00D86300">
        <w:rPr>
          <w:rFonts w:ascii="Arial" w:hAnsi="Arial" w:cs="Arial"/>
        </w:rPr>
        <w:t xml:space="preserve">NUNES, Edson. Poder local, descentralização e democratização: um encontro difícil. </w:t>
      </w:r>
      <w:r w:rsidRPr="00D86300">
        <w:rPr>
          <w:rFonts w:ascii="Arial" w:hAnsi="Arial" w:cs="Arial"/>
          <w:b/>
        </w:rPr>
        <w:t>São Paulo em Perspectiva</w:t>
      </w:r>
      <w:r w:rsidRPr="00D86300">
        <w:rPr>
          <w:rFonts w:ascii="Arial" w:hAnsi="Arial" w:cs="Arial"/>
        </w:rPr>
        <w:t>, São Paulo, v.10, n.3, jul./set. 1996.</w:t>
      </w:r>
    </w:p>
    <w:p w:rsidR="006C4C09" w:rsidRPr="008B5DE9" w:rsidRDefault="006C4C09" w:rsidP="006C4C09">
      <w:pPr>
        <w:jc w:val="both"/>
        <w:rPr>
          <w:rFonts w:ascii="Arial" w:hAnsi="Arial" w:cs="Arial"/>
        </w:rPr>
      </w:pPr>
      <w:r w:rsidRPr="00D86300">
        <w:rPr>
          <w:rFonts w:ascii="Arial" w:hAnsi="Arial" w:cs="Arial"/>
        </w:rPr>
        <w:t xml:space="preserve">TCERJ – Tribunal de Contas do Estado do Rio de Janeiro. Estudos socioeconômicos: municípios do Estado do Rio de Janeiro, 2021, [Itaperuna]. Disponível em: </w:t>
      </w:r>
      <w:hyperlink r:id="rId23" w:history="1">
        <w:r w:rsidRPr="00D86300">
          <w:rPr>
            <w:rFonts w:ascii="Arial" w:hAnsi="Arial" w:cs="Arial"/>
          </w:rPr>
          <w:t>https://www.tcerj.tc.br/portalnovo/publicadordearquivo/estudos_socioeconomicos</w:t>
        </w:r>
      </w:hyperlink>
      <w:r w:rsidRPr="00D86300">
        <w:rPr>
          <w:rFonts w:ascii="Arial" w:hAnsi="Arial" w:cs="Arial"/>
        </w:rPr>
        <w:t>. A</w:t>
      </w:r>
      <w:r>
        <w:rPr>
          <w:rFonts w:ascii="Arial" w:hAnsi="Arial" w:cs="Arial"/>
        </w:rPr>
        <w:t>cessado em 2</w:t>
      </w:r>
      <w:r w:rsidR="00715939">
        <w:rPr>
          <w:rFonts w:ascii="Arial" w:hAnsi="Arial" w:cs="Arial"/>
        </w:rPr>
        <w:t>6 de agosto de 2025.</w:t>
      </w:r>
    </w:p>
    <w:p w:rsidR="006C4C09" w:rsidRPr="008C386E" w:rsidRDefault="006C4C09" w:rsidP="001D6C2F">
      <w:pPr>
        <w:spacing w:line="360" w:lineRule="auto"/>
        <w:ind w:firstLine="851"/>
        <w:jc w:val="both"/>
        <w:rPr>
          <w:rFonts w:ascii="Arial" w:hAnsi="Arial" w:cs="Arial"/>
          <w:color w:val="FF0000"/>
          <w:lang w:val="en-US"/>
        </w:rPr>
      </w:pPr>
    </w:p>
    <w:p w:rsidR="00235886" w:rsidRPr="004739E0" w:rsidRDefault="00235886" w:rsidP="00136A83">
      <w:pPr>
        <w:pStyle w:val="IDpaper-Text"/>
        <w:widowControl/>
        <w:spacing w:after="0" w:line="360" w:lineRule="auto"/>
        <w:ind w:firstLine="851"/>
        <w:jc w:val="both"/>
        <w:rPr>
          <w:rFonts w:cs="Arial"/>
          <w:sz w:val="22"/>
          <w:lang w:val="pt-BR"/>
        </w:rPr>
      </w:pPr>
    </w:p>
    <w:p w:rsidR="00235886" w:rsidRPr="004739E0" w:rsidRDefault="00235886" w:rsidP="00136A83">
      <w:pPr>
        <w:pStyle w:val="ListParagraph"/>
        <w:spacing w:after="0" w:line="360" w:lineRule="auto"/>
        <w:ind w:left="0"/>
        <w:jc w:val="both"/>
        <w:rPr>
          <w:rFonts w:ascii="Arial" w:hAnsi="Arial" w:cs="Arial"/>
          <w:b/>
          <w:sz w:val="20"/>
          <w:szCs w:val="20"/>
        </w:rPr>
      </w:pPr>
    </w:p>
    <w:p w:rsidR="00235886" w:rsidRDefault="00235886" w:rsidP="00136A83">
      <w:pPr>
        <w:spacing w:line="360" w:lineRule="auto"/>
        <w:jc w:val="both"/>
        <w:rPr>
          <w:rFonts w:ascii="Arial" w:hAnsi="Arial" w:cs="Arial"/>
          <w:b/>
          <w:sz w:val="20"/>
          <w:szCs w:val="20"/>
        </w:rPr>
      </w:pPr>
    </w:p>
    <w:p w:rsidR="00235886" w:rsidRPr="004739E0" w:rsidRDefault="00235886" w:rsidP="00FB64BA">
      <w:pPr>
        <w:spacing w:line="360" w:lineRule="auto"/>
        <w:jc w:val="both"/>
        <w:rPr>
          <w:rFonts w:ascii="Arial" w:hAnsi="Arial" w:cs="Arial"/>
          <w:sz w:val="22"/>
          <w:szCs w:val="22"/>
        </w:rPr>
      </w:pPr>
    </w:p>
    <w:p w:rsidR="00235886" w:rsidRPr="004739E0" w:rsidRDefault="00235886" w:rsidP="00FB64BA">
      <w:pPr>
        <w:pStyle w:val="Default"/>
        <w:spacing w:line="360" w:lineRule="auto"/>
        <w:ind w:firstLine="567"/>
        <w:jc w:val="both"/>
        <w:rPr>
          <w:sz w:val="22"/>
          <w:szCs w:val="20"/>
        </w:rPr>
      </w:pPr>
    </w:p>
    <w:p w:rsidR="00235886" w:rsidRPr="004739E0" w:rsidRDefault="00235886" w:rsidP="00FB64BA">
      <w:pPr>
        <w:spacing w:line="360" w:lineRule="auto"/>
        <w:jc w:val="both"/>
        <w:rPr>
          <w:rFonts w:ascii="Arial" w:hAnsi="Arial" w:cs="Arial"/>
          <w:sz w:val="22"/>
          <w:szCs w:val="20"/>
        </w:rPr>
      </w:pPr>
    </w:p>
    <w:p w:rsidR="00235886" w:rsidRPr="004739E0" w:rsidRDefault="00235886" w:rsidP="00FB64BA">
      <w:pPr>
        <w:pStyle w:val="Default"/>
        <w:spacing w:line="360" w:lineRule="auto"/>
        <w:rPr>
          <w:sz w:val="22"/>
          <w:szCs w:val="20"/>
        </w:rPr>
      </w:pPr>
    </w:p>
    <w:p w:rsidR="00235886" w:rsidRPr="004739E0" w:rsidRDefault="00235886" w:rsidP="00FB64BA">
      <w:pPr>
        <w:spacing w:line="360" w:lineRule="auto"/>
        <w:jc w:val="both"/>
        <w:rPr>
          <w:rFonts w:ascii="Arial" w:hAnsi="Arial" w:cs="Arial"/>
          <w:sz w:val="20"/>
          <w:szCs w:val="20"/>
        </w:rPr>
      </w:pPr>
    </w:p>
    <w:p w:rsidR="00235886" w:rsidRPr="004739E0" w:rsidRDefault="00235886" w:rsidP="00FB64BA">
      <w:pPr>
        <w:spacing w:line="360" w:lineRule="auto"/>
        <w:jc w:val="both"/>
        <w:rPr>
          <w:rFonts w:ascii="Arial" w:hAnsi="Arial" w:cs="Arial"/>
          <w:sz w:val="20"/>
          <w:szCs w:val="20"/>
        </w:rPr>
      </w:pPr>
    </w:p>
    <w:p w:rsidR="004B5C77" w:rsidRPr="004739E0" w:rsidRDefault="004B5C77" w:rsidP="00FB64BA">
      <w:pPr>
        <w:spacing w:line="360" w:lineRule="auto"/>
        <w:jc w:val="both"/>
        <w:rPr>
          <w:rFonts w:ascii="Arial" w:hAnsi="Arial" w:cs="Arial"/>
          <w:bCs/>
          <w:sz w:val="22"/>
          <w:szCs w:val="20"/>
        </w:rPr>
      </w:pPr>
    </w:p>
    <w:p w:rsidR="00235886" w:rsidRPr="004739E0" w:rsidRDefault="00235886" w:rsidP="0036438F">
      <w:pPr>
        <w:pStyle w:val="Default"/>
        <w:spacing w:line="360" w:lineRule="auto"/>
        <w:jc w:val="both"/>
        <w:rPr>
          <w:sz w:val="22"/>
          <w:szCs w:val="22"/>
        </w:rPr>
      </w:pPr>
    </w:p>
    <w:p w:rsidR="00104A10" w:rsidRPr="0036438F" w:rsidRDefault="00104A10" w:rsidP="00104A10">
      <w:pPr>
        <w:spacing w:line="360" w:lineRule="auto"/>
        <w:ind w:left="2268"/>
        <w:jc w:val="both"/>
        <w:rPr>
          <w:rFonts w:ascii="Arial" w:hAnsi="Arial" w:cs="Arial"/>
          <w:color w:val="FF0000"/>
          <w:sz w:val="20"/>
          <w:szCs w:val="20"/>
        </w:rPr>
      </w:pPr>
    </w:p>
    <w:p w:rsidR="004B5C77" w:rsidRPr="004739E0" w:rsidRDefault="004B5C77" w:rsidP="00EE4C8F">
      <w:pPr>
        <w:jc w:val="both"/>
        <w:rPr>
          <w:rFonts w:ascii="Arial" w:hAnsi="Arial" w:cs="Arial"/>
          <w:sz w:val="18"/>
          <w:szCs w:val="20"/>
        </w:rPr>
      </w:pPr>
    </w:p>
    <w:p w:rsidR="004B5C77" w:rsidRPr="004739E0" w:rsidRDefault="004B5C77" w:rsidP="00104A10">
      <w:pPr>
        <w:spacing w:line="360" w:lineRule="auto"/>
        <w:jc w:val="both"/>
        <w:rPr>
          <w:rFonts w:ascii="Arial" w:hAnsi="Arial" w:cs="Arial"/>
        </w:rPr>
      </w:pPr>
    </w:p>
    <w:p w:rsidR="004B5C77" w:rsidRPr="004739E0" w:rsidRDefault="004B5C77" w:rsidP="00104A10">
      <w:pPr>
        <w:spacing w:line="360" w:lineRule="auto"/>
        <w:jc w:val="both"/>
        <w:rPr>
          <w:rFonts w:ascii="Arial" w:hAnsi="Arial" w:cs="Arial"/>
          <w:sz w:val="18"/>
          <w:szCs w:val="20"/>
        </w:rPr>
      </w:pPr>
    </w:p>
    <w:p w:rsidR="00104A10" w:rsidRPr="00104A10" w:rsidRDefault="00104A10" w:rsidP="00104A10">
      <w:pPr>
        <w:spacing w:line="360" w:lineRule="auto"/>
        <w:jc w:val="both"/>
        <w:rPr>
          <w:rFonts w:ascii="Arial" w:hAnsi="Arial" w:cs="Arial"/>
          <w:b/>
        </w:rPr>
      </w:pPr>
    </w:p>
    <w:p w:rsidR="00F01EBE" w:rsidRPr="004739E0" w:rsidRDefault="00F01EBE" w:rsidP="00C67A4C">
      <w:pPr>
        <w:spacing w:line="360" w:lineRule="auto"/>
        <w:jc w:val="both"/>
        <w:rPr>
          <w:rFonts w:ascii="Arial" w:hAnsi="Arial" w:cs="Arial"/>
          <w:bCs/>
          <w:sz w:val="22"/>
          <w:szCs w:val="20"/>
        </w:rPr>
      </w:pPr>
    </w:p>
    <w:p w:rsidR="00235886" w:rsidRPr="00104A10" w:rsidRDefault="00235886" w:rsidP="00104A10">
      <w:pPr>
        <w:rPr>
          <w:rFonts w:ascii="Arial" w:hAnsi="Arial" w:cs="Arial"/>
        </w:rPr>
      </w:pPr>
    </w:p>
    <w:p w:rsidR="00235886" w:rsidRPr="00104A10" w:rsidRDefault="00235886" w:rsidP="00104A10">
      <w:pPr>
        <w:rPr>
          <w:rFonts w:ascii="Arial" w:hAnsi="Arial" w:cs="Arial"/>
        </w:rPr>
      </w:pPr>
    </w:p>
    <w:p w:rsidR="00235886" w:rsidRPr="00104A10" w:rsidRDefault="00235886" w:rsidP="00104A10">
      <w:pPr>
        <w:pStyle w:val="ListParagraph"/>
        <w:spacing w:after="0" w:line="240" w:lineRule="auto"/>
        <w:ind w:left="0"/>
        <w:rPr>
          <w:rFonts w:ascii="Arial" w:hAnsi="Arial" w:cs="Arial"/>
          <w:sz w:val="24"/>
          <w:szCs w:val="24"/>
        </w:rPr>
      </w:pPr>
    </w:p>
    <w:p w:rsidR="00235886" w:rsidRPr="004739E0" w:rsidRDefault="00235886" w:rsidP="00EE4C8F">
      <w:pPr>
        <w:spacing w:line="276" w:lineRule="auto"/>
        <w:rPr>
          <w:rFonts w:ascii="Arial" w:hAnsi="Arial" w:cs="Arial"/>
          <w:sz w:val="22"/>
          <w:szCs w:val="22"/>
        </w:rPr>
      </w:pPr>
    </w:p>
    <w:p w:rsidR="00235886" w:rsidRPr="004739E0" w:rsidRDefault="00235886" w:rsidP="00EE4C8F">
      <w:pPr>
        <w:autoSpaceDE w:val="0"/>
        <w:autoSpaceDN w:val="0"/>
        <w:adjustRightInd w:val="0"/>
        <w:spacing w:line="276" w:lineRule="auto"/>
        <w:ind w:firstLine="851"/>
        <w:rPr>
          <w:rFonts w:ascii="Arial" w:hAnsi="Arial" w:cs="Arial"/>
          <w:sz w:val="22"/>
          <w:szCs w:val="22"/>
        </w:rPr>
      </w:pPr>
    </w:p>
    <w:sectPr w:rsidR="00235886" w:rsidRPr="004739E0" w:rsidSect="00490E5B">
      <w:headerReference w:type="default" r:id="rId24"/>
      <w:footerReference w:type="default" r:id="rId25"/>
      <w:headerReference w:type="first" r:id="rId26"/>
      <w:pgSz w:w="11906" w:h="16838"/>
      <w:pgMar w:top="1417" w:right="1701" w:bottom="1417"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827" w:rsidRDefault="00AE3827">
      <w:r>
        <w:separator/>
      </w:r>
    </w:p>
  </w:endnote>
  <w:endnote w:type="continuationSeparator" w:id="0">
    <w:p w:rsidR="00AE3827" w:rsidRDefault="00AE38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8" w:rsidRPr="003E782A" w:rsidRDefault="00654057">
    <w:pPr>
      <w:pStyle w:val="Footer"/>
      <w:jc w:val="center"/>
      <w:rPr>
        <w:rFonts w:ascii="Calibri" w:hAnsi="Calibri" w:cs="Calibri"/>
        <w:sz w:val="20"/>
      </w:rPr>
    </w:pPr>
    <w:r w:rsidRPr="003E782A">
      <w:rPr>
        <w:rFonts w:ascii="Calibri" w:hAnsi="Calibri" w:cs="Calibri"/>
        <w:sz w:val="20"/>
      </w:rPr>
      <w:fldChar w:fldCharType="begin"/>
    </w:r>
    <w:r w:rsidR="00C776E8" w:rsidRPr="003E782A">
      <w:rPr>
        <w:rFonts w:ascii="Calibri" w:hAnsi="Calibri" w:cs="Calibri"/>
        <w:sz w:val="20"/>
      </w:rPr>
      <w:instrText xml:space="preserve"> PAGE   \* MERGEFORMAT </w:instrText>
    </w:r>
    <w:r w:rsidRPr="003E782A">
      <w:rPr>
        <w:rFonts w:ascii="Calibri" w:hAnsi="Calibri" w:cs="Calibri"/>
        <w:sz w:val="20"/>
      </w:rPr>
      <w:fldChar w:fldCharType="separate"/>
    </w:r>
    <w:r w:rsidR="004E3E90">
      <w:rPr>
        <w:rFonts w:ascii="Calibri" w:hAnsi="Calibri" w:cs="Calibri"/>
        <w:noProof/>
        <w:sz w:val="20"/>
      </w:rPr>
      <w:t>19</w:t>
    </w:r>
    <w:r w:rsidRPr="003E782A">
      <w:rPr>
        <w:rFonts w:ascii="Calibri" w:hAnsi="Calibri" w:cs="Calibri"/>
        <w:sz w:val="20"/>
      </w:rPr>
      <w:fldChar w:fldCharType="end"/>
    </w:r>
  </w:p>
  <w:p w:rsidR="00C776E8" w:rsidRDefault="00C776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827" w:rsidRDefault="00AE3827">
      <w:r>
        <w:separator/>
      </w:r>
    </w:p>
  </w:footnote>
  <w:footnote w:type="continuationSeparator" w:id="0">
    <w:p w:rsidR="00AE3827" w:rsidRDefault="00AE3827">
      <w:r>
        <w:continuationSeparator/>
      </w:r>
    </w:p>
  </w:footnote>
  <w:footnote w:id="1">
    <w:p w:rsidR="00D12011" w:rsidRDefault="00D12011" w:rsidP="00D10589">
      <w:pPr>
        <w:pStyle w:val="FootnoteText"/>
        <w:jc w:val="both"/>
      </w:pPr>
      <w:r>
        <w:rPr>
          <w:rStyle w:val="FootnoteReference"/>
        </w:rPr>
        <w:footnoteRef/>
      </w:r>
      <w:r>
        <w:t xml:space="preserve"> </w:t>
      </w:r>
      <w:r w:rsidR="00D10589" w:rsidRPr="004777F5">
        <w:rPr>
          <w:rFonts w:ascii="Arial" w:hAnsi="Arial" w:cs="Arial"/>
          <w:lang w:val="en-US"/>
        </w:rPr>
        <w:t xml:space="preserve">Economista e Geógrafo, Mestre em Economia e Doutorando em Planejamento Regional e Gestão da Cidade </w:t>
      </w:r>
      <w:proofErr w:type="gramStart"/>
      <w:r w:rsidR="00D10589" w:rsidRPr="004777F5">
        <w:rPr>
          <w:rFonts w:ascii="Arial" w:hAnsi="Arial" w:cs="Arial"/>
          <w:lang w:val="en-US"/>
        </w:rPr>
        <w:t>na</w:t>
      </w:r>
      <w:proofErr w:type="gramEnd"/>
      <w:r w:rsidR="00D10589" w:rsidRPr="004777F5">
        <w:rPr>
          <w:rFonts w:ascii="Arial" w:hAnsi="Arial" w:cs="Arial"/>
          <w:lang w:val="en-US"/>
        </w:rPr>
        <w:t xml:space="preserve"> Universidade Candido Mendes.</w:t>
      </w:r>
      <w:r w:rsidR="00D10589">
        <w:rPr>
          <w:rFonts w:ascii="Arial" w:hAnsi="Arial" w:cs="Arial"/>
          <w:lang w:val="en-US"/>
        </w:rPr>
        <w:t xml:space="preserve"> E-mail: juancarlosgalante@gmail.com.</w:t>
      </w:r>
    </w:p>
  </w:footnote>
  <w:footnote w:id="2">
    <w:p w:rsidR="00D12011" w:rsidRDefault="00D12011" w:rsidP="00D10589">
      <w:pPr>
        <w:pStyle w:val="FootnoteText"/>
        <w:jc w:val="both"/>
      </w:pPr>
      <w:r>
        <w:rPr>
          <w:rStyle w:val="FootnoteReference"/>
        </w:rPr>
        <w:footnoteRef/>
      </w:r>
      <w:r>
        <w:t xml:space="preserve"> </w:t>
      </w:r>
      <w:r w:rsidR="00D10589">
        <w:rPr>
          <w:rFonts w:ascii="Arial" w:hAnsi="Arial" w:cs="Arial"/>
          <w:lang w:val="en-US"/>
        </w:rPr>
        <w:t>Doutor em Sociologia Política</w:t>
      </w:r>
      <w:r w:rsidR="00D10589" w:rsidRPr="004777F5">
        <w:rPr>
          <w:rFonts w:ascii="Arial" w:hAnsi="Arial" w:cs="Arial"/>
          <w:lang w:val="en-US"/>
        </w:rPr>
        <w:t xml:space="preserve">, Administrador e Professor </w:t>
      </w:r>
      <w:proofErr w:type="gramStart"/>
      <w:r w:rsidR="00D10589" w:rsidRPr="004777F5">
        <w:rPr>
          <w:rFonts w:ascii="Arial" w:hAnsi="Arial" w:cs="Arial"/>
          <w:lang w:val="en-US"/>
        </w:rPr>
        <w:t>do</w:t>
      </w:r>
      <w:proofErr w:type="gramEnd"/>
      <w:r w:rsidR="00D10589" w:rsidRPr="004777F5">
        <w:rPr>
          <w:rFonts w:ascii="Arial" w:hAnsi="Arial" w:cs="Arial"/>
          <w:lang w:val="en-US"/>
        </w:rPr>
        <w:t xml:space="preserve"> Programa de Pós-Graduação da Universidade Candido Mendes.</w:t>
      </w:r>
      <w:r w:rsidR="00D10589">
        <w:rPr>
          <w:rFonts w:ascii="Arial" w:hAnsi="Arial" w:cs="Arial"/>
          <w:lang w:val="en-US"/>
        </w:rPr>
        <w:t xml:space="preserve"> E-mail: </w:t>
      </w:r>
      <w:r w:rsidR="00D10589" w:rsidRPr="005A4A91">
        <w:rPr>
          <w:rFonts w:ascii="Arial" w:hAnsi="Arial" w:cs="Arial"/>
          <w:lang w:val="en-US"/>
        </w:rPr>
        <w:t>rodrigoanidolira@gmail.com</w:t>
      </w:r>
      <w:r w:rsidR="00D10589">
        <w:rPr>
          <w:rFonts w:ascii="Arial" w:hAnsi="Arial" w:cs="Arial"/>
          <w:lang w:val="en-US"/>
        </w:rPr>
        <w:t>.</w:t>
      </w:r>
    </w:p>
  </w:footnote>
  <w:footnote w:id="3">
    <w:p w:rsidR="00062C9D" w:rsidRPr="00062C9D" w:rsidRDefault="00062C9D" w:rsidP="00D10589">
      <w:pPr>
        <w:pStyle w:val="FootnoteText"/>
        <w:jc w:val="both"/>
        <w:rPr>
          <w:lang w:val="en-US"/>
        </w:rPr>
      </w:pPr>
      <w:r>
        <w:rPr>
          <w:rStyle w:val="FootnoteReference"/>
        </w:rPr>
        <w:footnoteRef/>
      </w:r>
      <w:r>
        <w:t xml:space="preserve"> </w:t>
      </w:r>
      <w:r w:rsidR="00D10589" w:rsidRPr="004777F5">
        <w:rPr>
          <w:rFonts w:ascii="Arial" w:hAnsi="Arial" w:cs="Arial"/>
          <w:lang w:val="en-US"/>
        </w:rPr>
        <w:t>Doutor em Engenharia</w:t>
      </w:r>
      <w:r w:rsidR="00D10589">
        <w:rPr>
          <w:rFonts w:ascii="Arial" w:hAnsi="Arial" w:cs="Arial"/>
          <w:lang w:val="en-US"/>
        </w:rPr>
        <w:t xml:space="preserve"> de Produção, Pr</w:t>
      </w:r>
      <w:r w:rsidR="00D10589" w:rsidRPr="004777F5">
        <w:rPr>
          <w:rFonts w:ascii="Arial" w:hAnsi="Arial" w:cs="Arial"/>
          <w:lang w:val="en-US"/>
        </w:rPr>
        <w:t xml:space="preserve">ofessor </w:t>
      </w:r>
      <w:proofErr w:type="gramStart"/>
      <w:r w:rsidR="00D10589" w:rsidRPr="004777F5">
        <w:rPr>
          <w:rFonts w:ascii="Arial" w:hAnsi="Arial" w:cs="Arial"/>
          <w:lang w:val="en-US"/>
        </w:rPr>
        <w:t>do</w:t>
      </w:r>
      <w:proofErr w:type="gramEnd"/>
      <w:r w:rsidR="00D10589" w:rsidRPr="004777F5">
        <w:rPr>
          <w:rFonts w:ascii="Arial" w:hAnsi="Arial" w:cs="Arial"/>
          <w:lang w:val="en-US"/>
        </w:rPr>
        <w:t xml:space="preserve"> Programa de Pós-Graduação da Universidade Candido Mendes</w:t>
      </w:r>
      <w:r w:rsidR="00D10589">
        <w:rPr>
          <w:rFonts w:ascii="Arial" w:hAnsi="Arial" w:cs="Arial"/>
          <w:lang w:val="en-US"/>
        </w:rPr>
        <w:t xml:space="preserve"> e do Instituto Federal Fluminense</w:t>
      </w:r>
      <w:r w:rsidR="00D10589" w:rsidRPr="004777F5">
        <w:rPr>
          <w:rFonts w:ascii="Arial" w:hAnsi="Arial" w:cs="Arial"/>
          <w:lang w:val="en-US"/>
        </w:rPr>
        <w:t>.</w:t>
      </w:r>
      <w:r w:rsidR="00D10589">
        <w:rPr>
          <w:rFonts w:ascii="Arial" w:hAnsi="Arial" w:cs="Arial"/>
          <w:lang w:val="en-US"/>
        </w:rPr>
        <w:t xml:space="preserve"> E-mail: </w:t>
      </w:r>
      <w:r w:rsidR="00D10589" w:rsidRPr="005A4A91">
        <w:rPr>
          <w:rFonts w:ascii="Arial" w:hAnsi="Arial" w:cs="Arial"/>
          <w:lang w:val="en-US"/>
        </w:rPr>
        <w:t>romeuesilvaneto@gmail.com</w:t>
      </w:r>
      <w:r w:rsidR="00D10589">
        <w:rPr>
          <w:rFonts w:ascii="Arial" w:hAnsi="Arial" w:cs="Arial"/>
          <w:lang w:val="en-US"/>
        </w:rPr>
        <w:t>.</w:t>
      </w:r>
    </w:p>
  </w:footnote>
  <w:footnote w:id="4">
    <w:p w:rsidR="001D6C2F" w:rsidRPr="00D86300" w:rsidRDefault="001D6C2F" w:rsidP="001D6C2F">
      <w:pPr>
        <w:pStyle w:val="FootnoteText"/>
        <w:rPr>
          <w:rFonts w:ascii="Arial" w:hAnsi="Arial" w:cs="Arial"/>
          <w:lang w:val="en-US"/>
        </w:rPr>
      </w:pPr>
      <w:r w:rsidRPr="00D86300">
        <w:rPr>
          <w:rStyle w:val="FootnoteReference"/>
          <w:rFonts w:ascii="Arial" w:hAnsi="Arial" w:cs="Arial"/>
        </w:rPr>
        <w:footnoteRef/>
      </w:r>
      <w:r w:rsidRPr="00D86300">
        <w:rPr>
          <w:rFonts w:ascii="Arial" w:hAnsi="Arial" w:cs="Arial"/>
        </w:rPr>
        <w:t xml:space="preserve"> </w:t>
      </w:r>
      <w:proofErr w:type="gramStart"/>
      <w:r w:rsidRPr="00D86300">
        <w:rPr>
          <w:rFonts w:ascii="Arial" w:hAnsi="Arial" w:cs="Arial"/>
          <w:lang w:val="en-US"/>
        </w:rPr>
        <w:t>O IDH de 2020 ainda não foi divulgado pelo PNUD.</w:t>
      </w:r>
      <w:proofErr w:type="gramEnd"/>
    </w:p>
  </w:footnote>
  <w:footnote w:id="5">
    <w:p w:rsidR="006C4C09" w:rsidRPr="003211FE" w:rsidRDefault="006C4C09" w:rsidP="006C4C09">
      <w:pPr>
        <w:pStyle w:val="FootnoteText"/>
        <w:rPr>
          <w:rFonts w:ascii="Arial" w:hAnsi="Arial" w:cs="Arial"/>
          <w:lang w:val="en-US"/>
        </w:rPr>
      </w:pPr>
      <w:r w:rsidRPr="003211FE">
        <w:rPr>
          <w:rStyle w:val="FootnoteReference"/>
          <w:rFonts w:ascii="Arial" w:hAnsi="Arial" w:cs="Arial"/>
        </w:rPr>
        <w:footnoteRef/>
      </w:r>
      <w:r w:rsidRPr="003211FE">
        <w:rPr>
          <w:rFonts w:ascii="Arial" w:hAnsi="Arial" w:cs="Arial"/>
        </w:rPr>
        <w:t xml:space="preserve"> </w:t>
      </w:r>
      <w:r w:rsidRPr="003211FE">
        <w:rPr>
          <w:rFonts w:ascii="Arial" w:hAnsi="Arial" w:cs="Arial"/>
          <w:lang w:val="en-US"/>
        </w:rPr>
        <w:t>Este com sede na Vila Aré (https://</w:t>
      </w:r>
      <w:proofErr w:type="gramStart"/>
      <w:r w:rsidRPr="003211FE">
        <w:rPr>
          <w:rFonts w:ascii="Arial" w:hAnsi="Arial" w:cs="Arial"/>
          <w:lang w:val="en-US"/>
        </w:rPr>
        <w:t>biblio</w:t>
      </w:r>
      <w:r>
        <w:rPr>
          <w:rFonts w:ascii="Arial" w:hAnsi="Arial" w:cs="Arial"/>
          <w:lang w:val="en-US"/>
        </w:rPr>
        <w:t>teca.ibge.gov.br .</w:t>
      </w:r>
      <w:proofErr w:type="gramEnd"/>
      <w:r>
        <w:rPr>
          <w:rFonts w:ascii="Arial" w:hAnsi="Arial" w:cs="Arial"/>
          <w:lang w:val="en-US"/>
        </w:rPr>
        <w:t xml:space="preserve"> </w:t>
      </w:r>
      <w:proofErr w:type="gramStart"/>
      <w:r>
        <w:rPr>
          <w:rFonts w:ascii="Arial" w:hAnsi="Arial" w:cs="Arial"/>
          <w:lang w:val="en-US"/>
        </w:rPr>
        <w:t>Acesso em 15/08/2025.</w:t>
      </w:r>
      <w:proofErr w:type="gramEnd"/>
    </w:p>
  </w:footnote>
  <w:footnote w:id="6">
    <w:p w:rsidR="006C4C09" w:rsidRPr="006D69D2" w:rsidRDefault="006C4C09" w:rsidP="006C4C09">
      <w:pPr>
        <w:pStyle w:val="FootnoteText"/>
        <w:rPr>
          <w:rFonts w:ascii="Arial" w:hAnsi="Arial" w:cs="Arial"/>
          <w:lang w:val="en-US"/>
        </w:rPr>
      </w:pPr>
      <w:r w:rsidRPr="006D69D2">
        <w:rPr>
          <w:rStyle w:val="FootnoteReference"/>
          <w:rFonts w:ascii="Arial" w:hAnsi="Arial" w:cs="Arial"/>
        </w:rPr>
        <w:footnoteRef/>
      </w:r>
      <w:r w:rsidRPr="006D69D2">
        <w:rPr>
          <w:rFonts w:ascii="Arial" w:hAnsi="Arial" w:cs="Arial"/>
        </w:rPr>
        <w:t xml:space="preserve"> </w:t>
      </w:r>
      <w:proofErr w:type="gramStart"/>
      <w:r w:rsidRPr="006D69D2">
        <w:rPr>
          <w:rFonts w:ascii="Arial" w:hAnsi="Arial" w:cs="Arial"/>
          <w:lang w:val="en-US"/>
        </w:rPr>
        <w:t>E suas respectivas Secretarias, órgãos e unidades administrativas.</w:t>
      </w:r>
      <w:proofErr w:type="gramEnd"/>
    </w:p>
  </w:footnote>
  <w:footnote w:id="7">
    <w:p w:rsidR="006C4C09" w:rsidRPr="00DC587F" w:rsidRDefault="006C4C09" w:rsidP="006C4C09">
      <w:pPr>
        <w:pStyle w:val="FootnoteText"/>
        <w:rPr>
          <w:lang w:val="en-US"/>
        </w:rPr>
      </w:pPr>
      <w:r>
        <w:rPr>
          <w:rStyle w:val="FootnoteReference"/>
        </w:rPr>
        <w:footnoteRef/>
      </w:r>
      <w:r>
        <w:t xml:space="preserve"> </w:t>
      </w:r>
      <w:r>
        <w:rPr>
          <w:lang w:val="en-US"/>
        </w:rPr>
        <w:t xml:space="preserve">E ambientais </w:t>
      </w:r>
      <w:proofErr w:type="gramStart"/>
      <w:r>
        <w:rPr>
          <w:lang w:val="en-US"/>
        </w:rPr>
        <w:t>como</w:t>
      </w:r>
      <w:proofErr w:type="gramEnd"/>
      <w:r>
        <w:rPr>
          <w:lang w:val="en-US"/>
        </w:rPr>
        <w:t xml:space="preserve"> o Índice de Desenvolvimento Sustentável das Cidades (IDSC).</w:t>
      </w:r>
    </w:p>
  </w:footnote>
  <w:footnote w:id="8">
    <w:p w:rsidR="006C4C09" w:rsidRPr="000A1A64" w:rsidRDefault="006C4C09" w:rsidP="006C4C09">
      <w:pPr>
        <w:pStyle w:val="FootnoteText"/>
        <w:rPr>
          <w:rFonts w:ascii="Arial" w:hAnsi="Arial" w:cs="Arial"/>
          <w:lang w:val="en-US"/>
        </w:rPr>
      </w:pPr>
      <w:r w:rsidRPr="000A1A64">
        <w:rPr>
          <w:rStyle w:val="FootnoteReference"/>
          <w:rFonts w:ascii="Arial" w:hAnsi="Arial" w:cs="Arial"/>
        </w:rPr>
        <w:footnoteRef/>
      </w:r>
      <w:r w:rsidRPr="000A1A64">
        <w:rPr>
          <w:rFonts w:ascii="Arial" w:hAnsi="Arial" w:cs="Arial"/>
        </w:rPr>
        <w:t xml:space="preserve"> C</w:t>
      </w:r>
      <w:r w:rsidRPr="000A1A64">
        <w:rPr>
          <w:rFonts w:ascii="Arial" w:hAnsi="Arial" w:cs="Arial"/>
          <w:lang w:val="en-US"/>
        </w:rPr>
        <w:t>rescimento econômico medido</w:t>
      </w:r>
      <w:r>
        <w:rPr>
          <w:rFonts w:ascii="Arial" w:hAnsi="Arial" w:cs="Arial"/>
          <w:lang w:val="en-US"/>
        </w:rPr>
        <w:t xml:space="preserve"> somente</w:t>
      </w:r>
      <w:r w:rsidRPr="000A1A64">
        <w:rPr>
          <w:rFonts w:ascii="Arial" w:hAnsi="Arial" w:cs="Arial"/>
          <w:lang w:val="en-US"/>
        </w:rPr>
        <w:t xml:space="preserve"> pela variação do Produto Interno Bruto – PIB.</w:t>
      </w:r>
    </w:p>
  </w:footnote>
  <w:footnote w:id="9">
    <w:p w:rsidR="006C4C09" w:rsidRPr="000051B4" w:rsidRDefault="006C4C09" w:rsidP="006C4C09">
      <w:pPr>
        <w:pStyle w:val="FootnoteText"/>
        <w:rPr>
          <w:lang w:val="en-US"/>
        </w:rPr>
      </w:pPr>
      <w:r>
        <w:rPr>
          <w:rStyle w:val="FootnoteReference"/>
        </w:rPr>
        <w:footnoteRef/>
      </w:r>
      <w:r>
        <w:t xml:space="preserve"> </w:t>
      </w:r>
      <w:proofErr w:type="gramStart"/>
      <w:r>
        <w:rPr>
          <w:lang w:val="en-US"/>
        </w:rPr>
        <w:t>Atualmente pertencente ao território de Porciúncula/RJ.</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E5B" w:rsidRDefault="00490E5B">
    <w:pPr>
      <w:pStyle w:val="Header"/>
    </w:pPr>
  </w:p>
  <w:p w:rsidR="00490E5B" w:rsidRDefault="00490E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E5B" w:rsidRDefault="00D12011">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172085</wp:posOffset>
          </wp:positionV>
          <wp:extent cx="4670425" cy="1297305"/>
          <wp:effectExtent l="0" t="0" r="0" b="0"/>
          <wp:wrapTight wrapText="bothSides">
            <wp:wrapPolygon edited="0">
              <wp:start x="0" y="0"/>
              <wp:lineTo x="0" y="21251"/>
              <wp:lineTo x="21497" y="21251"/>
              <wp:lineTo x="2149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tretch>
                    <a:fillRect/>
                  </a:stretch>
                </pic:blipFill>
                <pic:spPr bwMode="auto">
                  <a:xfrm>
                    <a:off x="0" y="0"/>
                    <a:ext cx="4670425" cy="129730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214969"/>
    <w:multiLevelType w:val="multilevel"/>
    <w:tmpl w:val="197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B65F52"/>
    <w:multiLevelType w:val="hybridMultilevel"/>
    <w:tmpl w:val="D6180816"/>
    <w:lvl w:ilvl="0" w:tplc="685276F4">
      <w:numFmt w:val="bullet"/>
      <w:lvlText w:val=""/>
      <w:lvlJc w:val="left"/>
      <w:pPr>
        <w:ind w:left="1140" w:hanging="420"/>
      </w:pPr>
      <w:rPr>
        <w:rFonts w:ascii="Symbol" w:eastAsia="Times New Roman" w:hAnsi="Symbol" w:cs="Times New Roman" w:hint="default"/>
        <w:color w:val="212529"/>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11E52B37"/>
    <w:multiLevelType w:val="multilevel"/>
    <w:tmpl w:val="0CD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C2C0B"/>
    <w:multiLevelType w:val="multilevel"/>
    <w:tmpl w:val="9E5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81D5B"/>
    <w:multiLevelType w:val="hybridMultilevel"/>
    <w:tmpl w:val="CC1016A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704768B"/>
    <w:multiLevelType w:val="multilevel"/>
    <w:tmpl w:val="E28474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73D12A1"/>
    <w:multiLevelType w:val="multilevel"/>
    <w:tmpl w:val="B91AB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A274829"/>
    <w:multiLevelType w:val="multilevel"/>
    <w:tmpl w:val="014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3F63BF"/>
    <w:multiLevelType w:val="multilevel"/>
    <w:tmpl w:val="B5E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035D29"/>
    <w:multiLevelType w:val="multilevel"/>
    <w:tmpl w:val="8B1C3B66"/>
    <w:lvl w:ilvl="0">
      <w:start w:val="3"/>
      <w:numFmt w:val="decimal"/>
      <w:lvlText w:val="%1."/>
      <w:lvlJc w:val="left"/>
      <w:pPr>
        <w:ind w:left="218" w:hanging="360"/>
      </w:pPr>
      <w:rPr>
        <w:rFonts w:hint="default"/>
      </w:rPr>
    </w:lvl>
    <w:lvl w:ilvl="1">
      <w:start w:val="3"/>
      <w:numFmt w:val="decimal"/>
      <w:isLgl/>
      <w:lvlText w:val="%1.%2."/>
      <w:lvlJc w:val="left"/>
      <w:pPr>
        <w:ind w:left="578" w:hanging="72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2018" w:hanging="2160"/>
      </w:pPr>
      <w:rPr>
        <w:rFonts w:hint="default"/>
      </w:rPr>
    </w:lvl>
  </w:abstractNum>
  <w:abstractNum w:abstractNumId="18">
    <w:nsid w:val="39E66A3D"/>
    <w:multiLevelType w:val="multilevel"/>
    <w:tmpl w:val="F2BEF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800ABE"/>
    <w:multiLevelType w:val="multilevel"/>
    <w:tmpl w:val="A9D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22">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3">
    <w:nsid w:val="491579E7"/>
    <w:multiLevelType w:val="multilevel"/>
    <w:tmpl w:val="BB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BA25F4"/>
    <w:multiLevelType w:val="hybridMultilevel"/>
    <w:tmpl w:val="939681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4616152"/>
    <w:multiLevelType w:val="multilevel"/>
    <w:tmpl w:val="BCD60F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nsid w:val="5A6A6090"/>
    <w:multiLevelType w:val="multilevel"/>
    <w:tmpl w:val="72D86214"/>
    <w:lvl w:ilvl="0">
      <w:start w:val="1"/>
      <w:numFmt w:val="decimal"/>
      <w:lvlText w:val="%1"/>
      <w:lvlJc w:val="left"/>
      <w:pPr>
        <w:ind w:left="720" w:hanging="360"/>
      </w:pPr>
      <w:rPr>
        <w:rFonts w:hint="default"/>
      </w:rPr>
    </w:lvl>
    <w:lvl w:ilvl="1">
      <w:start w:val="2"/>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1">
    <w:nsid w:val="666C0D76"/>
    <w:multiLevelType w:val="multilevel"/>
    <w:tmpl w:val="31B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EF7069"/>
    <w:multiLevelType w:val="hybridMultilevel"/>
    <w:tmpl w:val="68E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34">
    <w:nsid w:val="76224E25"/>
    <w:multiLevelType w:val="multilevel"/>
    <w:tmpl w:val="4FA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CD028B"/>
    <w:multiLevelType w:val="multilevel"/>
    <w:tmpl w:val="780C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7">
    <w:nsid w:val="7ACD5788"/>
    <w:multiLevelType w:val="multilevel"/>
    <w:tmpl w:val="A8A079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B27547F"/>
    <w:multiLevelType w:val="hybridMultilevel"/>
    <w:tmpl w:val="BB90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9">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0">
    <w:nsid w:val="7CDA160C"/>
    <w:multiLevelType w:val="multilevel"/>
    <w:tmpl w:val="1242F3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nsid w:val="7FC86063"/>
    <w:multiLevelType w:val="hybridMultilevel"/>
    <w:tmpl w:val="E660B36E"/>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num w:numId="1">
    <w:abstractNumId w:val="30"/>
  </w:num>
  <w:num w:numId="2">
    <w:abstractNumId w:val="39"/>
  </w:num>
  <w:num w:numId="3">
    <w:abstractNumId w:val="36"/>
  </w:num>
  <w:num w:numId="4">
    <w:abstractNumId w:val="2"/>
  </w:num>
  <w:num w:numId="5">
    <w:abstractNumId w:val="22"/>
  </w:num>
  <w:num w:numId="6">
    <w:abstractNumId w:val="26"/>
  </w:num>
  <w:num w:numId="7">
    <w:abstractNumId w:val="3"/>
  </w:num>
  <w:num w:numId="8">
    <w:abstractNumId w:val="29"/>
  </w:num>
  <w:num w:numId="9">
    <w:abstractNumId w:val="21"/>
  </w:num>
  <w:num w:numId="10">
    <w:abstractNumId w:val="33"/>
  </w:num>
  <w:num w:numId="11">
    <w:abstractNumId w:val="7"/>
  </w:num>
  <w:num w:numId="12">
    <w:abstractNumId w:val="0"/>
  </w:num>
  <w:num w:numId="13">
    <w:abstractNumId w:val="8"/>
  </w:num>
  <w:num w:numId="14">
    <w:abstractNumId w:val="38"/>
  </w:num>
  <w:num w:numId="15">
    <w:abstractNumId w:val="14"/>
  </w:num>
  <w:num w:numId="16">
    <w:abstractNumId w:val="11"/>
  </w:num>
  <w:num w:numId="17">
    <w:abstractNumId w:val="25"/>
  </w:num>
  <w:num w:numId="18">
    <w:abstractNumId w:val="19"/>
  </w:num>
  <w:num w:numId="19">
    <w:abstractNumId w:val="9"/>
  </w:num>
  <w:num w:numId="20">
    <w:abstractNumId w:val="10"/>
  </w:num>
  <w:num w:numId="21">
    <w:abstractNumId w:val="23"/>
  </w:num>
  <w:num w:numId="22">
    <w:abstractNumId w:val="32"/>
  </w:num>
  <w:num w:numId="23">
    <w:abstractNumId w:val="20"/>
  </w:num>
  <w:num w:numId="24">
    <w:abstractNumId w:val="34"/>
  </w:num>
  <w:num w:numId="25">
    <w:abstractNumId w:val="6"/>
  </w:num>
  <w:num w:numId="26">
    <w:abstractNumId w:val="1"/>
  </w:num>
  <w:num w:numId="27">
    <w:abstractNumId w:val="41"/>
  </w:num>
  <w:num w:numId="28">
    <w:abstractNumId w:val="5"/>
  </w:num>
  <w:num w:numId="29">
    <w:abstractNumId w:val="35"/>
  </w:num>
  <w:num w:numId="30">
    <w:abstractNumId w:val="37"/>
  </w:num>
  <w:num w:numId="31">
    <w:abstractNumId w:val="12"/>
  </w:num>
  <w:num w:numId="32">
    <w:abstractNumId w:val="18"/>
  </w:num>
  <w:num w:numId="33">
    <w:abstractNumId w:val="31"/>
  </w:num>
  <w:num w:numId="34">
    <w:abstractNumId w:val="40"/>
  </w:num>
  <w:num w:numId="35">
    <w:abstractNumId w:val="27"/>
  </w:num>
  <w:num w:numId="36">
    <w:abstractNumId w:val="13"/>
  </w:num>
  <w:num w:numId="37">
    <w:abstractNumId w:val="16"/>
  </w:num>
  <w:num w:numId="38">
    <w:abstractNumId w:val="15"/>
  </w:num>
  <w:num w:numId="39">
    <w:abstractNumId w:val="24"/>
  </w:num>
  <w:num w:numId="40">
    <w:abstractNumId w:val="4"/>
  </w:num>
  <w:num w:numId="41">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pt-BR" w:vendorID="64" w:dllVersion="4096" w:nlCheck="1" w:checkStyle="0"/>
  <w:activeWritingStyle w:appName="MSWord" w:lang="en-GB" w:vendorID="64" w:dllVersion="4096" w:nlCheck="1" w:checkStyle="0"/>
  <w:activeWritingStyle w:appName="MSWord" w:lang="es-CL" w:vendorID="64" w:dllVersion="4096" w:nlCheck="1" w:checkStyle="0"/>
  <w:activeWritingStyle w:appName="MSWord" w:lang="es-CL"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8434"/>
  </w:hdrShapeDefaults>
  <w:footnotePr>
    <w:footnote w:id="-1"/>
    <w:footnote w:id="0"/>
  </w:footnotePr>
  <w:endnotePr>
    <w:endnote w:id="-1"/>
    <w:endnote w:id="0"/>
  </w:endnotePr>
  <w:compat/>
  <w:rsids>
    <w:rsidRoot w:val="0057601C"/>
    <w:rsid w:val="000015A2"/>
    <w:rsid w:val="00010226"/>
    <w:rsid w:val="00024269"/>
    <w:rsid w:val="000414E8"/>
    <w:rsid w:val="0004217D"/>
    <w:rsid w:val="00046AB6"/>
    <w:rsid w:val="0005777C"/>
    <w:rsid w:val="00062C9D"/>
    <w:rsid w:val="00063038"/>
    <w:rsid w:val="000949FC"/>
    <w:rsid w:val="00095E46"/>
    <w:rsid w:val="000A6B80"/>
    <w:rsid w:val="000A6F41"/>
    <w:rsid w:val="000A72DE"/>
    <w:rsid w:val="000A7FD9"/>
    <w:rsid w:val="000B4546"/>
    <w:rsid w:val="000C242D"/>
    <w:rsid w:val="000C4183"/>
    <w:rsid w:val="000D5A14"/>
    <w:rsid w:val="000E1DFF"/>
    <w:rsid w:val="000E2D73"/>
    <w:rsid w:val="000F16D0"/>
    <w:rsid w:val="000F2E32"/>
    <w:rsid w:val="000F3D59"/>
    <w:rsid w:val="000F621E"/>
    <w:rsid w:val="00104A10"/>
    <w:rsid w:val="001123A7"/>
    <w:rsid w:val="001138E0"/>
    <w:rsid w:val="001147CC"/>
    <w:rsid w:val="00114B1B"/>
    <w:rsid w:val="00117C30"/>
    <w:rsid w:val="00120A4E"/>
    <w:rsid w:val="00123566"/>
    <w:rsid w:val="00127565"/>
    <w:rsid w:val="00127C73"/>
    <w:rsid w:val="00136A83"/>
    <w:rsid w:val="00154070"/>
    <w:rsid w:val="00155BB8"/>
    <w:rsid w:val="001675B9"/>
    <w:rsid w:val="00167CB2"/>
    <w:rsid w:val="00191522"/>
    <w:rsid w:val="00196D8B"/>
    <w:rsid w:val="001B2486"/>
    <w:rsid w:val="001B3129"/>
    <w:rsid w:val="001C7D2F"/>
    <w:rsid w:val="001D2061"/>
    <w:rsid w:val="001D5941"/>
    <w:rsid w:val="001D6C2F"/>
    <w:rsid w:val="001E20FC"/>
    <w:rsid w:val="001F3BC5"/>
    <w:rsid w:val="001F62B8"/>
    <w:rsid w:val="001F6D68"/>
    <w:rsid w:val="001F74CA"/>
    <w:rsid w:val="00200951"/>
    <w:rsid w:val="00201A0B"/>
    <w:rsid w:val="00202520"/>
    <w:rsid w:val="00210B3E"/>
    <w:rsid w:val="00215C4F"/>
    <w:rsid w:val="00220D27"/>
    <w:rsid w:val="00223899"/>
    <w:rsid w:val="00224126"/>
    <w:rsid w:val="00230897"/>
    <w:rsid w:val="00231461"/>
    <w:rsid w:val="00235886"/>
    <w:rsid w:val="002407C1"/>
    <w:rsid w:val="00261CD9"/>
    <w:rsid w:val="0026463A"/>
    <w:rsid w:val="00264FC4"/>
    <w:rsid w:val="00271EBF"/>
    <w:rsid w:val="00273E9A"/>
    <w:rsid w:val="00275A1D"/>
    <w:rsid w:val="00284807"/>
    <w:rsid w:val="00284A60"/>
    <w:rsid w:val="002867F3"/>
    <w:rsid w:val="00293475"/>
    <w:rsid w:val="00297E83"/>
    <w:rsid w:val="002A0031"/>
    <w:rsid w:val="002A170C"/>
    <w:rsid w:val="002A686B"/>
    <w:rsid w:val="002C09E9"/>
    <w:rsid w:val="002D4CA1"/>
    <w:rsid w:val="002E2F98"/>
    <w:rsid w:val="002F2EF7"/>
    <w:rsid w:val="0031360D"/>
    <w:rsid w:val="00326E56"/>
    <w:rsid w:val="00327944"/>
    <w:rsid w:val="00341D1F"/>
    <w:rsid w:val="0035288F"/>
    <w:rsid w:val="00362DDE"/>
    <w:rsid w:val="00362E84"/>
    <w:rsid w:val="00363C90"/>
    <w:rsid w:val="0036438F"/>
    <w:rsid w:val="003730F8"/>
    <w:rsid w:val="0037371D"/>
    <w:rsid w:val="00376A96"/>
    <w:rsid w:val="003800A6"/>
    <w:rsid w:val="00393BF8"/>
    <w:rsid w:val="003B5837"/>
    <w:rsid w:val="003B5DF6"/>
    <w:rsid w:val="003C59E4"/>
    <w:rsid w:val="003C7EF0"/>
    <w:rsid w:val="003E49D5"/>
    <w:rsid w:val="003E782A"/>
    <w:rsid w:val="003F0D31"/>
    <w:rsid w:val="003F1F0C"/>
    <w:rsid w:val="003F3012"/>
    <w:rsid w:val="003F4883"/>
    <w:rsid w:val="00405800"/>
    <w:rsid w:val="0041522A"/>
    <w:rsid w:val="00415E91"/>
    <w:rsid w:val="00426719"/>
    <w:rsid w:val="0043144A"/>
    <w:rsid w:val="0043185B"/>
    <w:rsid w:val="00440513"/>
    <w:rsid w:val="00442E22"/>
    <w:rsid w:val="00445DE1"/>
    <w:rsid w:val="00457C7E"/>
    <w:rsid w:val="004739E0"/>
    <w:rsid w:val="00477E51"/>
    <w:rsid w:val="004819E9"/>
    <w:rsid w:val="00490E5B"/>
    <w:rsid w:val="00494B89"/>
    <w:rsid w:val="00496054"/>
    <w:rsid w:val="004A17BD"/>
    <w:rsid w:val="004A4FC3"/>
    <w:rsid w:val="004A6EBA"/>
    <w:rsid w:val="004A70CB"/>
    <w:rsid w:val="004B1806"/>
    <w:rsid w:val="004B5C77"/>
    <w:rsid w:val="004C43E6"/>
    <w:rsid w:val="004C71E0"/>
    <w:rsid w:val="004E0028"/>
    <w:rsid w:val="004E3E90"/>
    <w:rsid w:val="004E5D19"/>
    <w:rsid w:val="004F679E"/>
    <w:rsid w:val="005055F4"/>
    <w:rsid w:val="00506622"/>
    <w:rsid w:val="00517648"/>
    <w:rsid w:val="00521E49"/>
    <w:rsid w:val="00536719"/>
    <w:rsid w:val="00542640"/>
    <w:rsid w:val="005565E4"/>
    <w:rsid w:val="00570D1D"/>
    <w:rsid w:val="00571CFD"/>
    <w:rsid w:val="00572E2F"/>
    <w:rsid w:val="0057601C"/>
    <w:rsid w:val="00582B58"/>
    <w:rsid w:val="0059288D"/>
    <w:rsid w:val="005972B0"/>
    <w:rsid w:val="005A1CD6"/>
    <w:rsid w:val="005A314C"/>
    <w:rsid w:val="005A47F3"/>
    <w:rsid w:val="005B01D5"/>
    <w:rsid w:val="005B49B9"/>
    <w:rsid w:val="005B7ACD"/>
    <w:rsid w:val="005C31CB"/>
    <w:rsid w:val="005C41E6"/>
    <w:rsid w:val="005D2CA1"/>
    <w:rsid w:val="005D48F7"/>
    <w:rsid w:val="005D6482"/>
    <w:rsid w:val="005E263B"/>
    <w:rsid w:val="005E648F"/>
    <w:rsid w:val="005F34A0"/>
    <w:rsid w:val="00607097"/>
    <w:rsid w:val="00622DC2"/>
    <w:rsid w:val="00624AE5"/>
    <w:rsid w:val="006273E2"/>
    <w:rsid w:val="00630D2E"/>
    <w:rsid w:val="006366BC"/>
    <w:rsid w:val="00653C27"/>
    <w:rsid w:val="00654057"/>
    <w:rsid w:val="006551D8"/>
    <w:rsid w:val="00666AFA"/>
    <w:rsid w:val="00667AE6"/>
    <w:rsid w:val="00674FAE"/>
    <w:rsid w:val="0067630F"/>
    <w:rsid w:val="00680E2C"/>
    <w:rsid w:val="00681ABF"/>
    <w:rsid w:val="00682D0D"/>
    <w:rsid w:val="00682DC9"/>
    <w:rsid w:val="0068594F"/>
    <w:rsid w:val="00687B33"/>
    <w:rsid w:val="00693C5D"/>
    <w:rsid w:val="00695742"/>
    <w:rsid w:val="00695E13"/>
    <w:rsid w:val="006A00E2"/>
    <w:rsid w:val="006A3003"/>
    <w:rsid w:val="006B0D3D"/>
    <w:rsid w:val="006B7364"/>
    <w:rsid w:val="006C0DB4"/>
    <w:rsid w:val="006C358E"/>
    <w:rsid w:val="006C4C09"/>
    <w:rsid w:val="006D03D0"/>
    <w:rsid w:val="006D40D5"/>
    <w:rsid w:val="006D6411"/>
    <w:rsid w:val="006E048A"/>
    <w:rsid w:val="006E7616"/>
    <w:rsid w:val="006F18B0"/>
    <w:rsid w:val="00700A42"/>
    <w:rsid w:val="00715939"/>
    <w:rsid w:val="00721BE8"/>
    <w:rsid w:val="00731C8B"/>
    <w:rsid w:val="007347D1"/>
    <w:rsid w:val="00745D16"/>
    <w:rsid w:val="00757A25"/>
    <w:rsid w:val="007722E0"/>
    <w:rsid w:val="007774CE"/>
    <w:rsid w:val="00780E64"/>
    <w:rsid w:val="00783943"/>
    <w:rsid w:val="00786157"/>
    <w:rsid w:val="00791C37"/>
    <w:rsid w:val="00793C56"/>
    <w:rsid w:val="007A7994"/>
    <w:rsid w:val="007B243F"/>
    <w:rsid w:val="007C0FC3"/>
    <w:rsid w:val="007C1ADF"/>
    <w:rsid w:val="007C1B96"/>
    <w:rsid w:val="007D5DDC"/>
    <w:rsid w:val="007E0711"/>
    <w:rsid w:val="007E7F7C"/>
    <w:rsid w:val="007F1C9A"/>
    <w:rsid w:val="007F2704"/>
    <w:rsid w:val="00801EA0"/>
    <w:rsid w:val="00806451"/>
    <w:rsid w:val="00813611"/>
    <w:rsid w:val="00815495"/>
    <w:rsid w:val="008174A8"/>
    <w:rsid w:val="00831914"/>
    <w:rsid w:val="008334ED"/>
    <w:rsid w:val="00843BC1"/>
    <w:rsid w:val="00846D63"/>
    <w:rsid w:val="00860638"/>
    <w:rsid w:val="00872B3A"/>
    <w:rsid w:val="008757BF"/>
    <w:rsid w:val="00880CB3"/>
    <w:rsid w:val="008917DA"/>
    <w:rsid w:val="00895B21"/>
    <w:rsid w:val="00895DCE"/>
    <w:rsid w:val="00897DDF"/>
    <w:rsid w:val="008A313F"/>
    <w:rsid w:val="008A6527"/>
    <w:rsid w:val="008B1DDC"/>
    <w:rsid w:val="008B38B0"/>
    <w:rsid w:val="008B4230"/>
    <w:rsid w:val="008B4CF6"/>
    <w:rsid w:val="008C38BD"/>
    <w:rsid w:val="008C541A"/>
    <w:rsid w:val="008F029C"/>
    <w:rsid w:val="008F4712"/>
    <w:rsid w:val="00905E02"/>
    <w:rsid w:val="0094519B"/>
    <w:rsid w:val="00947EED"/>
    <w:rsid w:val="00955C80"/>
    <w:rsid w:val="00962533"/>
    <w:rsid w:val="0097119C"/>
    <w:rsid w:val="0097157E"/>
    <w:rsid w:val="0097448C"/>
    <w:rsid w:val="00974E35"/>
    <w:rsid w:val="00980FA7"/>
    <w:rsid w:val="009A0CC3"/>
    <w:rsid w:val="009A1200"/>
    <w:rsid w:val="009A61A3"/>
    <w:rsid w:val="009B006A"/>
    <w:rsid w:val="009D4E5E"/>
    <w:rsid w:val="009E11AF"/>
    <w:rsid w:val="009E2AAF"/>
    <w:rsid w:val="009F3725"/>
    <w:rsid w:val="009F786E"/>
    <w:rsid w:val="00A01F45"/>
    <w:rsid w:val="00A15D73"/>
    <w:rsid w:val="00A21675"/>
    <w:rsid w:val="00A279D3"/>
    <w:rsid w:val="00A3111E"/>
    <w:rsid w:val="00A36F5B"/>
    <w:rsid w:val="00A378F9"/>
    <w:rsid w:val="00A42870"/>
    <w:rsid w:val="00A45B64"/>
    <w:rsid w:val="00A50241"/>
    <w:rsid w:val="00A51777"/>
    <w:rsid w:val="00A51B9A"/>
    <w:rsid w:val="00A56B54"/>
    <w:rsid w:val="00A606E6"/>
    <w:rsid w:val="00A60E78"/>
    <w:rsid w:val="00A61767"/>
    <w:rsid w:val="00A621D7"/>
    <w:rsid w:val="00A63003"/>
    <w:rsid w:val="00A659E9"/>
    <w:rsid w:val="00A701BD"/>
    <w:rsid w:val="00A80B40"/>
    <w:rsid w:val="00A83DE6"/>
    <w:rsid w:val="00A9462A"/>
    <w:rsid w:val="00A95E7E"/>
    <w:rsid w:val="00AA3317"/>
    <w:rsid w:val="00AC625E"/>
    <w:rsid w:val="00AC7470"/>
    <w:rsid w:val="00AD15DA"/>
    <w:rsid w:val="00AE2288"/>
    <w:rsid w:val="00AE3827"/>
    <w:rsid w:val="00AE4865"/>
    <w:rsid w:val="00AE6655"/>
    <w:rsid w:val="00AF2DDA"/>
    <w:rsid w:val="00B01BC4"/>
    <w:rsid w:val="00B033CB"/>
    <w:rsid w:val="00B05CD8"/>
    <w:rsid w:val="00B06A2D"/>
    <w:rsid w:val="00B074FA"/>
    <w:rsid w:val="00B10974"/>
    <w:rsid w:val="00B12650"/>
    <w:rsid w:val="00B247D4"/>
    <w:rsid w:val="00B35681"/>
    <w:rsid w:val="00B400F6"/>
    <w:rsid w:val="00B41B00"/>
    <w:rsid w:val="00B43077"/>
    <w:rsid w:val="00B46EF9"/>
    <w:rsid w:val="00B47196"/>
    <w:rsid w:val="00B5114B"/>
    <w:rsid w:val="00B5272A"/>
    <w:rsid w:val="00B743F2"/>
    <w:rsid w:val="00B814ED"/>
    <w:rsid w:val="00B8206A"/>
    <w:rsid w:val="00B82BC4"/>
    <w:rsid w:val="00B87915"/>
    <w:rsid w:val="00B91D7C"/>
    <w:rsid w:val="00BA3EAE"/>
    <w:rsid w:val="00BC20F8"/>
    <w:rsid w:val="00BD2E89"/>
    <w:rsid w:val="00BE03D9"/>
    <w:rsid w:val="00BF415F"/>
    <w:rsid w:val="00C100EF"/>
    <w:rsid w:val="00C15287"/>
    <w:rsid w:val="00C167E2"/>
    <w:rsid w:val="00C26BD6"/>
    <w:rsid w:val="00C50DCB"/>
    <w:rsid w:val="00C559FD"/>
    <w:rsid w:val="00C56B29"/>
    <w:rsid w:val="00C64578"/>
    <w:rsid w:val="00C67A4C"/>
    <w:rsid w:val="00C75CEC"/>
    <w:rsid w:val="00C776E8"/>
    <w:rsid w:val="00C8456E"/>
    <w:rsid w:val="00C91980"/>
    <w:rsid w:val="00C9544A"/>
    <w:rsid w:val="00CA0BDD"/>
    <w:rsid w:val="00CA44F9"/>
    <w:rsid w:val="00CB2D50"/>
    <w:rsid w:val="00CD21B2"/>
    <w:rsid w:val="00CD24B7"/>
    <w:rsid w:val="00CE3359"/>
    <w:rsid w:val="00CE393F"/>
    <w:rsid w:val="00CE55D0"/>
    <w:rsid w:val="00CF0886"/>
    <w:rsid w:val="00CF1945"/>
    <w:rsid w:val="00CF7E6C"/>
    <w:rsid w:val="00D02EE3"/>
    <w:rsid w:val="00D05648"/>
    <w:rsid w:val="00D10589"/>
    <w:rsid w:val="00D12011"/>
    <w:rsid w:val="00D20F95"/>
    <w:rsid w:val="00D3027E"/>
    <w:rsid w:val="00D439AA"/>
    <w:rsid w:val="00D43FFD"/>
    <w:rsid w:val="00D46E2E"/>
    <w:rsid w:val="00D602B1"/>
    <w:rsid w:val="00D62030"/>
    <w:rsid w:val="00D7654A"/>
    <w:rsid w:val="00D90EF7"/>
    <w:rsid w:val="00D94358"/>
    <w:rsid w:val="00DA23C2"/>
    <w:rsid w:val="00DB3E3E"/>
    <w:rsid w:val="00DB6886"/>
    <w:rsid w:val="00DC43FA"/>
    <w:rsid w:val="00DC4FF0"/>
    <w:rsid w:val="00DD0900"/>
    <w:rsid w:val="00DD5885"/>
    <w:rsid w:val="00DE15D1"/>
    <w:rsid w:val="00DF123A"/>
    <w:rsid w:val="00DF26FD"/>
    <w:rsid w:val="00E05E4E"/>
    <w:rsid w:val="00E10FD2"/>
    <w:rsid w:val="00E1449E"/>
    <w:rsid w:val="00E151B3"/>
    <w:rsid w:val="00E336D7"/>
    <w:rsid w:val="00E35B5C"/>
    <w:rsid w:val="00E41D8C"/>
    <w:rsid w:val="00E448FE"/>
    <w:rsid w:val="00E460FE"/>
    <w:rsid w:val="00E51EDE"/>
    <w:rsid w:val="00E53F1F"/>
    <w:rsid w:val="00E56733"/>
    <w:rsid w:val="00E65E72"/>
    <w:rsid w:val="00E771B8"/>
    <w:rsid w:val="00E86F8F"/>
    <w:rsid w:val="00EA2C25"/>
    <w:rsid w:val="00EB0086"/>
    <w:rsid w:val="00EB37E1"/>
    <w:rsid w:val="00EB466E"/>
    <w:rsid w:val="00EC33AE"/>
    <w:rsid w:val="00EC5241"/>
    <w:rsid w:val="00ED78F0"/>
    <w:rsid w:val="00EE0F6F"/>
    <w:rsid w:val="00EE4562"/>
    <w:rsid w:val="00EE4C8F"/>
    <w:rsid w:val="00EF3426"/>
    <w:rsid w:val="00EF5F75"/>
    <w:rsid w:val="00F01EBE"/>
    <w:rsid w:val="00F06F4A"/>
    <w:rsid w:val="00F15EEC"/>
    <w:rsid w:val="00F2116A"/>
    <w:rsid w:val="00F21DC7"/>
    <w:rsid w:val="00F30F28"/>
    <w:rsid w:val="00F32A95"/>
    <w:rsid w:val="00F40B67"/>
    <w:rsid w:val="00F45C07"/>
    <w:rsid w:val="00F512C0"/>
    <w:rsid w:val="00F53E84"/>
    <w:rsid w:val="00F5612F"/>
    <w:rsid w:val="00F671DF"/>
    <w:rsid w:val="00F70C42"/>
    <w:rsid w:val="00F73A38"/>
    <w:rsid w:val="00F7740E"/>
    <w:rsid w:val="00F77DED"/>
    <w:rsid w:val="00F803E0"/>
    <w:rsid w:val="00F80DA8"/>
    <w:rsid w:val="00F846C0"/>
    <w:rsid w:val="00F86E19"/>
    <w:rsid w:val="00FB23D9"/>
    <w:rsid w:val="00FB64BA"/>
    <w:rsid w:val="00FC06BF"/>
    <w:rsid w:val="00FC2432"/>
    <w:rsid w:val="00FC7FBB"/>
    <w:rsid w:val="00FD58FF"/>
    <w:rsid w:val="00FE3684"/>
    <w:rsid w:val="00FF2C7F"/>
    <w:rsid w:val="00FF40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9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601C"/>
    <w:pPr>
      <w:tabs>
        <w:tab w:val="center" w:pos="4252"/>
        <w:tab w:val="right" w:pos="8504"/>
      </w:tabs>
    </w:pPr>
  </w:style>
  <w:style w:type="character" w:customStyle="1" w:styleId="HeaderChar">
    <w:name w:val="Header Char"/>
    <w:link w:val="Header"/>
    <w:uiPriority w:val="99"/>
    <w:locked/>
    <w:rsid w:val="0068594F"/>
    <w:rPr>
      <w:sz w:val="24"/>
      <w:szCs w:val="24"/>
    </w:rPr>
  </w:style>
  <w:style w:type="paragraph" w:styleId="Footer">
    <w:name w:val="footer"/>
    <w:basedOn w:val="Normal"/>
    <w:link w:val="FooterChar"/>
    <w:uiPriority w:val="99"/>
    <w:rsid w:val="0057601C"/>
    <w:pPr>
      <w:tabs>
        <w:tab w:val="center" w:pos="4252"/>
        <w:tab w:val="right" w:pos="8504"/>
      </w:tabs>
    </w:pPr>
  </w:style>
  <w:style w:type="character" w:customStyle="1" w:styleId="FooterChar">
    <w:name w:val="Footer Char"/>
    <w:link w:val="Footer"/>
    <w:uiPriority w:val="99"/>
    <w:locked/>
    <w:rsid w:val="00AE4865"/>
    <w:rPr>
      <w:sz w:val="24"/>
      <w:szCs w:val="24"/>
    </w:rPr>
  </w:style>
  <w:style w:type="character" w:styleId="Hyperlink">
    <w:name w:val="Hyperlink"/>
    <w:rsid w:val="0057601C"/>
    <w:rPr>
      <w:color w:val="0000FF"/>
      <w:u w:val="single"/>
    </w:rPr>
  </w:style>
  <w:style w:type="paragraph" w:styleId="BalloonText">
    <w:name w:val="Balloon Text"/>
    <w:basedOn w:val="Normal"/>
    <w:link w:val="BalloonTextChar"/>
    <w:uiPriority w:val="99"/>
    <w:semiHidden/>
    <w:rsid w:val="0068594F"/>
    <w:rPr>
      <w:rFonts w:ascii="Tahoma" w:hAnsi="Tahoma"/>
      <w:sz w:val="16"/>
      <w:szCs w:val="16"/>
    </w:rPr>
  </w:style>
  <w:style w:type="character" w:customStyle="1" w:styleId="BalloonTextChar">
    <w:name w:val="Balloon Text Char"/>
    <w:link w:val="BalloonText"/>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FootnoteText"/>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EndnoteText">
    <w:name w:val="endnote text"/>
    <w:basedOn w:val="Normal"/>
    <w:link w:val="EndnoteTextChar"/>
    <w:rsid w:val="006A00E2"/>
    <w:rPr>
      <w:rFonts w:ascii="Arial" w:hAnsi="Arial"/>
      <w:sz w:val="16"/>
      <w:szCs w:val="20"/>
      <w:lang w:val="en-US" w:eastAsia="en-US"/>
    </w:rPr>
  </w:style>
  <w:style w:type="character" w:customStyle="1" w:styleId="EndnoteTextChar">
    <w:name w:val="Endnote Text Char"/>
    <w:link w:val="EndnoteText"/>
    <w:rsid w:val="006A00E2"/>
    <w:rPr>
      <w:rFonts w:ascii="Arial" w:hAnsi="Arial"/>
      <w:sz w:val="16"/>
      <w:lang w:val="en-US" w:eastAsia="en-US"/>
    </w:rPr>
  </w:style>
  <w:style w:type="character" w:styleId="EndnoteReference">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DefaultParagraphFont"/>
    <w:rsid w:val="006A00E2"/>
  </w:style>
  <w:style w:type="character" w:customStyle="1" w:styleId="hps">
    <w:name w:val="hps"/>
    <w:basedOn w:val="DefaultParagraphFont"/>
    <w:rsid w:val="006A00E2"/>
  </w:style>
  <w:style w:type="character" w:customStyle="1" w:styleId="shorttext">
    <w:name w:val="short_text"/>
    <w:basedOn w:val="DefaultParagraphFont"/>
    <w:rsid w:val="006A00E2"/>
  </w:style>
  <w:style w:type="paragraph" w:styleId="FootnoteText">
    <w:name w:val="footnote text"/>
    <w:basedOn w:val="Normal"/>
    <w:link w:val="FootnoteTextChar"/>
    <w:uiPriority w:val="99"/>
    <w:semiHidden/>
    <w:unhideWhenUsed/>
    <w:rsid w:val="006A00E2"/>
    <w:rPr>
      <w:sz w:val="20"/>
      <w:szCs w:val="20"/>
    </w:rPr>
  </w:style>
  <w:style w:type="character" w:customStyle="1" w:styleId="FootnoteTextChar">
    <w:name w:val="Footnote Text Char"/>
    <w:basedOn w:val="DefaultParagraphFont"/>
    <w:link w:val="FootnoteText"/>
    <w:uiPriority w:val="99"/>
    <w:semiHidden/>
    <w:rsid w:val="006A00E2"/>
  </w:style>
  <w:style w:type="paragraph" w:styleId="ListParagraph">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sz w:val="24"/>
      <w:szCs w:val="24"/>
      <w:lang w:eastAsia="en-US"/>
    </w:rPr>
  </w:style>
  <w:style w:type="table" w:styleId="TableGrid">
    <w:name w:val="Table Grid"/>
    <w:basedOn w:val="TableNormal"/>
    <w:locked/>
    <w:rsid w:val="00F80D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3A38"/>
    <w:rPr>
      <w:sz w:val="16"/>
      <w:szCs w:val="16"/>
    </w:rPr>
  </w:style>
  <w:style w:type="paragraph" w:styleId="CommentText">
    <w:name w:val="annotation text"/>
    <w:basedOn w:val="Normal"/>
    <w:link w:val="CommentTextChar"/>
    <w:uiPriority w:val="99"/>
    <w:semiHidden/>
    <w:unhideWhenUsed/>
    <w:rsid w:val="00F73A38"/>
    <w:rPr>
      <w:sz w:val="20"/>
      <w:szCs w:val="20"/>
    </w:rPr>
  </w:style>
  <w:style w:type="character" w:customStyle="1" w:styleId="CommentTextChar">
    <w:name w:val="Comment Text Char"/>
    <w:basedOn w:val="DefaultParagraphFont"/>
    <w:link w:val="CommentText"/>
    <w:uiPriority w:val="99"/>
    <w:semiHidden/>
    <w:rsid w:val="00F73A38"/>
  </w:style>
  <w:style w:type="paragraph" w:styleId="CommentSubject">
    <w:name w:val="annotation subject"/>
    <w:basedOn w:val="CommentText"/>
    <w:next w:val="CommentText"/>
    <w:link w:val="CommentSubjectChar"/>
    <w:uiPriority w:val="99"/>
    <w:semiHidden/>
    <w:unhideWhenUsed/>
    <w:rsid w:val="00F73A38"/>
    <w:rPr>
      <w:b/>
      <w:bCs/>
    </w:rPr>
  </w:style>
  <w:style w:type="character" w:customStyle="1" w:styleId="CommentSubjectChar">
    <w:name w:val="Comment Subject Char"/>
    <w:basedOn w:val="CommentTextChar"/>
    <w:link w:val="CommentSubject"/>
    <w:uiPriority w:val="99"/>
    <w:semiHidden/>
    <w:rsid w:val="00F73A38"/>
    <w:rPr>
      <w:b/>
      <w:bCs/>
    </w:rPr>
  </w:style>
  <w:style w:type="character" w:styleId="FootnoteReference">
    <w:name w:val="footnote reference"/>
    <w:basedOn w:val="DefaultParagraphFont"/>
    <w:uiPriority w:val="99"/>
    <w:semiHidden/>
    <w:unhideWhenUsed/>
    <w:rsid w:val="00D12011"/>
    <w:rPr>
      <w:vertAlign w:val="superscript"/>
    </w:rPr>
  </w:style>
  <w:style w:type="paragraph" w:styleId="Revision">
    <w:name w:val="Revision"/>
    <w:hidden/>
    <w:uiPriority w:val="99"/>
    <w:semiHidden/>
    <w:rsid w:val="00AE2288"/>
    <w:rPr>
      <w:sz w:val="24"/>
      <w:szCs w:val="24"/>
    </w:rPr>
  </w:style>
  <w:style w:type="character" w:customStyle="1" w:styleId="y2iqfc">
    <w:name w:val="y2iqfc"/>
    <w:basedOn w:val="DefaultParagraphFont"/>
    <w:rsid w:val="00BC20F8"/>
  </w:style>
  <w:style w:type="table" w:customStyle="1" w:styleId="LightShading-Accent11">
    <w:name w:val="Light Shading - Accent 11"/>
    <w:basedOn w:val="TableNormal"/>
    <w:uiPriority w:val="60"/>
    <w:rsid w:val="006C4C09"/>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35666558">
      <w:bodyDiv w:val="1"/>
      <w:marLeft w:val="0"/>
      <w:marRight w:val="0"/>
      <w:marTop w:val="0"/>
      <w:marBottom w:val="0"/>
      <w:divBdr>
        <w:top w:val="none" w:sz="0" w:space="0" w:color="auto"/>
        <w:left w:val="none" w:sz="0" w:space="0" w:color="auto"/>
        <w:bottom w:val="none" w:sz="0" w:space="0" w:color="auto"/>
        <w:right w:val="none" w:sz="0" w:space="0" w:color="auto"/>
      </w:divBdr>
    </w:div>
    <w:div w:id="168060643">
      <w:bodyDiv w:val="1"/>
      <w:marLeft w:val="0"/>
      <w:marRight w:val="0"/>
      <w:marTop w:val="0"/>
      <w:marBottom w:val="0"/>
      <w:divBdr>
        <w:top w:val="none" w:sz="0" w:space="0" w:color="auto"/>
        <w:left w:val="none" w:sz="0" w:space="0" w:color="auto"/>
        <w:bottom w:val="none" w:sz="0" w:space="0" w:color="auto"/>
        <w:right w:val="none" w:sz="0" w:space="0" w:color="auto"/>
      </w:divBdr>
    </w:div>
    <w:div w:id="221212274">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663974716">
      <w:bodyDiv w:val="1"/>
      <w:marLeft w:val="0"/>
      <w:marRight w:val="0"/>
      <w:marTop w:val="0"/>
      <w:marBottom w:val="0"/>
      <w:divBdr>
        <w:top w:val="none" w:sz="0" w:space="0" w:color="auto"/>
        <w:left w:val="none" w:sz="0" w:space="0" w:color="auto"/>
        <w:bottom w:val="none" w:sz="0" w:space="0" w:color="auto"/>
        <w:right w:val="none" w:sz="0" w:space="0" w:color="auto"/>
      </w:divBdr>
    </w:div>
    <w:div w:id="705834064">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028406616">
      <w:bodyDiv w:val="1"/>
      <w:marLeft w:val="0"/>
      <w:marRight w:val="0"/>
      <w:marTop w:val="0"/>
      <w:marBottom w:val="0"/>
      <w:divBdr>
        <w:top w:val="none" w:sz="0" w:space="0" w:color="auto"/>
        <w:left w:val="none" w:sz="0" w:space="0" w:color="auto"/>
        <w:bottom w:val="none" w:sz="0" w:space="0" w:color="auto"/>
        <w:right w:val="none" w:sz="0" w:space="0" w:color="auto"/>
      </w:divBdr>
    </w:div>
    <w:div w:id="1125537868">
      <w:bodyDiv w:val="1"/>
      <w:marLeft w:val="0"/>
      <w:marRight w:val="0"/>
      <w:marTop w:val="0"/>
      <w:marBottom w:val="0"/>
      <w:divBdr>
        <w:top w:val="none" w:sz="0" w:space="0" w:color="auto"/>
        <w:left w:val="none" w:sz="0" w:space="0" w:color="auto"/>
        <w:bottom w:val="none" w:sz="0" w:space="0" w:color="auto"/>
        <w:right w:val="none" w:sz="0" w:space="0" w:color="auto"/>
      </w:divBdr>
    </w:div>
    <w:div w:id="1531525674">
      <w:bodyDiv w:val="1"/>
      <w:marLeft w:val="0"/>
      <w:marRight w:val="0"/>
      <w:marTop w:val="0"/>
      <w:marBottom w:val="0"/>
      <w:divBdr>
        <w:top w:val="none" w:sz="0" w:space="0" w:color="auto"/>
        <w:left w:val="none" w:sz="0" w:space="0" w:color="auto"/>
        <w:bottom w:val="none" w:sz="0" w:space="0" w:color="auto"/>
        <w:right w:val="none" w:sz="0" w:space="0" w:color="auto"/>
      </w:divBdr>
    </w:div>
    <w:div w:id="1575512692">
      <w:bodyDiv w:val="1"/>
      <w:marLeft w:val="0"/>
      <w:marRight w:val="0"/>
      <w:marTop w:val="0"/>
      <w:marBottom w:val="0"/>
      <w:divBdr>
        <w:top w:val="none" w:sz="0" w:space="0" w:color="auto"/>
        <w:left w:val="none" w:sz="0" w:space="0" w:color="auto"/>
        <w:bottom w:val="none" w:sz="0" w:space="0" w:color="auto"/>
        <w:right w:val="none" w:sz="0" w:space="0" w:color="auto"/>
      </w:divBdr>
    </w:div>
    <w:div w:id="1589197807">
      <w:bodyDiv w:val="1"/>
      <w:marLeft w:val="0"/>
      <w:marRight w:val="0"/>
      <w:marTop w:val="0"/>
      <w:marBottom w:val="0"/>
      <w:divBdr>
        <w:top w:val="none" w:sz="0" w:space="0" w:color="auto"/>
        <w:left w:val="none" w:sz="0" w:space="0" w:color="auto"/>
        <w:bottom w:val="none" w:sz="0" w:space="0" w:color="auto"/>
        <w:right w:val="none" w:sz="0" w:space="0" w:color="auto"/>
      </w:divBdr>
    </w:div>
    <w:div w:id="1620332413">
      <w:bodyDiv w:val="1"/>
      <w:marLeft w:val="0"/>
      <w:marRight w:val="0"/>
      <w:marTop w:val="0"/>
      <w:marBottom w:val="0"/>
      <w:divBdr>
        <w:top w:val="none" w:sz="0" w:space="0" w:color="auto"/>
        <w:left w:val="none" w:sz="0" w:space="0" w:color="auto"/>
        <w:bottom w:val="none" w:sz="0" w:space="0" w:color="auto"/>
        <w:right w:val="none" w:sz="0" w:space="0" w:color="auto"/>
      </w:divBdr>
    </w:div>
    <w:div w:id="1664818482">
      <w:bodyDiv w:val="1"/>
      <w:marLeft w:val="0"/>
      <w:marRight w:val="0"/>
      <w:marTop w:val="0"/>
      <w:marBottom w:val="0"/>
      <w:divBdr>
        <w:top w:val="none" w:sz="0" w:space="0" w:color="auto"/>
        <w:left w:val="none" w:sz="0" w:space="0" w:color="auto"/>
        <w:bottom w:val="none" w:sz="0" w:space="0" w:color="auto"/>
        <w:right w:val="none" w:sz="0" w:space="0" w:color="auto"/>
      </w:divBdr>
    </w:div>
    <w:div w:id="1671978451">
      <w:bodyDiv w:val="1"/>
      <w:marLeft w:val="0"/>
      <w:marRight w:val="0"/>
      <w:marTop w:val="0"/>
      <w:marBottom w:val="0"/>
      <w:divBdr>
        <w:top w:val="none" w:sz="0" w:space="0" w:color="auto"/>
        <w:left w:val="none" w:sz="0" w:space="0" w:color="auto"/>
        <w:bottom w:val="none" w:sz="0" w:space="0" w:color="auto"/>
        <w:right w:val="none" w:sz="0" w:space="0" w:color="auto"/>
      </w:divBdr>
    </w:div>
    <w:div w:id="1703943789">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42484542">
      <w:bodyDiv w:val="1"/>
      <w:marLeft w:val="0"/>
      <w:marRight w:val="0"/>
      <w:marTop w:val="0"/>
      <w:marBottom w:val="0"/>
      <w:divBdr>
        <w:top w:val="none" w:sz="0" w:space="0" w:color="auto"/>
        <w:left w:val="none" w:sz="0" w:space="0" w:color="auto"/>
        <w:bottom w:val="none" w:sz="0" w:space="0" w:color="auto"/>
        <w:right w:val="none" w:sz="0" w:space="0" w:color="auto"/>
      </w:divBdr>
    </w:div>
    <w:div w:id="1756245368">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20628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atlasbrasil.org.br/ranking" TargetMode="External"/><Relationship Id="rId18" Type="http://schemas.openxmlformats.org/officeDocument/2006/relationships/hyperlink" Target="http://www.atlasbrasil.org.br/rankin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tlasbrasil.org.br/ranking"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www.firjan.com.br/ifdm/consulta-ao-indice/ifd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ados.gov.br/dados/conjuntos-dados/ivs" TargetMode="External"/><Relationship Id="rId23" Type="http://schemas.openxmlformats.org/officeDocument/2006/relationships/hyperlink" Target="https://www.tcerj.tc.br/portalnovo/publicadordearquivo/estudos_socioeconomicos" TargetMode="External"/><Relationship Id="rId28" Type="http://schemas.openxmlformats.org/officeDocument/2006/relationships/theme" Target="theme/theme1.xml"/><Relationship Id="rId10" Type="http://schemas.openxmlformats.org/officeDocument/2006/relationships/hyperlink" Target="https://dados.gov.br/dados/conjuntos-dados/ivs.%20Acesso%20em%2025/08/2025" TargetMode="External"/><Relationship Id="rId19" Type="http://schemas.openxmlformats.org/officeDocument/2006/relationships/hyperlink" Target="https://cidades.ibge.gov.br/brasil/rj/itaperuna/panorama" TargetMode="External"/><Relationship Id="rId4" Type="http://schemas.openxmlformats.org/officeDocument/2006/relationships/settings" Target="settings.xml"/><Relationship Id="rId9" Type="http://schemas.openxmlformats.org/officeDocument/2006/relationships/hyperlink" Target="http://www.atlasbrasil.org.br/ranking" TargetMode="External"/><Relationship Id="rId14" Type="http://schemas.openxmlformats.org/officeDocument/2006/relationships/chart" Target="charts/chart4.xml"/><Relationship Id="rId22" Type="http://schemas.openxmlformats.org/officeDocument/2006/relationships/hyperlink" Target="https://qedu.org.br/brasil/ideb"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AngAx val="1"/>
    </c:view3D>
    <c:plotArea>
      <c:layout/>
      <c:bar3DChart>
        <c:barDir val="col"/>
        <c:grouping val="clustered"/>
        <c:ser>
          <c:idx val="0"/>
          <c:order val="0"/>
          <c:tx>
            <c:strRef>
              <c:f>'[Chart in Microsoft Office Word]Sheet1'!$B$1</c:f>
              <c:strCache>
                <c:ptCount val="1"/>
                <c:pt idx="0">
                  <c:v>IFDM RJ</c:v>
                </c:pt>
              </c:strCache>
            </c:strRef>
          </c:tx>
          <c:dLbls>
            <c:txPr>
              <a:bodyPr/>
              <a:lstStyle/>
              <a:p>
                <a:pPr>
                  <a:defRPr sz="800">
                    <a:latin typeface="Arial" pitchFamily="34" charset="0"/>
                    <a:cs typeface="Arial" pitchFamily="34" charset="0"/>
                  </a:defRPr>
                </a:pPr>
                <a:endParaRPr lang="pt-BR"/>
              </a:p>
            </c:txPr>
            <c:showVal val="1"/>
          </c:dLbls>
          <c:cat>
            <c:strRef>
              <c:f>'[Chart in Microsoft Office Word]Sheet1'!$A$2:$A$11</c:f>
              <c:strCache>
                <c:ptCount val="10"/>
                <c:pt idx="0">
                  <c:v>Capital</c:v>
                </c:pt>
                <c:pt idx="1">
                  <c:v>V. Redonda</c:v>
                </c:pt>
                <c:pt idx="2">
                  <c:v>Resende</c:v>
                </c:pt>
                <c:pt idx="3">
                  <c:v>Macaé</c:v>
                </c:pt>
                <c:pt idx="4">
                  <c:v>Piraí</c:v>
                </c:pt>
                <c:pt idx="5">
                  <c:v>Itaperuna</c:v>
                </c:pt>
                <c:pt idx="6">
                  <c:v>Petrópolis</c:v>
                </c:pt>
                <c:pt idx="7">
                  <c:v>Porto Real</c:v>
                </c:pt>
                <c:pt idx="8">
                  <c:v>Teresópolis</c:v>
                </c:pt>
                <c:pt idx="9">
                  <c:v>Areal</c:v>
                </c:pt>
              </c:strCache>
            </c:strRef>
          </c:cat>
          <c:val>
            <c:numRef>
              <c:f>'[Chart in Microsoft Office Word]Sheet1'!$B$2:$B$11</c:f>
              <c:numCache>
                <c:formatCode>General</c:formatCode>
                <c:ptCount val="10"/>
                <c:pt idx="0">
                  <c:v>0.79330000000000001</c:v>
                </c:pt>
                <c:pt idx="1">
                  <c:v>0.75560000000001382</c:v>
                </c:pt>
                <c:pt idx="2">
                  <c:v>0.74210000000000065</c:v>
                </c:pt>
                <c:pt idx="3">
                  <c:v>0.74130000000000063</c:v>
                </c:pt>
                <c:pt idx="4">
                  <c:v>0.74130000000000063</c:v>
                </c:pt>
                <c:pt idx="5">
                  <c:v>0.74010000000000065</c:v>
                </c:pt>
                <c:pt idx="6">
                  <c:v>0.7396000000000138</c:v>
                </c:pt>
                <c:pt idx="7">
                  <c:v>0.73770000000001212</c:v>
                </c:pt>
                <c:pt idx="8">
                  <c:v>0.73210000000000064</c:v>
                </c:pt>
                <c:pt idx="9">
                  <c:v>0.72510000000000063</c:v>
                </c:pt>
              </c:numCache>
            </c:numRef>
          </c:val>
        </c:ser>
        <c:dLbls>
          <c:showVal val="1"/>
        </c:dLbls>
        <c:gapWidth val="75"/>
        <c:shape val="box"/>
        <c:axId val="108716416"/>
        <c:axId val="108718336"/>
        <c:axId val="0"/>
      </c:bar3DChart>
      <c:catAx>
        <c:axId val="108716416"/>
        <c:scaling>
          <c:orientation val="minMax"/>
        </c:scaling>
        <c:axPos val="b"/>
        <c:majorTickMark val="none"/>
        <c:tickLblPos val="nextTo"/>
        <c:txPr>
          <a:bodyPr/>
          <a:lstStyle/>
          <a:p>
            <a:pPr>
              <a:defRPr>
                <a:latin typeface="Arial" pitchFamily="34" charset="0"/>
                <a:cs typeface="Arial" pitchFamily="34" charset="0"/>
              </a:defRPr>
            </a:pPr>
            <a:endParaRPr lang="pt-BR"/>
          </a:p>
        </c:txPr>
        <c:crossAx val="108718336"/>
        <c:crosses val="autoZero"/>
        <c:auto val="1"/>
        <c:lblAlgn val="ctr"/>
        <c:lblOffset val="100"/>
      </c:catAx>
      <c:valAx>
        <c:axId val="108718336"/>
        <c:scaling>
          <c:orientation val="minMax"/>
        </c:scaling>
        <c:axPos val="l"/>
        <c:numFmt formatCode="General" sourceLinked="1"/>
        <c:majorTickMark val="none"/>
        <c:tickLblPos val="nextTo"/>
        <c:txPr>
          <a:bodyPr/>
          <a:lstStyle/>
          <a:p>
            <a:pPr>
              <a:defRPr>
                <a:latin typeface="Arial" pitchFamily="34" charset="0"/>
                <a:cs typeface="Arial" pitchFamily="34" charset="0"/>
              </a:defRPr>
            </a:pPr>
            <a:endParaRPr lang="pt-BR"/>
          </a:p>
        </c:txPr>
        <c:crossAx val="108716416"/>
        <c:crosses val="autoZero"/>
        <c:crossBetween val="between"/>
      </c:valAx>
    </c:plotArea>
    <c:legend>
      <c:legendPos val="b"/>
      <c:txPr>
        <a:bodyPr/>
        <a:lstStyle/>
        <a:p>
          <a:pPr>
            <a:defRPr>
              <a:latin typeface="Arial" pitchFamily="34" charset="0"/>
              <a:cs typeface="Arial" pitchFamily="34" charset="0"/>
            </a:defRPr>
          </a:pPr>
          <a:endParaRPr lang="pt-BR"/>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tx>
            <c:strRef>
              <c:f>'[Chart in Microsoft Office Word]Sheet1'!$B$1</c:f>
              <c:strCache>
                <c:ptCount val="1"/>
                <c:pt idx="0">
                  <c:v>IFDM</c:v>
                </c:pt>
              </c:strCache>
            </c:strRef>
          </c:tx>
          <c:cat>
            <c:strRef>
              <c:f>'[Chart in Microsoft Office Word]Sheet1'!$A$2:$A$14</c:f>
              <c:strCache>
                <c:ptCount val="13"/>
                <c:pt idx="0">
                  <c:v>Itaperuna</c:v>
                </c:pt>
                <c:pt idx="1">
                  <c:v>Itaocara</c:v>
                </c:pt>
                <c:pt idx="2">
                  <c:v>Aperibé</c:v>
                </c:pt>
                <c:pt idx="3">
                  <c:v>Natividade</c:v>
                </c:pt>
                <c:pt idx="4">
                  <c:v>Bom Jesus</c:v>
                </c:pt>
                <c:pt idx="5">
                  <c:v>Laje Muriaé</c:v>
                </c:pt>
                <c:pt idx="6">
                  <c:v>S. A. Pádua</c:v>
                </c:pt>
                <c:pt idx="7">
                  <c:v>Miracema</c:v>
                </c:pt>
                <c:pt idx="8">
                  <c:v>Cambuci</c:v>
                </c:pt>
                <c:pt idx="9">
                  <c:v>Italva</c:v>
                </c:pt>
                <c:pt idx="10">
                  <c:v>S. José Ubá</c:v>
                </c:pt>
                <c:pt idx="11">
                  <c:v>Porciúncula</c:v>
                </c:pt>
                <c:pt idx="12">
                  <c:v>Varre Sai</c:v>
                </c:pt>
              </c:strCache>
            </c:strRef>
          </c:cat>
          <c:val>
            <c:numRef>
              <c:f>'[Chart in Microsoft Office Word]Sheet1'!$B$2:$B$14</c:f>
              <c:numCache>
                <c:formatCode>General</c:formatCode>
                <c:ptCount val="13"/>
                <c:pt idx="0">
                  <c:v>0.74010000000000065</c:v>
                </c:pt>
                <c:pt idx="1">
                  <c:v>0.66820000000001201</c:v>
                </c:pt>
                <c:pt idx="2">
                  <c:v>0.6670000000000138</c:v>
                </c:pt>
                <c:pt idx="3">
                  <c:v>0.64120000000000565</c:v>
                </c:pt>
                <c:pt idx="4">
                  <c:v>0.63170000000001381</c:v>
                </c:pt>
                <c:pt idx="5">
                  <c:v>0.62560000000001381</c:v>
                </c:pt>
                <c:pt idx="6">
                  <c:v>0.61839999999999995</c:v>
                </c:pt>
                <c:pt idx="7">
                  <c:v>0.60729999999999995</c:v>
                </c:pt>
                <c:pt idx="8">
                  <c:v>0.60229999999999995</c:v>
                </c:pt>
                <c:pt idx="9">
                  <c:v>0.57490000000000063</c:v>
                </c:pt>
                <c:pt idx="10">
                  <c:v>0.56620000000000004</c:v>
                </c:pt>
                <c:pt idx="11">
                  <c:v>0.55620000000000003</c:v>
                </c:pt>
                <c:pt idx="12">
                  <c:v>0.52759999999999996</c:v>
                </c:pt>
              </c:numCache>
            </c:numRef>
          </c:val>
        </c:ser>
        <c:axId val="108928000"/>
        <c:axId val="108943232"/>
      </c:barChart>
      <c:catAx>
        <c:axId val="108928000"/>
        <c:scaling>
          <c:orientation val="minMax"/>
        </c:scaling>
        <c:axPos val="b"/>
        <c:majorTickMark val="none"/>
        <c:tickLblPos val="nextTo"/>
        <c:txPr>
          <a:bodyPr/>
          <a:lstStyle/>
          <a:p>
            <a:pPr>
              <a:defRPr>
                <a:latin typeface="Arial" pitchFamily="34" charset="0"/>
                <a:cs typeface="Arial" pitchFamily="34" charset="0"/>
              </a:defRPr>
            </a:pPr>
            <a:endParaRPr lang="pt-BR"/>
          </a:p>
        </c:txPr>
        <c:crossAx val="108943232"/>
        <c:crosses val="autoZero"/>
        <c:auto val="1"/>
        <c:lblAlgn val="ctr"/>
        <c:lblOffset val="100"/>
      </c:catAx>
      <c:valAx>
        <c:axId val="108943232"/>
        <c:scaling>
          <c:orientation val="minMax"/>
        </c:scaling>
        <c:axPos val="l"/>
        <c:majorGridlines/>
        <c:numFmt formatCode="General" sourceLinked="1"/>
        <c:majorTickMark val="none"/>
        <c:tickLblPos val="nextTo"/>
        <c:txPr>
          <a:bodyPr/>
          <a:lstStyle/>
          <a:p>
            <a:pPr>
              <a:defRPr>
                <a:latin typeface="Arial" pitchFamily="34" charset="0"/>
                <a:cs typeface="Arial" pitchFamily="34" charset="0"/>
              </a:defRPr>
            </a:pPr>
            <a:endParaRPr lang="pt-BR"/>
          </a:p>
        </c:txPr>
        <c:crossAx val="108928000"/>
        <c:crosses val="autoZero"/>
        <c:crossBetween val="between"/>
      </c:valAx>
    </c:plotArea>
    <c:legend>
      <c:legendPos val="r"/>
      <c:txPr>
        <a:bodyPr/>
        <a:lstStyle/>
        <a:p>
          <a:pPr>
            <a:defRPr>
              <a:latin typeface="Arial" pitchFamily="34" charset="0"/>
              <a:cs typeface="Arial" pitchFamily="34" charset="0"/>
            </a:defRPr>
          </a:pPr>
          <a:endParaRPr lang="pt-BR"/>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tx>
            <c:strRef>
              <c:f>Sheet1!$B$1</c:f>
              <c:strCache>
                <c:ptCount val="1"/>
                <c:pt idx="0">
                  <c:v>IDH</c:v>
                </c:pt>
              </c:strCache>
            </c:strRef>
          </c:tx>
          <c:cat>
            <c:strRef>
              <c:f>Sheet1!$A$2:$A$14</c:f>
              <c:strCache>
                <c:ptCount val="13"/>
                <c:pt idx="0">
                  <c:v>S.José Ubá</c:v>
                </c:pt>
                <c:pt idx="1">
                  <c:v>Varre-Sai</c:v>
                </c:pt>
                <c:pt idx="2">
                  <c:v>Laje Muriaé</c:v>
                </c:pt>
                <c:pt idx="3">
                  <c:v>Italva</c:v>
                </c:pt>
                <c:pt idx="4">
                  <c:v>Cambuci</c:v>
                </c:pt>
                <c:pt idx="5">
                  <c:v>Aperibé</c:v>
                </c:pt>
                <c:pt idx="6">
                  <c:v>Porciúncula</c:v>
                </c:pt>
                <c:pt idx="7">
                  <c:v>Miracema</c:v>
                </c:pt>
                <c:pt idx="8">
                  <c:v>Itaocara</c:v>
                </c:pt>
                <c:pt idx="9">
                  <c:v>S.A.Pádua</c:v>
                </c:pt>
                <c:pt idx="10">
                  <c:v>Natividade</c:v>
                </c:pt>
                <c:pt idx="11">
                  <c:v>Itaperuna</c:v>
                </c:pt>
                <c:pt idx="12">
                  <c:v>Bom Jesus</c:v>
                </c:pt>
              </c:strCache>
            </c:strRef>
          </c:cat>
          <c:val>
            <c:numRef>
              <c:f>Sheet1!$B$2:$B$14</c:f>
              <c:numCache>
                <c:formatCode>General</c:formatCode>
                <c:ptCount val="13"/>
                <c:pt idx="0">
                  <c:v>0.65200000000000469</c:v>
                </c:pt>
                <c:pt idx="1">
                  <c:v>0.65900000000000492</c:v>
                </c:pt>
                <c:pt idx="2">
                  <c:v>0.66800000000000492</c:v>
                </c:pt>
                <c:pt idx="3">
                  <c:v>0.68799999999999994</c:v>
                </c:pt>
                <c:pt idx="4">
                  <c:v>0.69099999999999995</c:v>
                </c:pt>
                <c:pt idx="5">
                  <c:v>0.69199999999999995</c:v>
                </c:pt>
                <c:pt idx="6">
                  <c:v>0.69699999999999995</c:v>
                </c:pt>
                <c:pt idx="7">
                  <c:v>0.71300000000000063</c:v>
                </c:pt>
                <c:pt idx="8">
                  <c:v>0.71300000000000063</c:v>
                </c:pt>
                <c:pt idx="9">
                  <c:v>0.71800000000000064</c:v>
                </c:pt>
                <c:pt idx="10">
                  <c:v>0.73000000000000065</c:v>
                </c:pt>
                <c:pt idx="11">
                  <c:v>0.73000000000000065</c:v>
                </c:pt>
                <c:pt idx="12">
                  <c:v>0.73200000000000065</c:v>
                </c:pt>
              </c:numCache>
            </c:numRef>
          </c:val>
        </c:ser>
        <c:axId val="108969344"/>
        <c:axId val="108976768"/>
      </c:barChart>
      <c:catAx>
        <c:axId val="108969344"/>
        <c:scaling>
          <c:orientation val="minMax"/>
        </c:scaling>
        <c:axPos val="b"/>
        <c:majorTickMark val="none"/>
        <c:tickLblPos val="nextTo"/>
        <c:txPr>
          <a:bodyPr/>
          <a:lstStyle/>
          <a:p>
            <a:pPr>
              <a:defRPr>
                <a:latin typeface="Arial" pitchFamily="34" charset="0"/>
                <a:cs typeface="Arial" pitchFamily="34" charset="0"/>
              </a:defRPr>
            </a:pPr>
            <a:endParaRPr lang="pt-BR"/>
          </a:p>
        </c:txPr>
        <c:crossAx val="108976768"/>
        <c:crosses val="autoZero"/>
        <c:auto val="1"/>
        <c:lblAlgn val="ctr"/>
        <c:lblOffset val="100"/>
      </c:catAx>
      <c:valAx>
        <c:axId val="108976768"/>
        <c:scaling>
          <c:orientation val="minMax"/>
        </c:scaling>
        <c:axPos val="l"/>
        <c:majorGridlines/>
        <c:numFmt formatCode="General" sourceLinked="1"/>
        <c:majorTickMark val="none"/>
        <c:tickLblPos val="nextTo"/>
        <c:txPr>
          <a:bodyPr/>
          <a:lstStyle/>
          <a:p>
            <a:pPr>
              <a:defRPr>
                <a:latin typeface="Arial" pitchFamily="34" charset="0"/>
                <a:cs typeface="Arial" pitchFamily="34" charset="0"/>
              </a:defRPr>
            </a:pPr>
            <a:endParaRPr lang="pt-BR"/>
          </a:p>
        </c:txPr>
        <c:crossAx val="10896934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t-BR"/>
  <c:chart>
    <c:autoTitleDeleted val="1"/>
    <c:plotArea>
      <c:layout/>
      <c:barChart>
        <c:barDir val="col"/>
        <c:grouping val="clustered"/>
        <c:ser>
          <c:idx val="0"/>
          <c:order val="0"/>
          <c:tx>
            <c:strRef>
              <c:f>Sheet1!$B$1</c:f>
              <c:strCache>
                <c:ptCount val="1"/>
                <c:pt idx="0">
                  <c:v>IVS</c:v>
                </c:pt>
              </c:strCache>
            </c:strRef>
          </c:tx>
          <c:cat>
            <c:strRef>
              <c:f>Sheet1!$A$2:$A$14</c:f>
              <c:strCache>
                <c:ptCount val="13"/>
                <c:pt idx="0">
                  <c:v>Laje Muriaé</c:v>
                </c:pt>
                <c:pt idx="1">
                  <c:v>Varre-Sai</c:v>
                </c:pt>
                <c:pt idx="2">
                  <c:v>Porciúncula</c:v>
                </c:pt>
                <c:pt idx="3">
                  <c:v>Bom Jesus</c:v>
                </c:pt>
                <c:pt idx="4">
                  <c:v>S.José Ubá</c:v>
                </c:pt>
                <c:pt idx="5">
                  <c:v>Italva</c:v>
                </c:pt>
                <c:pt idx="6">
                  <c:v>S.A.Pádua</c:v>
                </c:pt>
                <c:pt idx="7">
                  <c:v>Natividade</c:v>
                </c:pt>
                <c:pt idx="8">
                  <c:v>Cambuci</c:v>
                </c:pt>
                <c:pt idx="9">
                  <c:v>Miracema</c:v>
                </c:pt>
                <c:pt idx="10">
                  <c:v>Itaocara</c:v>
                </c:pt>
                <c:pt idx="11">
                  <c:v>Itaperuna</c:v>
                </c:pt>
                <c:pt idx="12">
                  <c:v>Aperibé</c:v>
                </c:pt>
              </c:strCache>
            </c:strRef>
          </c:cat>
          <c:val>
            <c:numRef>
              <c:f>Sheet1!$B$2:$B$14</c:f>
              <c:numCache>
                <c:formatCode>General</c:formatCode>
                <c:ptCount val="13"/>
                <c:pt idx="0">
                  <c:v>0.29700000000000032</c:v>
                </c:pt>
                <c:pt idx="1">
                  <c:v>0.28000000000000008</c:v>
                </c:pt>
                <c:pt idx="2">
                  <c:v>0.27400000000000002</c:v>
                </c:pt>
                <c:pt idx="3">
                  <c:v>0.26600000000000001</c:v>
                </c:pt>
                <c:pt idx="4">
                  <c:v>0.255</c:v>
                </c:pt>
                <c:pt idx="5">
                  <c:v>0.254</c:v>
                </c:pt>
                <c:pt idx="6">
                  <c:v>0.24900000000000044</c:v>
                </c:pt>
                <c:pt idx="7">
                  <c:v>0.24400000000000024</c:v>
                </c:pt>
                <c:pt idx="8">
                  <c:v>0.24200000000000021</c:v>
                </c:pt>
                <c:pt idx="9">
                  <c:v>0.24100000000000021</c:v>
                </c:pt>
                <c:pt idx="10">
                  <c:v>0.221</c:v>
                </c:pt>
                <c:pt idx="11">
                  <c:v>0.21500000000000041</c:v>
                </c:pt>
                <c:pt idx="12">
                  <c:v>0.21100000000000024</c:v>
                </c:pt>
              </c:numCache>
            </c:numRef>
          </c:val>
        </c:ser>
        <c:dLbls>
          <c:showVal val="1"/>
        </c:dLbls>
        <c:gapWidth val="75"/>
        <c:axId val="109365888"/>
        <c:axId val="130521344"/>
      </c:barChart>
      <c:catAx>
        <c:axId val="109365888"/>
        <c:scaling>
          <c:orientation val="minMax"/>
        </c:scaling>
        <c:axPos val="b"/>
        <c:majorTickMark val="none"/>
        <c:tickLblPos val="nextTo"/>
        <c:txPr>
          <a:bodyPr/>
          <a:lstStyle/>
          <a:p>
            <a:pPr>
              <a:defRPr>
                <a:latin typeface="Arial" pitchFamily="34" charset="0"/>
                <a:cs typeface="Arial" pitchFamily="34" charset="0"/>
              </a:defRPr>
            </a:pPr>
            <a:endParaRPr lang="pt-BR"/>
          </a:p>
        </c:txPr>
        <c:crossAx val="130521344"/>
        <c:crosses val="autoZero"/>
        <c:auto val="1"/>
        <c:lblAlgn val="ctr"/>
        <c:lblOffset val="100"/>
      </c:catAx>
      <c:valAx>
        <c:axId val="130521344"/>
        <c:scaling>
          <c:orientation val="minMax"/>
        </c:scaling>
        <c:axPos val="l"/>
        <c:numFmt formatCode="General" sourceLinked="1"/>
        <c:majorTickMark val="none"/>
        <c:tickLblPos val="nextTo"/>
        <c:txPr>
          <a:bodyPr/>
          <a:lstStyle/>
          <a:p>
            <a:pPr>
              <a:defRPr>
                <a:latin typeface="Arial" pitchFamily="34" charset="0"/>
                <a:cs typeface="Arial" pitchFamily="34" charset="0"/>
              </a:defRPr>
            </a:pPr>
            <a:endParaRPr lang="pt-BR"/>
          </a:p>
        </c:txPr>
        <c:crossAx val="109365888"/>
        <c:crosses val="autoZero"/>
        <c:crossBetween val="between"/>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strRef>
              <c:f>Sheet1!$B$1</c:f>
              <c:strCache>
                <c:ptCount val="1"/>
                <c:pt idx="0">
                  <c:v>Series 1</c:v>
                </c:pt>
              </c:strCache>
            </c:strRef>
          </c:tx>
          <c:dLbls>
            <c:txPr>
              <a:bodyPr/>
              <a:lstStyle/>
              <a:p>
                <a:pPr>
                  <a:defRPr>
                    <a:latin typeface="Arial" pitchFamily="34" charset="0"/>
                    <a:cs typeface="Arial" pitchFamily="34" charset="0"/>
                  </a:defRPr>
                </a:pPr>
                <a:endParaRPr lang="pt-BR"/>
              </a:p>
            </c:txPr>
            <c:showVal val="1"/>
          </c:dLbls>
          <c:cat>
            <c:strRef>
              <c:f>Sheet1!$A$2:$A$6</c:f>
              <c:strCache>
                <c:ptCount val="4"/>
                <c:pt idx="0">
                  <c:v> IFDM</c:v>
                </c:pt>
                <c:pt idx="1">
                  <c:v>Educação</c:v>
                </c:pt>
                <c:pt idx="2">
                  <c:v> Saúde</c:v>
                </c:pt>
                <c:pt idx="3">
                  <c:v>Emprego/Y</c:v>
                </c:pt>
              </c:strCache>
            </c:strRef>
          </c:cat>
          <c:val>
            <c:numRef>
              <c:f>Sheet1!$B$2:$B$6</c:f>
              <c:numCache>
                <c:formatCode>General</c:formatCode>
                <c:ptCount val="5"/>
                <c:pt idx="0">
                  <c:v>0.74010000000000065</c:v>
                </c:pt>
                <c:pt idx="1">
                  <c:v>0.70750000000000002</c:v>
                </c:pt>
                <c:pt idx="2">
                  <c:v>0.73250000000000004</c:v>
                </c:pt>
                <c:pt idx="3">
                  <c:v>0.7802</c:v>
                </c:pt>
              </c:numCache>
            </c:numRef>
          </c:val>
        </c:ser>
        <c:ser>
          <c:idx val="1"/>
          <c:order val="1"/>
          <c:tx>
            <c:strRef>
              <c:f>Sheet1!$C$1</c:f>
              <c:strCache>
                <c:ptCount val="1"/>
                <c:pt idx="0">
                  <c:v>Column1</c:v>
                </c:pt>
              </c:strCache>
            </c:strRef>
          </c:tx>
          <c:dLbls>
            <c:delete val="1"/>
          </c:dLbls>
          <c:cat>
            <c:strRef>
              <c:f>Sheet1!$A$2:$A$6</c:f>
              <c:strCache>
                <c:ptCount val="4"/>
                <c:pt idx="0">
                  <c:v> IFDM</c:v>
                </c:pt>
                <c:pt idx="1">
                  <c:v>Educação</c:v>
                </c:pt>
                <c:pt idx="2">
                  <c:v> Saúde</c:v>
                </c:pt>
                <c:pt idx="3">
                  <c:v>Emprego/Y</c:v>
                </c:pt>
              </c:strCache>
            </c:strRef>
          </c:cat>
          <c:val>
            <c:numRef>
              <c:f>Sheet1!$C$2:$C$6</c:f>
              <c:numCache>
                <c:formatCode>General</c:formatCode>
                <c:ptCount val="5"/>
                <c:pt idx="4">
                  <c:v>0</c:v>
                </c:pt>
              </c:numCache>
            </c:numRef>
          </c:val>
        </c:ser>
        <c:ser>
          <c:idx val="2"/>
          <c:order val="2"/>
          <c:tx>
            <c:strRef>
              <c:f>Sheet1!$D$1</c:f>
              <c:strCache>
                <c:ptCount val="1"/>
                <c:pt idx="0">
                  <c:v>Column2</c:v>
                </c:pt>
              </c:strCache>
            </c:strRef>
          </c:tx>
          <c:cat>
            <c:strRef>
              <c:f>Sheet1!$A$2:$A$6</c:f>
              <c:strCache>
                <c:ptCount val="4"/>
                <c:pt idx="0">
                  <c:v> IFDM</c:v>
                </c:pt>
                <c:pt idx="1">
                  <c:v>Educação</c:v>
                </c:pt>
                <c:pt idx="2">
                  <c:v> Saúde</c:v>
                </c:pt>
                <c:pt idx="3">
                  <c:v>Emprego/Y</c:v>
                </c:pt>
              </c:strCache>
            </c:strRef>
          </c:cat>
          <c:val>
            <c:numRef>
              <c:f>Sheet1!$D$2:$D$6</c:f>
              <c:numCache>
                <c:formatCode>General</c:formatCode>
                <c:ptCount val="5"/>
              </c:numCache>
            </c:numRef>
          </c:val>
        </c:ser>
        <c:dLbls>
          <c:showVal val="1"/>
        </c:dLbls>
        <c:gapWidth val="75"/>
        <c:axId val="138238592"/>
        <c:axId val="144501760"/>
      </c:barChart>
      <c:catAx>
        <c:axId val="138238592"/>
        <c:scaling>
          <c:orientation val="minMax"/>
        </c:scaling>
        <c:axPos val="b"/>
        <c:majorTickMark val="none"/>
        <c:tickLblPos val="nextTo"/>
        <c:txPr>
          <a:bodyPr/>
          <a:lstStyle/>
          <a:p>
            <a:pPr>
              <a:defRPr>
                <a:latin typeface="Arial" pitchFamily="34" charset="0"/>
                <a:cs typeface="Arial" pitchFamily="34" charset="0"/>
              </a:defRPr>
            </a:pPr>
            <a:endParaRPr lang="pt-BR"/>
          </a:p>
        </c:txPr>
        <c:crossAx val="144501760"/>
        <c:crosses val="autoZero"/>
        <c:auto val="1"/>
        <c:lblAlgn val="ctr"/>
        <c:lblOffset val="100"/>
      </c:catAx>
      <c:valAx>
        <c:axId val="144501760"/>
        <c:scaling>
          <c:orientation val="minMax"/>
        </c:scaling>
        <c:axPos val="l"/>
        <c:numFmt formatCode="General" sourceLinked="1"/>
        <c:majorTickMark val="none"/>
        <c:tickLblPos val="nextTo"/>
        <c:txPr>
          <a:bodyPr/>
          <a:lstStyle/>
          <a:p>
            <a:pPr>
              <a:defRPr>
                <a:latin typeface="Arial" pitchFamily="34" charset="0"/>
                <a:cs typeface="Arial" pitchFamily="34" charset="0"/>
              </a:defRPr>
            </a:pPr>
            <a:endParaRPr lang="pt-BR"/>
          </a:p>
        </c:txPr>
        <c:crossAx val="13823859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tx>
            <c:strRef>
              <c:f>Sheet1!$A$2</c:f>
              <c:strCache>
                <c:ptCount val="1"/>
                <c:pt idx="0">
                  <c:v>Itaperuna</c:v>
                </c:pt>
              </c:strCache>
            </c:strRef>
          </c:tx>
          <c:cat>
            <c:strRef>
              <c:f>Sheet1!$B$1:$E$1</c:f>
              <c:strCache>
                <c:ptCount val="4"/>
                <c:pt idx="0">
                  <c:v>IDH-M</c:v>
                </c:pt>
                <c:pt idx="1">
                  <c:v>Renda</c:v>
                </c:pt>
                <c:pt idx="2">
                  <c:v>Educação</c:v>
                </c:pt>
                <c:pt idx="3">
                  <c:v>Longevidade</c:v>
                </c:pt>
              </c:strCache>
            </c:strRef>
          </c:cat>
          <c:val>
            <c:numRef>
              <c:f>Sheet1!$B$2:$E$2</c:f>
              <c:numCache>
                <c:formatCode>General</c:formatCode>
                <c:ptCount val="4"/>
                <c:pt idx="0">
                  <c:v>0.73000000000000065</c:v>
                </c:pt>
                <c:pt idx="1">
                  <c:v>0.71600000000000064</c:v>
                </c:pt>
                <c:pt idx="2">
                  <c:v>0.64900000000000424</c:v>
                </c:pt>
                <c:pt idx="3">
                  <c:v>0.83700000000000063</c:v>
                </c:pt>
              </c:numCache>
            </c:numRef>
          </c:val>
        </c:ser>
        <c:dLbls>
          <c:showVal val="1"/>
        </c:dLbls>
        <c:gapWidth val="75"/>
        <c:axId val="108373120"/>
        <c:axId val="108374656"/>
      </c:barChart>
      <c:catAx>
        <c:axId val="108373120"/>
        <c:scaling>
          <c:orientation val="minMax"/>
        </c:scaling>
        <c:axPos val="b"/>
        <c:majorTickMark val="none"/>
        <c:tickLblPos val="nextTo"/>
        <c:crossAx val="108374656"/>
        <c:crosses val="autoZero"/>
        <c:auto val="1"/>
        <c:lblAlgn val="ctr"/>
        <c:lblOffset val="100"/>
      </c:catAx>
      <c:valAx>
        <c:axId val="108374656"/>
        <c:scaling>
          <c:orientation val="minMax"/>
        </c:scaling>
        <c:axPos val="l"/>
        <c:numFmt formatCode="General" sourceLinked="1"/>
        <c:majorTickMark val="none"/>
        <c:tickLblPos val="nextTo"/>
        <c:crossAx val="108373120"/>
        <c:crosses val="autoZero"/>
        <c:crossBetween val="between"/>
      </c:valAx>
    </c:plotArea>
    <c:legend>
      <c:legendPos val="b"/>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17FF-E5CA-4BC4-B833-08201D24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7520</TotalTime>
  <Pages>1</Pages>
  <Words>5420</Words>
  <Characters>29270</Characters>
  <Application>Microsoft Office Word</Application>
  <DocSecurity>0</DocSecurity>
  <Lines>243</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34621</CharactersWithSpaces>
  <SharedDoc>false</SharedDoc>
  <HLinks>
    <vt:vector size="24" baseType="variant">
      <vt:variant>
        <vt:i4>2359340</vt:i4>
      </vt:variant>
      <vt:variant>
        <vt:i4>9</vt:i4>
      </vt:variant>
      <vt:variant>
        <vt:i4>0</vt:i4>
      </vt:variant>
      <vt:variant>
        <vt:i4>5</vt:i4>
      </vt:variant>
      <vt:variant>
        <vt:lpwstr>http://www.abnt.org.br/</vt:lpwstr>
      </vt:variant>
      <vt:variant>
        <vt:lpwstr/>
      </vt:variant>
      <vt:variant>
        <vt:i4>2490484</vt:i4>
      </vt:variant>
      <vt:variant>
        <vt:i4>6</vt:i4>
      </vt:variant>
      <vt:variant>
        <vt:i4>0</vt:i4>
      </vt:variant>
      <vt:variant>
        <vt:i4>5</vt:i4>
      </vt:variant>
      <vt:variant>
        <vt:lpwstr>http://loja.ibge.gov.br/informacoes-gerais/normas/normas-de-apresentac-o-tabular-3-edic-o.html</vt:lpwstr>
      </vt:variant>
      <vt:variant>
        <vt:lpwstr/>
      </vt:variant>
      <vt:variant>
        <vt:i4>1179649</vt:i4>
      </vt:variant>
      <vt:variant>
        <vt:i4>3</vt:i4>
      </vt:variant>
      <vt:variant>
        <vt:i4>0</vt:i4>
      </vt:variant>
      <vt:variant>
        <vt:i4>5</vt:i4>
      </vt:variant>
      <vt:variant>
        <vt:lpwstr>http://www.ibge.gov.br/home/</vt:lpwstr>
      </vt:variant>
      <vt:variant>
        <vt:lpwstr/>
      </vt:variant>
      <vt:variant>
        <vt:i4>2490484</vt:i4>
      </vt:variant>
      <vt:variant>
        <vt:i4>0</vt:i4>
      </vt:variant>
      <vt:variant>
        <vt:i4>0</vt:i4>
      </vt:variant>
      <vt:variant>
        <vt:i4>5</vt:i4>
      </vt:variant>
      <vt:variant>
        <vt:lpwstr>http://loja.ibge.gov.br/informacoes-gerais/normas/normas-de-apresentac-o-tabular-3-edic-o.html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CAC</cp:lastModifiedBy>
  <cp:revision>12</cp:revision>
  <cp:lastPrinted>2011-10-07T12:07:00Z</cp:lastPrinted>
  <dcterms:created xsi:type="dcterms:W3CDTF">2025-09-12T15:25:00Z</dcterms:created>
  <dcterms:modified xsi:type="dcterms:W3CDTF">2025-10-16T13:08:00Z</dcterms:modified>
</cp:coreProperties>
</file>