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D397F" w14:textId="1570566D" w:rsidR="000414E8" w:rsidRDefault="000414E8" w:rsidP="004739E0">
      <w:pPr>
        <w:shd w:val="clear" w:color="auto" w:fill="FFFFFF"/>
        <w:spacing w:line="360" w:lineRule="auto"/>
        <w:ind w:left="357"/>
        <w:rPr>
          <w:rFonts w:ascii="Arial" w:hAnsi="Arial" w:cs="Arial"/>
          <w:color w:val="212529"/>
          <w:sz w:val="18"/>
          <w:szCs w:val="18"/>
        </w:rPr>
      </w:pPr>
    </w:p>
    <w:p w14:paraId="6C185EA6" w14:textId="77777777" w:rsidR="005A314C" w:rsidRDefault="005A314C" w:rsidP="004739E0">
      <w:pPr>
        <w:shd w:val="clear" w:color="auto" w:fill="FFFFFF"/>
        <w:spacing w:line="360" w:lineRule="auto"/>
        <w:ind w:left="357"/>
        <w:rPr>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rFonts w:ascii="Arial" w:hAnsi="Arial" w:cs="Arial"/>
          <w:color w:val="212529"/>
          <w:sz w:val="18"/>
          <w:szCs w:val="18"/>
        </w:rPr>
      </w:pPr>
    </w:p>
    <w:p w14:paraId="7D9A5EB3" w14:textId="77777777" w:rsidR="005A314C" w:rsidRPr="004739E0"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6F4F291E" w:rsidR="00235886" w:rsidRPr="005B4444" w:rsidRDefault="00EC33AE" w:rsidP="004739E0">
      <w:pPr>
        <w:pStyle w:val="IDpaper-Title"/>
        <w:widowControl/>
        <w:spacing w:line="360" w:lineRule="auto"/>
        <w:ind w:left="0"/>
        <w:jc w:val="center"/>
        <w:rPr>
          <w:rFonts w:ascii="Times New Roman" w:hAnsi="Times New Roman"/>
          <w:color w:val="0070C0"/>
          <w:szCs w:val="24"/>
          <w:lang w:val="pt-BR"/>
        </w:rPr>
      </w:pPr>
      <w:bookmarkStart w:id="0" w:name="_Hlk120915664"/>
      <w:r w:rsidRPr="005B4444">
        <w:rPr>
          <w:rFonts w:ascii="Times New Roman" w:hAnsi="Times New Roman"/>
          <w:szCs w:val="24"/>
          <w:lang w:val="pt-BR"/>
        </w:rPr>
        <w:t xml:space="preserve">Eixo Temático: </w:t>
      </w:r>
      <w:bookmarkEnd w:id="0"/>
      <w:r w:rsidR="00726C54" w:rsidRPr="005B4444">
        <w:rPr>
          <w:rFonts w:ascii="Times New Roman" w:hAnsi="Times New Roman"/>
          <w:bCs/>
          <w:color w:val="0070C0"/>
          <w:szCs w:val="24"/>
          <w:lang w:val="pt-BR"/>
        </w:rPr>
        <w:t>Políticas Públicas, Emancipação e Desenvolvimento Regional</w:t>
      </w:r>
    </w:p>
    <w:p w14:paraId="53D78E6B" w14:textId="77777777" w:rsidR="00726C54" w:rsidRPr="005B4444" w:rsidRDefault="00726C54" w:rsidP="004739E0">
      <w:pPr>
        <w:pStyle w:val="IDpaper-Title"/>
        <w:widowControl/>
        <w:spacing w:line="360" w:lineRule="auto"/>
        <w:ind w:left="0"/>
        <w:jc w:val="center"/>
        <w:rPr>
          <w:rFonts w:ascii="Times New Roman" w:hAnsi="Times New Roman"/>
          <w:color w:val="212529"/>
          <w:sz w:val="16"/>
          <w:szCs w:val="16"/>
          <w:lang w:val="pt-BR"/>
        </w:rPr>
      </w:pPr>
    </w:p>
    <w:p w14:paraId="4A51AD2D" w14:textId="1923C06E" w:rsidR="005E648F" w:rsidRPr="005B4444" w:rsidRDefault="00726C54" w:rsidP="004739E0">
      <w:pPr>
        <w:pStyle w:val="IDpaper-Title"/>
        <w:widowControl/>
        <w:spacing w:line="360" w:lineRule="auto"/>
        <w:ind w:left="0"/>
        <w:jc w:val="center"/>
        <w:rPr>
          <w:rFonts w:ascii="Times New Roman" w:hAnsi="Times New Roman"/>
          <w:sz w:val="28"/>
          <w:szCs w:val="28"/>
        </w:rPr>
      </w:pPr>
      <w:r w:rsidRPr="005B4444">
        <w:rPr>
          <w:rFonts w:ascii="Times New Roman" w:hAnsi="Times New Roman"/>
          <w:sz w:val="28"/>
          <w:szCs w:val="28"/>
        </w:rPr>
        <w:t xml:space="preserve">O </w:t>
      </w:r>
      <w:proofErr w:type="spellStart"/>
      <w:r w:rsidRPr="005B4444">
        <w:rPr>
          <w:rFonts w:ascii="Times New Roman" w:hAnsi="Times New Roman"/>
          <w:sz w:val="28"/>
          <w:szCs w:val="28"/>
        </w:rPr>
        <w:t>papel</w:t>
      </w:r>
      <w:proofErr w:type="spellEnd"/>
      <w:r w:rsidRPr="005B4444">
        <w:rPr>
          <w:rFonts w:ascii="Times New Roman" w:hAnsi="Times New Roman"/>
          <w:sz w:val="28"/>
          <w:szCs w:val="28"/>
        </w:rPr>
        <w:t xml:space="preserve"> do Fundo Social do Pré-Sal </w:t>
      </w:r>
      <w:proofErr w:type="spellStart"/>
      <w:r w:rsidRPr="005B4444">
        <w:rPr>
          <w:rFonts w:ascii="Times New Roman" w:hAnsi="Times New Roman"/>
          <w:sz w:val="28"/>
          <w:szCs w:val="28"/>
        </w:rPr>
        <w:t>na</w:t>
      </w:r>
      <w:proofErr w:type="spellEnd"/>
      <w:r w:rsidRPr="005B4444">
        <w:rPr>
          <w:rFonts w:ascii="Times New Roman" w:hAnsi="Times New Roman"/>
          <w:sz w:val="28"/>
          <w:szCs w:val="28"/>
        </w:rPr>
        <w:t xml:space="preserve"> </w:t>
      </w:r>
      <w:proofErr w:type="spellStart"/>
      <w:r w:rsidRPr="005B4444">
        <w:rPr>
          <w:rFonts w:ascii="Times New Roman" w:hAnsi="Times New Roman"/>
          <w:sz w:val="28"/>
          <w:szCs w:val="28"/>
        </w:rPr>
        <w:t>viabilidade</w:t>
      </w:r>
      <w:proofErr w:type="spellEnd"/>
      <w:r w:rsidRPr="005B4444">
        <w:rPr>
          <w:rFonts w:ascii="Times New Roman" w:hAnsi="Times New Roman"/>
          <w:sz w:val="28"/>
          <w:szCs w:val="28"/>
        </w:rPr>
        <w:t xml:space="preserve"> do Piso </w:t>
      </w:r>
      <w:proofErr w:type="spellStart"/>
      <w:r w:rsidRPr="005B4444">
        <w:rPr>
          <w:rFonts w:ascii="Times New Roman" w:hAnsi="Times New Roman"/>
          <w:sz w:val="28"/>
          <w:szCs w:val="28"/>
        </w:rPr>
        <w:t>Salarial</w:t>
      </w:r>
      <w:proofErr w:type="spellEnd"/>
      <w:r w:rsidRPr="005B4444">
        <w:rPr>
          <w:rFonts w:ascii="Times New Roman" w:hAnsi="Times New Roman"/>
          <w:sz w:val="28"/>
          <w:szCs w:val="28"/>
        </w:rPr>
        <w:t xml:space="preserve"> Nacional do </w:t>
      </w:r>
      <w:proofErr w:type="spellStart"/>
      <w:r w:rsidRPr="005B4444">
        <w:rPr>
          <w:rFonts w:ascii="Times New Roman" w:hAnsi="Times New Roman"/>
          <w:sz w:val="28"/>
          <w:szCs w:val="28"/>
        </w:rPr>
        <w:t>magistério</w:t>
      </w:r>
      <w:proofErr w:type="spellEnd"/>
      <w:r w:rsidRPr="005B4444">
        <w:rPr>
          <w:rFonts w:ascii="Times New Roman" w:hAnsi="Times New Roman"/>
          <w:sz w:val="28"/>
          <w:szCs w:val="28"/>
        </w:rPr>
        <w:t xml:space="preserve"> </w:t>
      </w:r>
      <w:proofErr w:type="spellStart"/>
      <w:r w:rsidRPr="005B4444">
        <w:rPr>
          <w:rFonts w:ascii="Times New Roman" w:hAnsi="Times New Roman"/>
          <w:sz w:val="28"/>
          <w:szCs w:val="28"/>
        </w:rPr>
        <w:t>público</w:t>
      </w:r>
      <w:proofErr w:type="spellEnd"/>
      <w:r w:rsidRPr="005B4444">
        <w:rPr>
          <w:rFonts w:ascii="Times New Roman" w:hAnsi="Times New Roman"/>
          <w:sz w:val="28"/>
          <w:szCs w:val="28"/>
        </w:rPr>
        <w:t xml:space="preserve"> da </w:t>
      </w:r>
      <w:proofErr w:type="spellStart"/>
      <w:r w:rsidRPr="005B4444">
        <w:rPr>
          <w:rFonts w:ascii="Times New Roman" w:hAnsi="Times New Roman"/>
          <w:sz w:val="28"/>
          <w:szCs w:val="28"/>
        </w:rPr>
        <w:t>educação</w:t>
      </w:r>
      <w:proofErr w:type="spellEnd"/>
      <w:r w:rsidRPr="005B4444">
        <w:rPr>
          <w:rFonts w:ascii="Times New Roman" w:hAnsi="Times New Roman"/>
          <w:sz w:val="28"/>
          <w:szCs w:val="28"/>
        </w:rPr>
        <w:t xml:space="preserve"> </w:t>
      </w:r>
      <w:proofErr w:type="spellStart"/>
      <w:r w:rsidRPr="005B4444">
        <w:rPr>
          <w:rFonts w:ascii="Times New Roman" w:hAnsi="Times New Roman"/>
          <w:sz w:val="28"/>
          <w:szCs w:val="28"/>
        </w:rPr>
        <w:t>básica</w:t>
      </w:r>
      <w:proofErr w:type="spellEnd"/>
      <w:r w:rsidRPr="005B4444">
        <w:rPr>
          <w:rFonts w:ascii="Times New Roman" w:hAnsi="Times New Roman"/>
          <w:sz w:val="28"/>
          <w:szCs w:val="28"/>
        </w:rPr>
        <w:t xml:space="preserve"> (Lei nº11.738/2008) e </w:t>
      </w:r>
      <w:proofErr w:type="spellStart"/>
      <w:r w:rsidRPr="005B4444">
        <w:rPr>
          <w:rFonts w:ascii="Times New Roman" w:hAnsi="Times New Roman"/>
          <w:sz w:val="28"/>
          <w:szCs w:val="28"/>
        </w:rPr>
        <w:t>os</w:t>
      </w:r>
      <w:proofErr w:type="spellEnd"/>
      <w:r w:rsidRPr="005B4444">
        <w:rPr>
          <w:rFonts w:ascii="Times New Roman" w:hAnsi="Times New Roman"/>
          <w:sz w:val="28"/>
          <w:szCs w:val="28"/>
        </w:rPr>
        <w:t xml:space="preserve"> </w:t>
      </w:r>
      <w:proofErr w:type="spellStart"/>
      <w:r w:rsidRPr="005B4444">
        <w:rPr>
          <w:rFonts w:ascii="Times New Roman" w:hAnsi="Times New Roman"/>
          <w:sz w:val="28"/>
          <w:szCs w:val="28"/>
        </w:rPr>
        <w:t>desafios</w:t>
      </w:r>
      <w:proofErr w:type="spellEnd"/>
      <w:r w:rsidRPr="005B4444">
        <w:rPr>
          <w:rFonts w:ascii="Times New Roman" w:hAnsi="Times New Roman"/>
          <w:sz w:val="28"/>
          <w:szCs w:val="28"/>
        </w:rPr>
        <w:t xml:space="preserve"> do </w:t>
      </w:r>
      <w:proofErr w:type="spellStart"/>
      <w:r w:rsidRPr="005B4444">
        <w:rPr>
          <w:rFonts w:ascii="Times New Roman" w:hAnsi="Times New Roman"/>
          <w:sz w:val="28"/>
          <w:szCs w:val="28"/>
        </w:rPr>
        <w:t>federalismo</w:t>
      </w:r>
      <w:proofErr w:type="spellEnd"/>
      <w:r w:rsidRPr="005B4444">
        <w:rPr>
          <w:rFonts w:ascii="Times New Roman" w:hAnsi="Times New Roman"/>
          <w:sz w:val="28"/>
          <w:szCs w:val="28"/>
        </w:rPr>
        <w:t xml:space="preserve"> </w:t>
      </w:r>
      <w:proofErr w:type="spellStart"/>
      <w:r w:rsidRPr="005B4444">
        <w:rPr>
          <w:rFonts w:ascii="Times New Roman" w:hAnsi="Times New Roman"/>
          <w:sz w:val="28"/>
          <w:szCs w:val="28"/>
        </w:rPr>
        <w:t>brasileiro</w:t>
      </w:r>
      <w:proofErr w:type="spellEnd"/>
    </w:p>
    <w:p w14:paraId="3F0CDCF4" w14:textId="77777777" w:rsidR="00726C54" w:rsidRPr="005B4444" w:rsidRDefault="00726C54" w:rsidP="004739E0">
      <w:pPr>
        <w:pStyle w:val="IDpaper-Title"/>
        <w:widowControl/>
        <w:spacing w:line="360" w:lineRule="auto"/>
        <w:ind w:left="0"/>
        <w:jc w:val="center"/>
        <w:rPr>
          <w:rFonts w:ascii="Times New Roman" w:hAnsi="Times New Roman"/>
          <w:sz w:val="28"/>
          <w:szCs w:val="28"/>
        </w:rPr>
      </w:pPr>
    </w:p>
    <w:p w14:paraId="381446FB" w14:textId="77777777" w:rsidR="00726C54" w:rsidRPr="00726C54" w:rsidRDefault="00726C54" w:rsidP="00726C54">
      <w:pPr>
        <w:pStyle w:val="IDpaper-Title"/>
        <w:spacing w:line="360" w:lineRule="auto"/>
        <w:jc w:val="center"/>
        <w:rPr>
          <w:rFonts w:ascii="Times New Roman" w:hAnsi="Times New Roman"/>
          <w:szCs w:val="24"/>
        </w:rPr>
      </w:pPr>
      <w:r w:rsidRPr="00726C54">
        <w:rPr>
          <w:rFonts w:ascii="Times New Roman" w:hAnsi="Times New Roman"/>
          <w:szCs w:val="24"/>
          <w:lang w:val="en"/>
        </w:rPr>
        <w:t>The role of the Pre-Salt Social Fund in the viability of the National Minimum Wage for public education teachers (Law No. 11,738/2008) and the challenges of Brazilian federalism</w:t>
      </w:r>
    </w:p>
    <w:p w14:paraId="766771F0" w14:textId="77777777" w:rsidR="00726C54" w:rsidRPr="005B4444" w:rsidRDefault="00726C54" w:rsidP="004739E0">
      <w:pPr>
        <w:pStyle w:val="IDpaper-Title"/>
        <w:widowControl/>
        <w:spacing w:line="360" w:lineRule="auto"/>
        <w:ind w:left="0"/>
        <w:jc w:val="center"/>
        <w:rPr>
          <w:rFonts w:ascii="Times New Roman" w:hAnsi="Times New Roman"/>
          <w:sz w:val="28"/>
          <w:szCs w:val="28"/>
          <w:lang w:val="pt-BR"/>
        </w:rPr>
      </w:pPr>
    </w:p>
    <w:p w14:paraId="2815D1FD" w14:textId="77777777" w:rsidR="00726C54" w:rsidRPr="005B4444" w:rsidRDefault="00726C54" w:rsidP="004739E0">
      <w:pPr>
        <w:pStyle w:val="IDpaper-Title"/>
        <w:widowControl/>
        <w:spacing w:line="360" w:lineRule="auto"/>
        <w:ind w:left="0"/>
        <w:jc w:val="center"/>
        <w:rPr>
          <w:rFonts w:ascii="Times New Roman" w:hAnsi="Times New Roman"/>
          <w:sz w:val="28"/>
          <w:szCs w:val="28"/>
          <w:lang w:val="pt-BR"/>
        </w:rPr>
      </w:pPr>
    </w:p>
    <w:p w14:paraId="6A467ECA" w14:textId="60BF561F" w:rsidR="00D12011" w:rsidRPr="005B4444" w:rsidRDefault="00726C54" w:rsidP="00D12011">
      <w:pPr>
        <w:widowControl w:val="0"/>
        <w:shd w:val="clear" w:color="auto" w:fill="FFFFFF"/>
        <w:tabs>
          <w:tab w:val="left" w:pos="709"/>
          <w:tab w:val="left" w:pos="3119"/>
          <w:tab w:val="left" w:pos="5812"/>
        </w:tabs>
        <w:spacing w:line="276" w:lineRule="auto"/>
        <w:jc w:val="right"/>
        <w:outlineLvl w:val="0"/>
        <w:rPr>
          <w:sz w:val="18"/>
          <w:szCs w:val="18"/>
        </w:rPr>
      </w:pPr>
      <w:r w:rsidRPr="005B4444">
        <w:rPr>
          <w:sz w:val="18"/>
          <w:szCs w:val="18"/>
        </w:rPr>
        <w:t>Charles Gonçalves Ferreira</w:t>
      </w:r>
      <w:r w:rsidR="00D12011" w:rsidRPr="005B4444">
        <w:rPr>
          <w:rStyle w:val="Refdenotaderodap"/>
          <w:sz w:val="18"/>
          <w:szCs w:val="18"/>
        </w:rPr>
        <w:footnoteReference w:id="1"/>
      </w:r>
    </w:p>
    <w:p w14:paraId="3C850F95" w14:textId="129B5359" w:rsidR="00D12011" w:rsidRPr="005B4444" w:rsidRDefault="00726C54" w:rsidP="00D12011">
      <w:pPr>
        <w:widowControl w:val="0"/>
        <w:shd w:val="clear" w:color="auto" w:fill="FFFFFF"/>
        <w:tabs>
          <w:tab w:val="left" w:pos="709"/>
          <w:tab w:val="left" w:pos="3119"/>
          <w:tab w:val="left" w:pos="5812"/>
        </w:tabs>
        <w:spacing w:line="276" w:lineRule="auto"/>
        <w:jc w:val="right"/>
        <w:outlineLvl w:val="0"/>
        <w:rPr>
          <w:sz w:val="18"/>
          <w:szCs w:val="18"/>
        </w:rPr>
      </w:pPr>
      <w:r w:rsidRPr="005B4444">
        <w:rPr>
          <w:sz w:val="18"/>
          <w:szCs w:val="18"/>
        </w:rPr>
        <w:t xml:space="preserve">Valdir Júnio dos Santos </w:t>
      </w:r>
      <w:r w:rsidR="00D12011" w:rsidRPr="005B4444">
        <w:rPr>
          <w:rStyle w:val="Refdenotaderodap"/>
          <w:sz w:val="18"/>
          <w:szCs w:val="18"/>
        </w:rPr>
        <w:footnoteReference w:id="2"/>
      </w:r>
    </w:p>
    <w:p w14:paraId="1DCA367A" w14:textId="68E60B80" w:rsidR="00D12011" w:rsidRPr="005B4444" w:rsidRDefault="00D12011" w:rsidP="00D12011">
      <w:pPr>
        <w:widowControl w:val="0"/>
        <w:shd w:val="clear" w:color="auto" w:fill="FFFFFF"/>
        <w:tabs>
          <w:tab w:val="left" w:pos="709"/>
          <w:tab w:val="left" w:pos="3119"/>
          <w:tab w:val="left" w:pos="5812"/>
        </w:tabs>
        <w:spacing w:line="276" w:lineRule="auto"/>
        <w:jc w:val="right"/>
        <w:outlineLvl w:val="0"/>
        <w:rPr>
          <w:sz w:val="18"/>
          <w:szCs w:val="18"/>
        </w:rPr>
      </w:pPr>
      <w:r w:rsidRPr="005B4444">
        <w:rPr>
          <w:sz w:val="18"/>
          <w:szCs w:val="18"/>
        </w:rPr>
        <w:t>...</w:t>
      </w:r>
    </w:p>
    <w:p w14:paraId="1B53831B" w14:textId="53908E43" w:rsidR="00506622" w:rsidRPr="005B4444" w:rsidRDefault="00506622" w:rsidP="009E2AAF">
      <w:pPr>
        <w:widowControl w:val="0"/>
        <w:shd w:val="clear" w:color="auto" w:fill="FFFFFF"/>
        <w:tabs>
          <w:tab w:val="left" w:pos="709"/>
          <w:tab w:val="left" w:pos="3119"/>
          <w:tab w:val="left" w:pos="5812"/>
        </w:tabs>
        <w:spacing w:line="276" w:lineRule="auto"/>
        <w:jc w:val="center"/>
        <w:outlineLvl w:val="0"/>
        <w:rPr>
          <w:color w:val="FF0000"/>
          <w:sz w:val="18"/>
          <w:szCs w:val="18"/>
        </w:rPr>
      </w:pPr>
    </w:p>
    <w:p w14:paraId="6BAE86EA" w14:textId="217AB266" w:rsidR="00D12011" w:rsidRPr="005B4444" w:rsidRDefault="00D12011" w:rsidP="009E2AAF">
      <w:pPr>
        <w:widowControl w:val="0"/>
        <w:shd w:val="clear" w:color="auto" w:fill="FFFFFF"/>
        <w:tabs>
          <w:tab w:val="left" w:pos="709"/>
          <w:tab w:val="left" w:pos="3119"/>
          <w:tab w:val="left" w:pos="5812"/>
        </w:tabs>
        <w:spacing w:line="276" w:lineRule="auto"/>
        <w:jc w:val="center"/>
        <w:outlineLvl w:val="0"/>
        <w:rPr>
          <w:color w:val="FF0000"/>
          <w:sz w:val="18"/>
          <w:szCs w:val="18"/>
        </w:rPr>
      </w:pPr>
    </w:p>
    <w:p w14:paraId="7B1AC267" w14:textId="77777777" w:rsidR="00D12011" w:rsidRPr="005B4444" w:rsidRDefault="00D12011" w:rsidP="009E2AAF">
      <w:pPr>
        <w:widowControl w:val="0"/>
        <w:shd w:val="clear" w:color="auto" w:fill="FFFFFF"/>
        <w:tabs>
          <w:tab w:val="left" w:pos="709"/>
          <w:tab w:val="left" w:pos="3119"/>
          <w:tab w:val="left" w:pos="5812"/>
        </w:tabs>
        <w:spacing w:line="276" w:lineRule="auto"/>
        <w:jc w:val="center"/>
        <w:outlineLvl w:val="0"/>
        <w:rPr>
          <w:color w:val="FF0000"/>
          <w:sz w:val="18"/>
          <w:szCs w:val="18"/>
        </w:rPr>
      </w:pPr>
    </w:p>
    <w:p w14:paraId="48E0BCE3" w14:textId="0EBBEA6A" w:rsidR="00506622" w:rsidRPr="005B4444" w:rsidRDefault="00506622" w:rsidP="009E2AAF">
      <w:pPr>
        <w:autoSpaceDE w:val="0"/>
        <w:autoSpaceDN w:val="0"/>
        <w:adjustRightInd w:val="0"/>
        <w:spacing w:line="276" w:lineRule="auto"/>
        <w:jc w:val="both"/>
        <w:rPr>
          <w:b/>
          <w:sz w:val="20"/>
          <w:szCs w:val="20"/>
        </w:rPr>
      </w:pPr>
      <w:r w:rsidRPr="005B4444">
        <w:rPr>
          <w:b/>
          <w:sz w:val="20"/>
          <w:szCs w:val="20"/>
        </w:rPr>
        <w:t>RESUMO</w:t>
      </w:r>
      <w:r w:rsidR="00622DC2" w:rsidRPr="005B4444">
        <w:rPr>
          <w:b/>
          <w:sz w:val="20"/>
          <w:szCs w:val="20"/>
        </w:rPr>
        <w:t xml:space="preserve"> </w:t>
      </w:r>
    </w:p>
    <w:p w14:paraId="16BB7BFC" w14:textId="028280AF" w:rsidR="00726C54" w:rsidRPr="005B4444" w:rsidRDefault="00726C54" w:rsidP="009E2AAF">
      <w:pPr>
        <w:spacing w:line="276" w:lineRule="auto"/>
        <w:jc w:val="both"/>
        <w:rPr>
          <w:sz w:val="20"/>
          <w:szCs w:val="20"/>
        </w:rPr>
      </w:pPr>
      <w:r w:rsidRPr="005B4444">
        <w:rPr>
          <w:sz w:val="20"/>
          <w:szCs w:val="20"/>
        </w:rPr>
        <w:t xml:space="preserve">O artigo analisa a relação entre o fortalecimento do Fundo Social do </w:t>
      </w:r>
      <w:proofErr w:type="spellStart"/>
      <w:r w:rsidRPr="005B4444">
        <w:rPr>
          <w:sz w:val="20"/>
          <w:szCs w:val="20"/>
        </w:rPr>
        <w:t>Pré</w:t>
      </w:r>
      <w:proofErr w:type="spellEnd"/>
      <w:r w:rsidRPr="005B4444">
        <w:rPr>
          <w:sz w:val="20"/>
          <w:szCs w:val="20"/>
        </w:rPr>
        <w:t xml:space="preserve">-Sal e o cumprimento do Piso Salarial Nacional do magistério público da educação básica Lei nº 11.738/2008., tendo como base a literatura sobre o federalismo brasileiro e as suas assimetrias, evidenciadas pelas disputas jurídicas e políticas entre os entes federativos acerca da constitucionalidade da lei do piso. A metodologia de pesquisa exploratória guiou a busca por artigos, projetos de leis e notícias para exemplificar e ampliar a compreensão da temática. Deste modo, foi possível identificar as fraquezas do federalismo brasileiro e seu impacto na execução da lei do piso. Além disso, a conclusão reforça o argumento de que </w:t>
      </w:r>
      <w:r w:rsidRPr="005B4444">
        <w:rPr>
          <w:sz w:val="20"/>
          <w:szCs w:val="20"/>
        </w:rPr>
        <w:t xml:space="preserve">a destinação dos recursos dos royalties, através do Fundo Social do </w:t>
      </w:r>
      <w:proofErr w:type="spellStart"/>
      <w:r w:rsidRPr="005B4444">
        <w:rPr>
          <w:sz w:val="20"/>
          <w:szCs w:val="20"/>
        </w:rPr>
        <w:t>Pré</w:t>
      </w:r>
      <w:proofErr w:type="spellEnd"/>
      <w:r w:rsidRPr="005B4444">
        <w:rPr>
          <w:sz w:val="20"/>
          <w:szCs w:val="20"/>
        </w:rPr>
        <w:t>-Sal, pode</w:t>
      </w:r>
      <w:r w:rsidRPr="005B4444">
        <w:rPr>
          <w:sz w:val="20"/>
          <w:szCs w:val="20"/>
        </w:rPr>
        <w:t xml:space="preserve"> fortalecer o financiamento da educação pública e garantir mais recursos para que os entes subnacionais executem a Lei nº 11.738/2008.</w:t>
      </w:r>
    </w:p>
    <w:p w14:paraId="05E73513" w14:textId="7ED399AD" w:rsidR="00506622" w:rsidRPr="004739E0" w:rsidRDefault="00506622" w:rsidP="009E2AAF">
      <w:pPr>
        <w:spacing w:line="276" w:lineRule="auto"/>
        <w:jc w:val="both"/>
        <w:rPr>
          <w:rFonts w:ascii="Arial" w:hAnsi="Arial" w:cs="Arial"/>
          <w:sz w:val="18"/>
          <w:szCs w:val="18"/>
        </w:rPr>
      </w:pPr>
      <w:r w:rsidRPr="00136A83">
        <w:rPr>
          <w:rFonts w:ascii="Arial" w:hAnsi="Arial" w:cs="Arial"/>
          <w:b/>
          <w:sz w:val="20"/>
          <w:szCs w:val="20"/>
        </w:rPr>
        <w:t xml:space="preserve">PALAVRAS-CHAVE: </w:t>
      </w:r>
      <w:r w:rsidR="00726C54">
        <w:rPr>
          <w:rFonts w:ascii="Arial" w:hAnsi="Arial" w:cs="Arial"/>
          <w:sz w:val="20"/>
          <w:szCs w:val="20"/>
        </w:rPr>
        <w:t>Federalismo</w:t>
      </w:r>
      <w:r w:rsidR="00667AE6" w:rsidRPr="00136A83">
        <w:rPr>
          <w:rFonts w:ascii="Arial" w:hAnsi="Arial" w:cs="Arial"/>
          <w:sz w:val="20"/>
          <w:szCs w:val="20"/>
        </w:rPr>
        <w:t>;</w:t>
      </w:r>
      <w:r w:rsidRPr="00136A83">
        <w:rPr>
          <w:rFonts w:ascii="Arial" w:hAnsi="Arial" w:cs="Arial"/>
          <w:sz w:val="20"/>
          <w:szCs w:val="20"/>
        </w:rPr>
        <w:t xml:space="preserve"> </w:t>
      </w:r>
      <w:r w:rsidR="00726C54">
        <w:rPr>
          <w:rFonts w:ascii="Arial" w:hAnsi="Arial" w:cs="Arial"/>
          <w:sz w:val="20"/>
          <w:szCs w:val="20"/>
        </w:rPr>
        <w:t>Políticas Públicas</w:t>
      </w:r>
      <w:r w:rsidR="00667AE6" w:rsidRPr="00136A83">
        <w:rPr>
          <w:rFonts w:ascii="Arial" w:hAnsi="Arial" w:cs="Arial"/>
          <w:sz w:val="20"/>
          <w:szCs w:val="20"/>
        </w:rPr>
        <w:t>;</w:t>
      </w:r>
      <w:r w:rsidR="00726C54">
        <w:rPr>
          <w:rFonts w:ascii="Arial" w:hAnsi="Arial" w:cs="Arial"/>
          <w:sz w:val="20"/>
          <w:szCs w:val="20"/>
        </w:rPr>
        <w:t xml:space="preserve"> </w:t>
      </w:r>
      <w:proofErr w:type="spellStart"/>
      <w:r w:rsidR="00726C54">
        <w:rPr>
          <w:rFonts w:ascii="Arial" w:hAnsi="Arial" w:cs="Arial"/>
          <w:sz w:val="20"/>
          <w:szCs w:val="20"/>
        </w:rPr>
        <w:t>Pré</w:t>
      </w:r>
      <w:proofErr w:type="spellEnd"/>
      <w:r w:rsidR="00726C54">
        <w:rPr>
          <w:rFonts w:ascii="Arial" w:hAnsi="Arial" w:cs="Arial"/>
          <w:sz w:val="20"/>
          <w:szCs w:val="20"/>
        </w:rPr>
        <w:t>-sal</w:t>
      </w:r>
    </w:p>
    <w:p w14:paraId="565FD1C1" w14:textId="5CA6DEC1" w:rsidR="00235886" w:rsidRPr="004739E0" w:rsidRDefault="00235886" w:rsidP="009E2AAF">
      <w:pPr>
        <w:pStyle w:val="IDpaper-Title"/>
        <w:widowControl/>
        <w:spacing w:line="276" w:lineRule="auto"/>
        <w:ind w:left="0"/>
        <w:rPr>
          <w:rFonts w:cs="Arial"/>
          <w:b w:val="0"/>
          <w:bCs/>
          <w:sz w:val="22"/>
          <w:lang w:val="pt-BR"/>
        </w:rPr>
      </w:pPr>
    </w:p>
    <w:p w14:paraId="57586BC3" w14:textId="1941B0F3" w:rsidR="00235886" w:rsidRPr="00136A83" w:rsidRDefault="00B8206A" w:rsidP="00235886">
      <w:pPr>
        <w:pStyle w:val="IDpaper-Title"/>
        <w:spacing w:line="276" w:lineRule="auto"/>
        <w:ind w:left="0"/>
        <w:jc w:val="both"/>
        <w:rPr>
          <w:rFonts w:cs="Arial"/>
          <w:b w:val="0"/>
          <w:i/>
          <w:iCs/>
          <w:kern w:val="0"/>
          <w:sz w:val="20"/>
          <w:lang w:val="en-US" w:eastAsia="pt-BR"/>
        </w:rPr>
      </w:pPr>
      <w:r>
        <w:rPr>
          <w:rFonts w:cs="Arial"/>
          <w:bCs/>
          <w:i/>
          <w:iCs/>
          <w:kern w:val="0"/>
          <w:sz w:val="20"/>
          <w:lang w:val="en-US" w:eastAsia="pt-BR"/>
        </w:rPr>
        <w:t xml:space="preserve">ABSTRACT </w:t>
      </w:r>
    </w:p>
    <w:p w14:paraId="692D2A61" w14:textId="5B7F1FFC" w:rsidR="00235886" w:rsidRPr="005B4444" w:rsidRDefault="00726C54" w:rsidP="00235886">
      <w:pPr>
        <w:pStyle w:val="IDpaper-Title"/>
        <w:spacing w:line="276" w:lineRule="auto"/>
        <w:ind w:left="0"/>
        <w:jc w:val="both"/>
        <w:rPr>
          <w:rFonts w:ascii="Times New Roman" w:hAnsi="Times New Roman"/>
          <w:b w:val="0"/>
          <w:i/>
          <w:iCs/>
          <w:kern w:val="0"/>
          <w:sz w:val="20"/>
          <w:lang w:eastAsia="pt-BR"/>
        </w:rPr>
      </w:pPr>
      <w:r w:rsidRPr="00726C54">
        <w:rPr>
          <w:rFonts w:ascii="Times New Roman" w:hAnsi="Times New Roman"/>
          <w:b w:val="0"/>
          <w:i/>
          <w:iCs/>
          <w:kern w:val="0"/>
          <w:sz w:val="20"/>
          <w:lang w:eastAsia="pt-BR"/>
        </w:rPr>
        <w:t xml:space="preserve">This article analyzes the relationship between strengthening the Pre-Salt Social Fund and compliance with the </w:t>
      </w:r>
      <w:r w:rsidRPr="00726C54">
        <w:rPr>
          <w:rFonts w:ascii="Times New Roman" w:hAnsi="Times New Roman"/>
          <w:b w:val="0"/>
          <w:i/>
          <w:iCs/>
          <w:kern w:val="0"/>
          <w:sz w:val="20"/>
          <w:lang w:eastAsia="pt-BR"/>
        </w:rPr>
        <w:lastRenderedPageBreak/>
        <w:t>National Minimum Wage for public education teachers (Law No. 11.738/2008). This is based on the literature on Brazilian federalism and its asymmetries, highlighted by legal and political disputes among federal entities regarding the constitutionality of the minimum wage law. The exploratory research methodology guided the search for articles, bills, and news articles to illustrate and broaden understanding of the topic. Thus, it was possible to identify the weaknesses of Brazilian federalism and their impact on the implementation of the minimum wage law. Furthermore, the conclusion reinforces the argument that allocating royalties through the Pre-Salt Social Fund can strengthen public education financing and ensure more resources for subnational entities to implement Law No. 11.738/2008.</w:t>
      </w:r>
    </w:p>
    <w:p w14:paraId="18128AF5" w14:textId="2D201298" w:rsidR="00726C54" w:rsidRPr="005B4444" w:rsidRDefault="00726C54" w:rsidP="00726C54">
      <w:pPr>
        <w:pStyle w:val="IDpaper-Title"/>
        <w:spacing w:line="276" w:lineRule="auto"/>
        <w:jc w:val="both"/>
        <w:rPr>
          <w:rFonts w:ascii="Times New Roman" w:hAnsi="Times New Roman"/>
          <w:b w:val="0"/>
          <w:i/>
          <w:iCs/>
          <w:kern w:val="0"/>
          <w:sz w:val="20"/>
          <w:lang w:eastAsia="pt-BR"/>
        </w:rPr>
      </w:pPr>
      <w:r w:rsidRPr="005B4444">
        <w:rPr>
          <w:rFonts w:ascii="Times New Roman" w:hAnsi="Times New Roman"/>
          <w:bCs/>
          <w:i/>
          <w:iCs/>
          <w:kern w:val="0"/>
          <w:sz w:val="20"/>
          <w:lang w:eastAsia="pt-BR"/>
        </w:rPr>
        <w:t xml:space="preserve">       </w:t>
      </w:r>
      <w:r w:rsidR="00235886" w:rsidRPr="005B4444">
        <w:rPr>
          <w:rFonts w:ascii="Times New Roman" w:hAnsi="Times New Roman"/>
          <w:bCs/>
          <w:i/>
          <w:iCs/>
          <w:kern w:val="0"/>
          <w:sz w:val="20"/>
          <w:lang w:eastAsia="pt-BR"/>
        </w:rPr>
        <w:t>KEYWORDS:</w:t>
      </w:r>
      <w:r w:rsidR="00235886" w:rsidRPr="005B4444">
        <w:rPr>
          <w:rFonts w:ascii="Times New Roman" w:hAnsi="Times New Roman"/>
          <w:b w:val="0"/>
          <w:i/>
          <w:iCs/>
          <w:kern w:val="0"/>
          <w:sz w:val="20"/>
          <w:lang w:eastAsia="pt-BR"/>
        </w:rPr>
        <w:t xml:space="preserve"> </w:t>
      </w:r>
      <w:r w:rsidRPr="005B4444">
        <w:rPr>
          <w:rFonts w:ascii="Times New Roman" w:hAnsi="Times New Roman"/>
          <w:b w:val="0"/>
          <w:i/>
          <w:iCs/>
          <w:kern w:val="0"/>
          <w:sz w:val="20"/>
          <w:lang w:eastAsia="pt-BR"/>
        </w:rPr>
        <w:t>Federalism; Public Policies; Pre-salt</w:t>
      </w:r>
    </w:p>
    <w:p w14:paraId="4614A186" w14:textId="77777777" w:rsidR="00726C54" w:rsidRPr="005B4444" w:rsidRDefault="00726C54" w:rsidP="00726C54">
      <w:pPr>
        <w:pStyle w:val="IDpaper-Title"/>
        <w:spacing w:line="276" w:lineRule="auto"/>
        <w:jc w:val="both"/>
        <w:rPr>
          <w:rFonts w:ascii="Times New Roman" w:hAnsi="Times New Roman"/>
          <w:i/>
          <w:iCs/>
          <w:lang w:val="pt-BR"/>
        </w:rPr>
      </w:pPr>
    </w:p>
    <w:p w14:paraId="399D1D70" w14:textId="77777777" w:rsidR="00726C54" w:rsidRPr="00726C54" w:rsidRDefault="00726C54" w:rsidP="00726C54">
      <w:pPr>
        <w:pStyle w:val="IDpaper-Title"/>
        <w:spacing w:line="276" w:lineRule="auto"/>
        <w:jc w:val="both"/>
        <w:rPr>
          <w:rFonts w:cs="Arial"/>
          <w:i/>
          <w:iCs/>
          <w:lang w:val="pt-BR"/>
        </w:rPr>
      </w:pPr>
    </w:p>
    <w:p w14:paraId="2B9800C8" w14:textId="77777777" w:rsidR="001E41E3" w:rsidRDefault="001E41E3" w:rsidP="001E41E3">
      <w:pPr>
        <w:widowControl w:val="0"/>
        <w:pBdr>
          <w:top w:val="nil"/>
          <w:left w:val="nil"/>
          <w:bottom w:val="nil"/>
          <w:right w:val="nil"/>
          <w:between w:val="nil"/>
        </w:pBdr>
        <w:rPr>
          <w:b/>
        </w:rPr>
      </w:pPr>
      <w:r>
        <w:rPr>
          <w:rFonts w:ascii="Arial" w:eastAsia="Arial" w:hAnsi="Arial" w:cs="Arial"/>
          <w:b/>
          <w:color w:val="000000"/>
        </w:rPr>
        <w:t xml:space="preserve">1. INTRODUÇÃO </w:t>
      </w:r>
    </w:p>
    <w:p w14:paraId="0162C52A" w14:textId="77777777" w:rsidR="001E41E3" w:rsidRDefault="001E41E3" w:rsidP="001E41E3">
      <w:pPr>
        <w:widowControl w:val="0"/>
        <w:pBdr>
          <w:top w:val="nil"/>
          <w:left w:val="nil"/>
          <w:bottom w:val="nil"/>
          <w:right w:val="nil"/>
          <w:between w:val="nil"/>
        </w:pBdr>
        <w:rPr>
          <w:b/>
        </w:rPr>
      </w:pPr>
    </w:p>
    <w:p w14:paraId="45327AD4"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No presente artigo abordamos a relação entre o fortalecimento do Fundo Social do </w:t>
      </w:r>
      <w:proofErr w:type="spellStart"/>
      <w:r>
        <w:t>Pré</w:t>
      </w:r>
      <w:proofErr w:type="spellEnd"/>
      <w:r>
        <w:t>-Sal e o financiamento da educação básica a partir a abordagem teórica acerca da peculiaridade do federalismo brasileiro, construído a partir do princípio da divisão de competências e da cooperação entre os entes federativos, concentrando na União o planejamento das políticas públicas e nos estados municípios a execução das mesmas.</w:t>
      </w:r>
    </w:p>
    <w:p w14:paraId="3C9EF50D" w14:textId="77777777" w:rsidR="001E41E3" w:rsidRDefault="001E41E3" w:rsidP="001E41E3">
      <w:pPr>
        <w:widowControl w:val="0"/>
        <w:pBdr>
          <w:top w:val="nil"/>
          <w:left w:val="nil"/>
          <w:bottom w:val="nil"/>
          <w:right w:val="nil"/>
          <w:between w:val="nil"/>
        </w:pBdr>
        <w:spacing w:before="20" w:after="20" w:line="360" w:lineRule="auto"/>
        <w:ind w:firstLine="708"/>
        <w:jc w:val="both"/>
      </w:pPr>
      <w:r>
        <w:t>Ao longo das últimas décadas diversos mecanismos para a democratização da construção e do monitoramento das políticas públicas foram criados, contudo, a literatura sobre o tema aponta para um processo de dificuldades em sua implementação, devido aos constantes conflitos entre os entes federativos acerca dos limites da autonomia dos mesmos, além da influência do poder local sobre a administração pública.</w:t>
      </w:r>
    </w:p>
    <w:p w14:paraId="392BD774" w14:textId="22776C26" w:rsidR="001E41E3" w:rsidRDefault="001E41E3" w:rsidP="001E41E3">
      <w:pPr>
        <w:widowControl w:val="0"/>
        <w:pBdr>
          <w:top w:val="nil"/>
          <w:left w:val="nil"/>
          <w:bottom w:val="nil"/>
          <w:right w:val="nil"/>
          <w:between w:val="nil"/>
        </w:pBdr>
        <w:spacing w:before="20" w:after="20" w:line="360" w:lineRule="auto"/>
        <w:ind w:firstLine="708"/>
        <w:jc w:val="both"/>
      </w:pPr>
      <w:r>
        <w:t xml:space="preserve">Deste modo, partimos do exemplo acerca das disputas sobre a legalidade da Lei do </w:t>
      </w:r>
      <w:r w:rsidR="00EA14BB">
        <w:t>p</w:t>
      </w:r>
      <w:r>
        <w:t xml:space="preserve">iso </w:t>
      </w:r>
      <w:r w:rsidR="00EA14BB">
        <w:t>n</w:t>
      </w:r>
      <w:r>
        <w:t>acional dos profissionais do magistério da educação básica (Lei nº11.738/2008) que ao longo das últimas décadas tem sido alvo constante de conflitos entre o governo federal, estados e municípios, ocasionando na heterogeneidade da aplicação da lei e por consequência na dificuldade de avaliação e aprimoramento deste instrumento legal.</w:t>
      </w:r>
    </w:p>
    <w:p w14:paraId="61F54DE9"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Exemplo disso é a judicialização da Lei do piso nº11.738/2008 junto ao Supremo Tribunal Federal (STF), com a previsão de ir a julgamento ainda no decorrer do ano de 2025, sendo assim, este trabalho busca contribuir com a discussão da problemática a partir da compreensão de que os recursos do Fundo Social do </w:t>
      </w:r>
      <w:proofErr w:type="spellStart"/>
      <w:r>
        <w:t>Pré</w:t>
      </w:r>
      <w:proofErr w:type="spellEnd"/>
      <w:r>
        <w:t>-Sal podem fortalecer a cooperação federativa e a viabilidade na aplicação da lei do piso.</w:t>
      </w:r>
    </w:p>
    <w:p w14:paraId="1ABADC82" w14:textId="5AB6E258" w:rsidR="001E41E3" w:rsidRDefault="001E41E3" w:rsidP="001E41E3">
      <w:pPr>
        <w:widowControl w:val="0"/>
        <w:pBdr>
          <w:top w:val="nil"/>
          <w:left w:val="nil"/>
          <w:bottom w:val="nil"/>
          <w:right w:val="nil"/>
          <w:between w:val="nil"/>
        </w:pBdr>
        <w:spacing w:before="20" w:after="20" w:line="360" w:lineRule="auto"/>
        <w:ind w:firstLine="708"/>
        <w:jc w:val="both"/>
      </w:pPr>
      <w:r>
        <w:t xml:space="preserve">Para isso, o artigo foi dividido em cinco capítulos, sendo que o </w:t>
      </w:r>
      <w:r>
        <w:t>primeiro é</w:t>
      </w:r>
      <w:r>
        <w:t xml:space="preserve"> esta introdução, o segundo aborda os procedimentos metodológicos, já no terceiro são discutidos os aspectos do federalismo brasileiro, no quarto elucidamos os desafios da implementação e monitoramento da lei do piso nacional docente, elencando no último a importância dos royalties para viabilidade da lei do piso e o seu impacto na execução das políticas públicas em âmbito </w:t>
      </w:r>
      <w:r>
        <w:lastRenderedPageBreak/>
        <w:t>municipal.</w:t>
      </w:r>
    </w:p>
    <w:p w14:paraId="0DAA1A2E"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Sendo assim, neste artigo partimos da hipótese de que a distribuição e a destinação dos royalties para educação, como instituiu a lei 10.351/2010 que estabeleceu o Fundo Social do </w:t>
      </w:r>
      <w:proofErr w:type="spellStart"/>
      <w:r>
        <w:t>Pré</w:t>
      </w:r>
      <w:proofErr w:type="spellEnd"/>
      <w:r>
        <w:t>-Sal e a destinação de 75% dos seus recursos para a educação, pode se constituir em um caminho para mitigar os conflitos entre os entes federativos acerca do financiamento da educação básica pública brasileira e contribuir para a efetivação do piso nacional dos profissionais magistério.</w:t>
      </w:r>
    </w:p>
    <w:p w14:paraId="51BB1DF8" w14:textId="77777777" w:rsidR="001E41E3" w:rsidRDefault="001E41E3" w:rsidP="001E41E3">
      <w:pPr>
        <w:widowControl w:val="0"/>
        <w:pBdr>
          <w:top w:val="nil"/>
          <w:left w:val="nil"/>
          <w:bottom w:val="nil"/>
          <w:right w:val="nil"/>
          <w:between w:val="nil"/>
        </w:pBdr>
        <w:spacing w:before="20" w:after="20" w:line="360" w:lineRule="auto"/>
        <w:ind w:firstLine="708"/>
        <w:jc w:val="both"/>
      </w:pPr>
    </w:p>
    <w:p w14:paraId="127982F8" w14:textId="77777777" w:rsidR="001E41E3" w:rsidRDefault="001E41E3" w:rsidP="001E41E3">
      <w:pPr>
        <w:widowControl w:val="0"/>
        <w:pBdr>
          <w:top w:val="nil"/>
          <w:left w:val="nil"/>
          <w:bottom w:val="nil"/>
          <w:right w:val="nil"/>
          <w:between w:val="nil"/>
        </w:pBdr>
        <w:spacing w:before="20" w:after="20" w:line="360" w:lineRule="auto"/>
        <w:jc w:val="both"/>
        <w:rPr>
          <w:b/>
        </w:rPr>
      </w:pPr>
      <w:r>
        <w:rPr>
          <w:b/>
        </w:rPr>
        <w:t>2. METODOLOGIA</w:t>
      </w:r>
    </w:p>
    <w:p w14:paraId="5AA22FB2" w14:textId="77777777" w:rsidR="001E41E3" w:rsidRDefault="001E41E3" w:rsidP="001E41E3">
      <w:pPr>
        <w:widowControl w:val="0"/>
        <w:pBdr>
          <w:top w:val="nil"/>
          <w:left w:val="nil"/>
          <w:bottom w:val="nil"/>
          <w:right w:val="nil"/>
          <w:between w:val="nil"/>
        </w:pBdr>
        <w:spacing w:before="20" w:after="20" w:line="360" w:lineRule="auto"/>
        <w:jc w:val="both"/>
        <w:rPr>
          <w:b/>
        </w:rPr>
      </w:pPr>
    </w:p>
    <w:p w14:paraId="1B0CA412" w14:textId="5A7CB98E" w:rsidR="001E41E3" w:rsidRDefault="001E41E3" w:rsidP="001E41E3">
      <w:pPr>
        <w:widowControl w:val="0"/>
        <w:pBdr>
          <w:top w:val="nil"/>
          <w:left w:val="nil"/>
          <w:bottom w:val="nil"/>
          <w:right w:val="nil"/>
          <w:between w:val="nil"/>
        </w:pBdr>
        <w:spacing w:before="20" w:after="20" w:line="360" w:lineRule="auto"/>
        <w:ind w:firstLine="708"/>
        <w:jc w:val="both"/>
      </w:pPr>
      <w:r>
        <w:t>Os procedimentos metodológicos do artigo parte</w:t>
      </w:r>
      <w:r w:rsidR="00EA14BB">
        <w:t>m</w:t>
      </w:r>
      <w:r>
        <w:t xml:space="preserve"> da abordagem exploratória a fim de ampliar a dimensão da análise acerca da aplicação da Lei do Piso Nacional do Magistério frente aos desafios da coordenação federativa no Brasil e de acordo com Gil (2002) este tipo de pesquisa tem como objetivo proporcionar maior familiaridade com a problemática abordada, possibilitando a ampliação </w:t>
      </w:r>
      <w:r>
        <w:t>da escala</w:t>
      </w:r>
      <w:r>
        <w:t xml:space="preserve"> de análise e a construção de hipóteses, uma vez que </w:t>
      </w:r>
    </w:p>
    <w:p w14:paraId="4EFF094D" w14:textId="77777777" w:rsidR="001E41E3" w:rsidRDefault="001E41E3" w:rsidP="001E41E3">
      <w:pPr>
        <w:widowControl w:val="0"/>
        <w:pBdr>
          <w:top w:val="nil"/>
          <w:left w:val="nil"/>
          <w:bottom w:val="nil"/>
          <w:right w:val="nil"/>
          <w:between w:val="nil"/>
        </w:pBdr>
        <w:spacing w:before="20" w:after="20"/>
        <w:ind w:left="2267"/>
        <w:jc w:val="both"/>
        <w:rPr>
          <w:sz w:val="20"/>
          <w:szCs w:val="20"/>
        </w:rPr>
      </w:pPr>
      <w:r>
        <w:rPr>
          <w:sz w:val="20"/>
          <w:szCs w:val="20"/>
        </w:rPr>
        <w:t>Seu planejamento é, portanto, bastante flexível, de modo que possibilite a consideração dos mais variados aspectos relativos ao fato estudado. Na maioria dos casos, essas pesquisas envolvem: (a) levantamento bibliográfico; (b) entrevistas com pessoas que tiveram experiências práticas com o problema pesquisado; e (c) análise de exemplos que "estimulem a compreensão" (Gil, 2002, p. 41)</w:t>
      </w:r>
    </w:p>
    <w:p w14:paraId="2914A2BF" w14:textId="77777777" w:rsidR="001E41E3" w:rsidRDefault="001E41E3" w:rsidP="001E41E3">
      <w:pPr>
        <w:widowControl w:val="0"/>
        <w:pBdr>
          <w:top w:val="nil"/>
          <w:left w:val="nil"/>
          <w:bottom w:val="nil"/>
          <w:right w:val="nil"/>
          <w:between w:val="nil"/>
        </w:pBdr>
        <w:spacing w:before="20" w:after="20" w:line="360" w:lineRule="auto"/>
        <w:jc w:val="both"/>
      </w:pPr>
    </w:p>
    <w:p w14:paraId="17B42FB6"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Por esta razão, foi realizado o levantamento bibliográfico de trabalhos publicados na área das ciências humanas e sociais aplicadas por meio da plataforma </w:t>
      </w:r>
      <w:r>
        <w:rPr>
          <w:i/>
        </w:rPr>
        <w:t>Google Scholar</w:t>
      </w:r>
      <w:r>
        <w:t xml:space="preserve"> em três etapas: I - artigos com abordagem acerca do federalismo brasileiro; II- artigos com abordagem sobre o financiamento da educação básica; III - artigos que abordassem a viabilidade da destinação dos recursos </w:t>
      </w:r>
      <w:proofErr w:type="spellStart"/>
      <w:r>
        <w:t>Pré</w:t>
      </w:r>
      <w:proofErr w:type="spellEnd"/>
      <w:r>
        <w:t xml:space="preserve">-Sal para a educação. </w:t>
      </w:r>
    </w:p>
    <w:p w14:paraId="7697270A" w14:textId="77777777" w:rsidR="001E41E3" w:rsidRDefault="001E41E3" w:rsidP="001E41E3">
      <w:pPr>
        <w:widowControl w:val="0"/>
        <w:pBdr>
          <w:top w:val="nil"/>
          <w:left w:val="nil"/>
          <w:bottom w:val="nil"/>
          <w:right w:val="nil"/>
          <w:between w:val="nil"/>
        </w:pBdr>
        <w:spacing w:before="20" w:after="20" w:line="360" w:lineRule="auto"/>
        <w:ind w:firstLine="708"/>
        <w:jc w:val="both"/>
      </w:pPr>
      <w:r>
        <w:t>Além disso, foram utilizados artigos disponibilizados pela disciplina “Federalismo e Poder Local” ministrada no Programa de Doutorado em Planejamento Regional e Gestão da Cidade da Universidade Cândido Mendes, já para exemplificar o estudo foram recolhidas notícias de jornal a partir de pesquisas na plataforma Google e no site do Agência Câmara de Notícias, onde foram encontrados os exemplos acerca dos conflitos em relação a aplicação da lei e os projetos apresentados.</w:t>
      </w:r>
    </w:p>
    <w:p w14:paraId="1FC1A73E" w14:textId="77777777" w:rsidR="001E41E3" w:rsidRDefault="001E41E3" w:rsidP="001E41E3">
      <w:pPr>
        <w:widowControl w:val="0"/>
        <w:pBdr>
          <w:top w:val="nil"/>
          <w:left w:val="nil"/>
          <w:bottom w:val="nil"/>
          <w:right w:val="nil"/>
          <w:between w:val="nil"/>
        </w:pBdr>
        <w:spacing w:before="20" w:after="20" w:line="360" w:lineRule="auto"/>
        <w:ind w:firstLine="708"/>
        <w:jc w:val="both"/>
      </w:pPr>
    </w:p>
    <w:p w14:paraId="6339ABB2" w14:textId="77777777" w:rsidR="001E41E3" w:rsidRDefault="001E41E3" w:rsidP="001E41E3">
      <w:pPr>
        <w:widowControl w:val="0"/>
        <w:pBdr>
          <w:top w:val="nil"/>
          <w:left w:val="nil"/>
          <w:bottom w:val="nil"/>
          <w:right w:val="nil"/>
          <w:between w:val="nil"/>
        </w:pBdr>
        <w:spacing w:before="20" w:after="20" w:line="360" w:lineRule="auto"/>
        <w:jc w:val="both"/>
        <w:rPr>
          <w:b/>
          <w:color w:val="000000"/>
        </w:rPr>
      </w:pPr>
      <w:r>
        <w:rPr>
          <w:b/>
        </w:rPr>
        <w:t>3.</w:t>
      </w:r>
      <w:r>
        <w:rPr>
          <w:rFonts w:ascii="Arial" w:eastAsia="Arial" w:hAnsi="Arial" w:cs="Arial"/>
          <w:b/>
          <w:color w:val="000000"/>
        </w:rPr>
        <w:t xml:space="preserve"> </w:t>
      </w:r>
      <w:r>
        <w:rPr>
          <w:b/>
        </w:rPr>
        <w:t>ASPECTOS DO FEDERALISMO BRASILEIRO APÓS A CONSTITUIÇÃO DE 1988</w:t>
      </w:r>
      <w:r>
        <w:rPr>
          <w:rFonts w:ascii="Arial" w:eastAsia="Arial" w:hAnsi="Arial" w:cs="Arial"/>
          <w:b/>
          <w:color w:val="000000"/>
        </w:rPr>
        <w:t xml:space="preserve">  </w:t>
      </w:r>
    </w:p>
    <w:p w14:paraId="367CB204" w14:textId="77777777" w:rsidR="001E41E3" w:rsidRDefault="001E41E3" w:rsidP="001E41E3">
      <w:pPr>
        <w:widowControl w:val="0"/>
        <w:pBdr>
          <w:top w:val="nil"/>
          <w:left w:val="nil"/>
          <w:bottom w:val="nil"/>
          <w:right w:val="nil"/>
          <w:between w:val="nil"/>
        </w:pBdr>
        <w:spacing w:before="20" w:after="20" w:line="360" w:lineRule="auto"/>
        <w:jc w:val="both"/>
        <w:rPr>
          <w:b/>
        </w:rPr>
      </w:pPr>
    </w:p>
    <w:p w14:paraId="68C621EF" w14:textId="77777777" w:rsidR="001E41E3" w:rsidRDefault="001E41E3" w:rsidP="001E41E3">
      <w:pPr>
        <w:widowControl w:val="0"/>
        <w:pBdr>
          <w:top w:val="nil"/>
          <w:left w:val="nil"/>
          <w:bottom w:val="nil"/>
          <w:right w:val="nil"/>
          <w:between w:val="nil"/>
        </w:pBdr>
        <w:spacing w:before="20" w:after="20" w:line="360" w:lineRule="auto"/>
        <w:ind w:firstLine="708"/>
        <w:jc w:val="both"/>
      </w:pPr>
      <w:r>
        <w:lastRenderedPageBreak/>
        <w:t>A organização do Estado brasileiro sob a forma de federação remonta os fins do século XIX, com grande parte desta trajetória marcada por alto grau de centralização por parte do poder federal e pouca autonomia dos outros entes subnacionais, contudo, abordaremos aqui os contornos assumidos pelo federalismo a partir da constituição de 1988 que reconheceu os municípios enquanto entes federativos dotados de autonomia.</w:t>
      </w:r>
    </w:p>
    <w:p w14:paraId="1410CFE7"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A grande influência desta reorganização é o modelo alemão adotado com a Lei Fundamental de Bonn (1949) e tem como base a técnica de divisão de competências entre os entes e segundo </w:t>
      </w:r>
      <w:proofErr w:type="spellStart"/>
      <w:r>
        <w:t>Liziero</w:t>
      </w:r>
      <w:proofErr w:type="spellEnd"/>
      <w:r>
        <w:t xml:space="preserve"> (2018) diferentemente de outros modelos, o federalismo brasileiro conta com forte grau de centralização, ficando a cargo da União o desenho das políticas públicas e dos estados e municípios a execução.</w:t>
      </w:r>
    </w:p>
    <w:p w14:paraId="640490FB"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Tal fato é perceptível a partir do exemplo da agenda centralizadora implementada pelo parlamento ao longo dos anos 1990 que aprovou a lei de licitações e contratos, a lei de concessões, a lei das diretrizes e bases da educação e o estatuto da cidade e na perspectiva de </w:t>
      </w:r>
      <w:proofErr w:type="spellStart"/>
      <w:r>
        <w:t>Liziero</w:t>
      </w:r>
      <w:proofErr w:type="spellEnd"/>
      <w:r>
        <w:t xml:space="preserve"> (2018) a aprovação destas legislações indica o alto grau de centralização e uniformização da organização do sistema federativo brasileiro.</w:t>
      </w:r>
    </w:p>
    <w:p w14:paraId="1E3AD2A4"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Por conta disso, </w:t>
      </w:r>
      <w:proofErr w:type="spellStart"/>
      <w:r>
        <w:t>Liziero</w:t>
      </w:r>
      <w:proofErr w:type="spellEnd"/>
      <w:r>
        <w:t xml:space="preserve"> (2008) classifica como “fraco” o modelo do federalismo brasileiro, uma vez que </w:t>
      </w:r>
    </w:p>
    <w:p w14:paraId="51AF8ECE" w14:textId="77777777" w:rsidR="001E41E3" w:rsidRDefault="001E41E3" w:rsidP="001E41E3">
      <w:pPr>
        <w:widowControl w:val="0"/>
        <w:pBdr>
          <w:top w:val="nil"/>
          <w:left w:val="nil"/>
          <w:bottom w:val="nil"/>
          <w:right w:val="nil"/>
          <w:between w:val="nil"/>
        </w:pBdr>
        <w:spacing w:before="20" w:after="20"/>
        <w:ind w:left="2267"/>
        <w:jc w:val="both"/>
        <w:rPr>
          <w:sz w:val="20"/>
          <w:szCs w:val="20"/>
        </w:rPr>
      </w:pPr>
      <w:r>
        <w:rPr>
          <w:sz w:val="20"/>
          <w:szCs w:val="20"/>
        </w:rPr>
        <w:t>[...] ainda projeta a nação em um passado de autoritarismo e de construção social imposta pelo poder central. Há no federalismo brasileiro algumas características de unitarismo, que ainda guardam as influências de Constituições de cunho autoritário anteriores como a de 1937 e a de 1967, além da Emenda Constitucional nº1 de 1969. (</w:t>
      </w:r>
      <w:proofErr w:type="spellStart"/>
      <w:r>
        <w:rPr>
          <w:sz w:val="20"/>
          <w:szCs w:val="20"/>
        </w:rPr>
        <w:t>Liziero</w:t>
      </w:r>
      <w:proofErr w:type="spellEnd"/>
      <w:r>
        <w:rPr>
          <w:sz w:val="20"/>
          <w:szCs w:val="20"/>
        </w:rPr>
        <w:t>, 1998, p. 1484)</w:t>
      </w:r>
    </w:p>
    <w:p w14:paraId="57065BA3" w14:textId="77777777" w:rsidR="001E41E3" w:rsidRDefault="001E41E3" w:rsidP="001E41E3">
      <w:pPr>
        <w:widowControl w:val="0"/>
        <w:pBdr>
          <w:top w:val="nil"/>
          <w:left w:val="nil"/>
          <w:bottom w:val="nil"/>
          <w:right w:val="nil"/>
          <w:between w:val="nil"/>
        </w:pBdr>
        <w:spacing w:before="20" w:after="20"/>
        <w:ind w:left="2267"/>
        <w:jc w:val="both"/>
        <w:rPr>
          <w:sz w:val="20"/>
          <w:szCs w:val="20"/>
        </w:rPr>
      </w:pPr>
    </w:p>
    <w:p w14:paraId="29F65E26" w14:textId="77777777" w:rsidR="001E41E3" w:rsidRDefault="001E41E3" w:rsidP="001E41E3">
      <w:pPr>
        <w:widowControl w:val="0"/>
        <w:spacing w:before="20" w:after="20" w:line="360" w:lineRule="auto"/>
        <w:ind w:firstLine="708"/>
        <w:jc w:val="both"/>
      </w:pPr>
      <w:r>
        <w:t xml:space="preserve">A este respeito, </w:t>
      </w:r>
      <w:proofErr w:type="spellStart"/>
      <w:r>
        <w:t>Kerbauy</w:t>
      </w:r>
      <w:proofErr w:type="spellEnd"/>
      <w:r>
        <w:t xml:space="preserve"> (2001) argumenta que o grau de descentralização e democratização das decisões do Estado depende das condições de cada município. Segundo ela, naqueles municípios com forte influência do poder local sobre as estruturas administrativas há conflitos de interesses acerca das responsabilidades e funções de cada ente, comprometendo a autonomia decisória da gestão e a alocação de recursos nas políticas públicas, contudo</w:t>
      </w:r>
    </w:p>
    <w:p w14:paraId="6B869ACA" w14:textId="33B272DA" w:rsidR="001E41E3" w:rsidRDefault="001E41E3" w:rsidP="001E41E3">
      <w:pPr>
        <w:widowControl w:val="0"/>
        <w:spacing w:before="20" w:after="20"/>
        <w:ind w:left="2267"/>
        <w:jc w:val="both"/>
        <w:rPr>
          <w:sz w:val="20"/>
          <w:szCs w:val="20"/>
          <w:highlight w:val="white"/>
        </w:rPr>
      </w:pPr>
      <w:r>
        <w:rPr>
          <w:sz w:val="20"/>
          <w:szCs w:val="20"/>
          <w:highlight w:val="white"/>
        </w:rPr>
        <w:t xml:space="preserve">Nos estados e municípios onde as elites locais tiveram maior capacidade de renovação e onde a exposição à competição política interferiu nas relações de corte clientelista, a </w:t>
      </w:r>
      <w:r>
        <w:rPr>
          <w:sz w:val="20"/>
          <w:szCs w:val="20"/>
          <w:highlight w:val="white"/>
        </w:rPr>
        <w:t>descentralização encontra mais espaço para sua implantação</w:t>
      </w:r>
      <w:r>
        <w:rPr>
          <w:sz w:val="20"/>
          <w:szCs w:val="20"/>
          <w:highlight w:val="white"/>
        </w:rPr>
        <w:t>, especialmente nos aspectos referentes à sua autonomia decisória. (</w:t>
      </w:r>
      <w:proofErr w:type="spellStart"/>
      <w:r>
        <w:rPr>
          <w:sz w:val="20"/>
          <w:szCs w:val="20"/>
        </w:rPr>
        <w:t>Kerbauy</w:t>
      </w:r>
      <w:proofErr w:type="spellEnd"/>
      <w:r>
        <w:rPr>
          <w:sz w:val="20"/>
          <w:szCs w:val="20"/>
        </w:rPr>
        <w:t>, 2001, p. 55)</w:t>
      </w:r>
    </w:p>
    <w:p w14:paraId="25ED200F" w14:textId="77777777" w:rsidR="001E41E3" w:rsidRDefault="001E41E3" w:rsidP="001E41E3">
      <w:pPr>
        <w:widowControl w:val="0"/>
        <w:spacing w:before="20" w:after="20" w:line="360" w:lineRule="auto"/>
        <w:ind w:firstLine="708"/>
        <w:jc w:val="both"/>
      </w:pPr>
    </w:p>
    <w:p w14:paraId="14F3AFDA" w14:textId="26175F05" w:rsidR="001E41E3" w:rsidRDefault="001E41E3" w:rsidP="001E41E3">
      <w:pPr>
        <w:widowControl w:val="0"/>
        <w:spacing w:before="20" w:after="20" w:line="360" w:lineRule="auto"/>
        <w:ind w:firstLine="708"/>
        <w:jc w:val="both"/>
      </w:pPr>
      <w:r>
        <w:t xml:space="preserve">Deste modo, um dos caminhos construídos foi a criação dos conselhos </w:t>
      </w:r>
      <w:r w:rsidR="00EA14BB">
        <w:t xml:space="preserve">gestores </w:t>
      </w:r>
      <w:r>
        <w:t xml:space="preserve">enquanto mecanismos de democratização das decisões do poder público a nível local a fim de reduzir as práticas de clientelismo e democratizar as decisões do Estado, todavia, </w:t>
      </w:r>
      <w:proofErr w:type="spellStart"/>
      <w:r>
        <w:t>Kerbauy</w:t>
      </w:r>
      <w:proofErr w:type="spellEnd"/>
      <w:r>
        <w:t xml:space="preserve"> (2001) destaca as dificuldades de muito municípios na adequação do sistema participativo em </w:t>
      </w:r>
      <w:r>
        <w:lastRenderedPageBreak/>
        <w:t>relação ao modelo de gestão já vigente e permeado pela lógica da reprodução do poder local.</w:t>
      </w:r>
    </w:p>
    <w:p w14:paraId="63ADEDD9" w14:textId="56841702" w:rsidR="001E41E3" w:rsidRDefault="001E41E3" w:rsidP="001E41E3">
      <w:pPr>
        <w:widowControl w:val="0"/>
        <w:spacing w:before="20" w:after="20" w:line="360" w:lineRule="auto"/>
        <w:ind w:firstLine="708"/>
        <w:jc w:val="both"/>
      </w:pPr>
      <w:r>
        <w:t xml:space="preserve">Neste sentido, para garantir a efetiva descentralização do Estado, as iniciativas devem envolver o conjunto da população no âmbito das decisões, indo além do mero caráter consultivo, uma vez que as políticas de incentivos, como destaca </w:t>
      </w:r>
      <w:proofErr w:type="spellStart"/>
      <w:r>
        <w:t>Kerbauy</w:t>
      </w:r>
      <w:proofErr w:type="spellEnd"/>
      <w:r>
        <w:t xml:space="preserve"> (2001), são fundamentais para o sucesso das políticas participativas em âmbito municipal e para a consolidação do modelo federativo brasileiro</w:t>
      </w:r>
      <w:r w:rsidR="00EA14BB">
        <w:t>:</w:t>
      </w:r>
      <w:r>
        <w:t xml:space="preserve"> </w:t>
      </w:r>
    </w:p>
    <w:p w14:paraId="228A8BC1" w14:textId="4ACA9678" w:rsidR="001E41E3" w:rsidRDefault="001E41E3" w:rsidP="001E41E3">
      <w:pPr>
        <w:widowControl w:val="0"/>
        <w:spacing w:before="20" w:after="20"/>
        <w:ind w:left="2267"/>
        <w:jc w:val="both"/>
        <w:rPr>
          <w:sz w:val="20"/>
          <w:szCs w:val="20"/>
        </w:rPr>
      </w:pPr>
      <w:r>
        <w:rPr>
          <w:sz w:val="20"/>
          <w:szCs w:val="20"/>
        </w:rPr>
        <w:t>Portanto, um novo arranjo institucional local se torna</w:t>
      </w:r>
      <w:r>
        <w:rPr>
          <w:sz w:val="20"/>
          <w:szCs w:val="20"/>
        </w:rPr>
        <w:t xml:space="preserve"> </w:t>
      </w:r>
      <w:r>
        <w:rPr>
          <w:sz w:val="20"/>
          <w:szCs w:val="20"/>
        </w:rPr>
        <w:t>necessário, no qual</w:t>
      </w:r>
      <w:r>
        <w:rPr>
          <w:sz w:val="20"/>
          <w:szCs w:val="20"/>
        </w:rPr>
        <w:t xml:space="preserve"> </w:t>
      </w:r>
      <w:proofErr w:type="gramStart"/>
      <w:r>
        <w:rPr>
          <w:sz w:val="20"/>
          <w:szCs w:val="20"/>
        </w:rPr>
        <w:t>o  formato</w:t>
      </w:r>
      <w:proofErr w:type="gramEnd"/>
      <w:r>
        <w:rPr>
          <w:sz w:val="20"/>
          <w:szCs w:val="20"/>
        </w:rPr>
        <w:t xml:space="preserve"> constitutivo  do  processo  político decisório  e  o  papel  desejável  para  os  sujeitos  nesse  processo contemplam  uma  proposta  e  um  pacto  governamental  com  a sociedade  civil. (</w:t>
      </w:r>
      <w:proofErr w:type="spellStart"/>
      <w:r>
        <w:rPr>
          <w:sz w:val="20"/>
          <w:szCs w:val="20"/>
        </w:rPr>
        <w:t>Kerbauy</w:t>
      </w:r>
      <w:proofErr w:type="spellEnd"/>
      <w:r>
        <w:rPr>
          <w:sz w:val="20"/>
          <w:szCs w:val="20"/>
        </w:rPr>
        <w:t>, 2001, p. 57)</w:t>
      </w:r>
    </w:p>
    <w:p w14:paraId="3820307F" w14:textId="77777777" w:rsidR="001E41E3" w:rsidRDefault="001E41E3" w:rsidP="001E41E3">
      <w:pPr>
        <w:widowControl w:val="0"/>
        <w:pBdr>
          <w:top w:val="nil"/>
          <w:left w:val="nil"/>
          <w:bottom w:val="nil"/>
          <w:right w:val="nil"/>
          <w:between w:val="nil"/>
        </w:pBdr>
        <w:spacing w:before="20" w:after="20" w:line="360" w:lineRule="auto"/>
        <w:ind w:firstLine="708"/>
        <w:jc w:val="both"/>
      </w:pPr>
    </w:p>
    <w:p w14:paraId="45F1599E"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No bojo destas discussões, </w:t>
      </w:r>
      <w:proofErr w:type="spellStart"/>
      <w:r>
        <w:t>Arretche</w:t>
      </w:r>
      <w:proofErr w:type="spellEnd"/>
      <w:r>
        <w:t xml:space="preserve"> (1996) situa no fim dos anos 80 a ascensão dos movimentos em prol da descentralização dos Estados nacionais com forte influência sobre a organização das sociedades latino-americanas, sendo implementados dois tipos principais de projetos descentralizadores, de um lado as políticas de desregulação e privatização, propostas pelos setores mais à direita neoliberal e de outro a municipalização das competências e da divisão dos poderes, como defendido pelos setores mais à esquerda. </w:t>
      </w:r>
    </w:p>
    <w:p w14:paraId="5707E84D"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Estas transformações estavam ancoradas na ideia de </w:t>
      </w:r>
    </w:p>
    <w:p w14:paraId="6567AD02" w14:textId="77777777" w:rsidR="001E41E3" w:rsidRDefault="001E41E3" w:rsidP="001E41E3">
      <w:pPr>
        <w:widowControl w:val="0"/>
        <w:pBdr>
          <w:top w:val="nil"/>
          <w:left w:val="nil"/>
          <w:bottom w:val="nil"/>
          <w:right w:val="nil"/>
          <w:between w:val="nil"/>
        </w:pBdr>
        <w:spacing w:before="20" w:after="20"/>
        <w:ind w:left="2267"/>
        <w:jc w:val="both"/>
        <w:rPr>
          <w:sz w:val="20"/>
          <w:szCs w:val="20"/>
        </w:rPr>
      </w:pPr>
      <w:r>
        <w:rPr>
          <w:sz w:val="20"/>
          <w:szCs w:val="20"/>
        </w:rPr>
        <w:t xml:space="preserve">[...] que formas descentralizadas de prestação de serviços públicos seriam mais eficientes e que, portanto, elevariam os níveis reais de bem-estar da população. Portanto, reformas do Estado nessa direção seriam desejáveis, dado que viabilizariam a concretização de ideais progressistas, tais como </w:t>
      </w:r>
      <w:proofErr w:type="spellStart"/>
      <w:r>
        <w:rPr>
          <w:sz w:val="20"/>
          <w:szCs w:val="20"/>
        </w:rPr>
        <w:t>eqüidade</w:t>
      </w:r>
      <w:proofErr w:type="spellEnd"/>
      <w:r>
        <w:rPr>
          <w:sz w:val="20"/>
          <w:szCs w:val="20"/>
        </w:rPr>
        <w:t>, justiça social, redução do clientelismo e aumento do controle social sobre o Estado. (</w:t>
      </w:r>
      <w:proofErr w:type="spellStart"/>
      <w:r>
        <w:rPr>
          <w:sz w:val="20"/>
          <w:szCs w:val="20"/>
        </w:rPr>
        <w:t>Arretche</w:t>
      </w:r>
      <w:proofErr w:type="spellEnd"/>
      <w:r>
        <w:rPr>
          <w:sz w:val="20"/>
          <w:szCs w:val="20"/>
        </w:rPr>
        <w:t>, 1996, p. 1)</w:t>
      </w:r>
    </w:p>
    <w:p w14:paraId="55651A2A" w14:textId="77777777" w:rsidR="001E41E3" w:rsidRDefault="001E41E3" w:rsidP="001E41E3">
      <w:pPr>
        <w:widowControl w:val="0"/>
        <w:pBdr>
          <w:top w:val="nil"/>
          <w:left w:val="nil"/>
          <w:bottom w:val="nil"/>
          <w:right w:val="nil"/>
          <w:between w:val="nil"/>
        </w:pBdr>
        <w:spacing w:before="20" w:after="20"/>
        <w:ind w:left="2267"/>
        <w:jc w:val="both"/>
        <w:rPr>
          <w:sz w:val="20"/>
          <w:szCs w:val="20"/>
        </w:rPr>
      </w:pPr>
    </w:p>
    <w:p w14:paraId="22A9A170"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Entretanto, </w:t>
      </w:r>
      <w:proofErr w:type="spellStart"/>
      <w:r>
        <w:t>Arretche</w:t>
      </w:r>
      <w:proofErr w:type="spellEnd"/>
      <w:r>
        <w:t xml:space="preserve"> (1996) chama a atenção para o fato da natureza de muitas destas instituições, no caso brasileiro, serem permeadas pela influência do poder das elites locais e da necessidade de sua reprodução na estrutura administrativa, uma vez que </w:t>
      </w:r>
    </w:p>
    <w:p w14:paraId="60A319E8" w14:textId="3D04FE92" w:rsidR="001E41E3" w:rsidRDefault="001E41E3" w:rsidP="001E41E3">
      <w:pPr>
        <w:widowControl w:val="0"/>
        <w:spacing w:before="20" w:after="20"/>
        <w:ind w:left="2267"/>
        <w:jc w:val="both"/>
        <w:rPr>
          <w:sz w:val="20"/>
          <w:szCs w:val="20"/>
        </w:rPr>
      </w:pPr>
      <w:r>
        <w:rPr>
          <w:sz w:val="20"/>
          <w:szCs w:val="20"/>
        </w:rPr>
        <w:t xml:space="preserve">[...] as medidas descentralizadoras ocorridas no Brasil a partir da década de 80 que, aliás, não são muitas -são resultado da disputa de poder por parte de elites políticas de âmbito local, cujos recursos institucionais, especialmente o controle de máquinas eleitorais e administrativas locais, foram notavelmente fortalecidos com a retomada da competição eleitoral como instrumento da legitimidade dos </w:t>
      </w:r>
      <w:r w:rsidR="00EA14BB">
        <w:rPr>
          <w:sz w:val="20"/>
          <w:szCs w:val="20"/>
        </w:rPr>
        <w:t>governantes. (</w:t>
      </w:r>
      <w:proofErr w:type="spellStart"/>
      <w:r>
        <w:rPr>
          <w:sz w:val="20"/>
          <w:szCs w:val="20"/>
        </w:rPr>
        <w:t>Arretche</w:t>
      </w:r>
      <w:proofErr w:type="spellEnd"/>
      <w:r>
        <w:rPr>
          <w:sz w:val="20"/>
          <w:szCs w:val="20"/>
        </w:rPr>
        <w:t>, 1996, p. 2)</w:t>
      </w:r>
    </w:p>
    <w:p w14:paraId="6C25B969" w14:textId="77777777" w:rsidR="001E41E3" w:rsidRDefault="001E41E3" w:rsidP="001E41E3">
      <w:pPr>
        <w:widowControl w:val="0"/>
        <w:spacing w:before="20" w:after="20"/>
        <w:ind w:left="2267"/>
        <w:jc w:val="both"/>
        <w:rPr>
          <w:sz w:val="20"/>
          <w:szCs w:val="20"/>
        </w:rPr>
      </w:pPr>
    </w:p>
    <w:p w14:paraId="7E46F311"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Deste modo, </w:t>
      </w:r>
      <w:proofErr w:type="spellStart"/>
      <w:r>
        <w:t>Arretche</w:t>
      </w:r>
      <w:proofErr w:type="spellEnd"/>
      <w:r>
        <w:t xml:space="preserve"> (1996) aponta que a descentralização administrativa e financeira não é uma garantia que haverá o fim da dominação sobre a administração e os recursos públicos, mas em muitos casos é apenas a reorganização da escala dessa dominação, que passa do nacional para o local, como no caso do Brasil com o processo de descentralização em que as elites regionais não só assumiram o protagonismo como também reestruturaram o domínio sobre as administrações públicas locais.</w:t>
      </w:r>
    </w:p>
    <w:p w14:paraId="02E7D22F" w14:textId="127B93F5" w:rsidR="001E41E3" w:rsidRDefault="001E41E3" w:rsidP="001E41E3">
      <w:pPr>
        <w:widowControl w:val="0"/>
        <w:pBdr>
          <w:top w:val="nil"/>
          <w:left w:val="nil"/>
          <w:bottom w:val="nil"/>
          <w:right w:val="nil"/>
          <w:between w:val="nil"/>
        </w:pBdr>
        <w:spacing w:before="20" w:after="20" w:line="360" w:lineRule="auto"/>
        <w:ind w:firstLine="708"/>
        <w:jc w:val="both"/>
      </w:pPr>
      <w:r>
        <w:lastRenderedPageBreak/>
        <w:t>Sendo assim, a autonomia pode acabar levando “[..] a falta de coordenação, necessária em políticas públicas mais amplas e universais.” (</w:t>
      </w:r>
      <w:proofErr w:type="spellStart"/>
      <w:r>
        <w:t>Arretche</w:t>
      </w:r>
      <w:proofErr w:type="spellEnd"/>
      <w:r>
        <w:t>, 1996, p.4) e por conta disso ampliam-se as defasagens no processo de execução das</w:t>
      </w:r>
      <w:r w:rsidR="00EA14BB">
        <w:t xml:space="preserve"> políticas</w:t>
      </w:r>
      <w:r>
        <w:t xml:space="preserve"> públicas, fragilizando a estrutura do sistema federativo brasileiro e levando a disputa entre os entes, como veremos mais abaixo com o exemplo da judicialização da lei do piso nacional do magistério.</w:t>
      </w:r>
    </w:p>
    <w:p w14:paraId="1277040F"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Diante destas questões, </w:t>
      </w:r>
      <w:proofErr w:type="spellStart"/>
      <w:r>
        <w:t>Arretche</w:t>
      </w:r>
      <w:proofErr w:type="spellEnd"/>
      <w:r>
        <w:t xml:space="preserve"> (1996) sinaliza que </w:t>
      </w:r>
    </w:p>
    <w:p w14:paraId="7AE362A7" w14:textId="77777777" w:rsidR="001E41E3" w:rsidRDefault="001E41E3" w:rsidP="001E41E3">
      <w:pPr>
        <w:widowControl w:val="0"/>
        <w:spacing w:before="20" w:after="20"/>
        <w:ind w:left="2160"/>
        <w:jc w:val="both"/>
        <w:rPr>
          <w:sz w:val="16"/>
          <w:szCs w:val="16"/>
        </w:rPr>
      </w:pPr>
      <w:r>
        <w:rPr>
          <w:sz w:val="20"/>
          <w:szCs w:val="20"/>
        </w:rPr>
        <w:t>[...] não é suficiente que se reforme apenas a escala ou âmbito da esfera responsável pela decisão a ser tomada. É necessário que se construam instituições cuja natureza e cujas formas específicas de funcionamento sejam compatíveis com os princípios democráticos que norteiam os resultados que se espera produzir.  (</w:t>
      </w:r>
      <w:proofErr w:type="spellStart"/>
      <w:r>
        <w:rPr>
          <w:sz w:val="20"/>
          <w:szCs w:val="20"/>
        </w:rPr>
        <w:t>Arretche</w:t>
      </w:r>
      <w:proofErr w:type="spellEnd"/>
      <w:r>
        <w:rPr>
          <w:sz w:val="20"/>
          <w:szCs w:val="20"/>
        </w:rPr>
        <w:t>, 1996, p.5)</w:t>
      </w:r>
    </w:p>
    <w:p w14:paraId="004CA226" w14:textId="77777777" w:rsidR="001E41E3" w:rsidRDefault="001E41E3" w:rsidP="001E41E3">
      <w:pPr>
        <w:widowControl w:val="0"/>
        <w:pBdr>
          <w:top w:val="nil"/>
          <w:left w:val="nil"/>
          <w:bottom w:val="nil"/>
          <w:right w:val="nil"/>
          <w:between w:val="nil"/>
        </w:pBdr>
        <w:spacing w:before="20" w:after="20" w:line="360" w:lineRule="auto"/>
        <w:ind w:firstLine="708"/>
        <w:jc w:val="both"/>
      </w:pPr>
    </w:p>
    <w:p w14:paraId="16F53A7D" w14:textId="3BD25F13" w:rsidR="001E41E3" w:rsidRDefault="001E41E3" w:rsidP="001E41E3">
      <w:pPr>
        <w:widowControl w:val="0"/>
        <w:pBdr>
          <w:top w:val="nil"/>
          <w:left w:val="nil"/>
          <w:bottom w:val="nil"/>
          <w:right w:val="nil"/>
          <w:between w:val="nil"/>
        </w:pBdr>
        <w:spacing w:before="20" w:after="20" w:line="360" w:lineRule="auto"/>
        <w:ind w:firstLine="708"/>
        <w:jc w:val="both"/>
      </w:pPr>
      <w:r>
        <w:t xml:space="preserve">Para isso, seria </w:t>
      </w:r>
      <w:r w:rsidR="00EA14BB">
        <w:t>necessária uma expansão seletiva</w:t>
      </w:r>
      <w:r>
        <w:t xml:space="preserve"> das agências do Estado, a partir de um processo de fortalecimento do poder central a fim de direcionar as políticas de descentralização, garantindo assim “um reordenamento expansivo das agências do governo central em direção a novas atividades,</w:t>
      </w:r>
      <w:r>
        <w:rPr>
          <w:b/>
        </w:rPr>
        <w:t xml:space="preserve"> </w:t>
      </w:r>
      <w:r>
        <w:t>reordenamento este que implica um governo central fortalecido.</w:t>
      </w:r>
      <w:r>
        <w:rPr>
          <w:color w:val="434343"/>
        </w:rPr>
        <w:t xml:space="preserve">” </w:t>
      </w:r>
      <w:r>
        <w:t>(</w:t>
      </w:r>
      <w:proofErr w:type="spellStart"/>
      <w:r>
        <w:t>Arretche</w:t>
      </w:r>
      <w:proofErr w:type="spellEnd"/>
      <w:r>
        <w:t>, 1996, p.10)</w:t>
      </w:r>
    </w:p>
    <w:p w14:paraId="58D1871B"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Seguindo na mesma tendência, Nunes (1996) problematiza o argumento da descentralização enquanto o único caminho para a democratização da sociedade, ele enfatiza a desvalorização das unidades subnacionais no bojo do pensamento político moderno, identificando assim um não lugar dos entes municipais, sendo atribuídos a estes uma natureza de subordinação em relação ao poder central dos Estados-nação, uma vez que </w:t>
      </w:r>
    </w:p>
    <w:p w14:paraId="7938F9C4" w14:textId="77777777" w:rsidR="001E41E3" w:rsidRDefault="001E41E3" w:rsidP="001E41E3">
      <w:pPr>
        <w:spacing w:before="20" w:after="20"/>
        <w:ind w:left="2267"/>
        <w:jc w:val="both"/>
        <w:rPr>
          <w:sz w:val="20"/>
          <w:szCs w:val="20"/>
        </w:rPr>
      </w:pPr>
      <w:r>
        <w:rPr>
          <w:sz w:val="20"/>
          <w:szCs w:val="20"/>
        </w:rPr>
        <w:t xml:space="preserve">A construção do Estado Moderno implicou uma luta permanente para a </w:t>
      </w:r>
      <w:proofErr w:type="spellStart"/>
      <w:r>
        <w:rPr>
          <w:sz w:val="20"/>
          <w:szCs w:val="20"/>
        </w:rPr>
        <w:t>despotencialização</w:t>
      </w:r>
      <w:proofErr w:type="spellEnd"/>
      <w:r>
        <w:rPr>
          <w:sz w:val="20"/>
          <w:szCs w:val="20"/>
        </w:rPr>
        <w:t xml:space="preserve"> dos poderosos locais, liberando os indivíduos das dominações tradicionais, vistas agora como privadas, e submetendo-os apenas e, igualmente de forma ideal, ao poder público.  (Nunes 1996, p. 32) </w:t>
      </w:r>
    </w:p>
    <w:p w14:paraId="19D2DA41" w14:textId="77777777" w:rsidR="001E41E3" w:rsidRDefault="001E41E3" w:rsidP="001E41E3">
      <w:pPr>
        <w:widowControl w:val="0"/>
        <w:pBdr>
          <w:top w:val="nil"/>
          <w:left w:val="nil"/>
          <w:bottom w:val="nil"/>
          <w:right w:val="nil"/>
          <w:between w:val="nil"/>
        </w:pBdr>
        <w:spacing w:before="20" w:after="20" w:line="360" w:lineRule="auto"/>
        <w:jc w:val="both"/>
      </w:pPr>
    </w:p>
    <w:p w14:paraId="490BA171" w14:textId="04AB8F91" w:rsidR="001E41E3" w:rsidRDefault="001E41E3" w:rsidP="001E41E3">
      <w:pPr>
        <w:widowControl w:val="0"/>
        <w:pBdr>
          <w:top w:val="nil"/>
          <w:left w:val="nil"/>
          <w:bottom w:val="nil"/>
          <w:right w:val="nil"/>
          <w:between w:val="nil"/>
        </w:pBdr>
        <w:spacing w:before="20" w:after="20" w:line="360" w:lineRule="auto"/>
        <w:ind w:firstLine="708"/>
        <w:jc w:val="both"/>
      </w:pPr>
      <w:r>
        <w:t xml:space="preserve"> Além disso, Nunes (1996) pontua que com o processo de globalização tal aspiração democratizante via descentralização das instituições se torna mais complexa, uma vez que o </w:t>
      </w:r>
      <w:proofErr w:type="spellStart"/>
      <w:r>
        <w:t>empresariamento</w:t>
      </w:r>
      <w:proofErr w:type="spellEnd"/>
      <w:r>
        <w:t xml:space="preserve"> da gestão pública e a guerra fiscal adotada pelos municípios a fim de atrair investimentos e empresas para seu território se tornam um entrave ao reorganizar </w:t>
      </w:r>
      <w:r w:rsidR="00EA14BB">
        <w:t>as localidades</w:t>
      </w:r>
      <w:r>
        <w:t xml:space="preserve"> de acordo com interesses antagônicos aos princípios da descentralização, visto que </w:t>
      </w:r>
    </w:p>
    <w:p w14:paraId="5E3D3DDF" w14:textId="77777777" w:rsidR="001E41E3" w:rsidRDefault="001E41E3" w:rsidP="001E41E3">
      <w:pPr>
        <w:widowControl w:val="0"/>
        <w:pBdr>
          <w:top w:val="nil"/>
          <w:left w:val="nil"/>
          <w:bottom w:val="nil"/>
          <w:right w:val="nil"/>
          <w:between w:val="nil"/>
        </w:pBdr>
        <w:spacing w:before="20" w:after="20"/>
        <w:ind w:left="2267"/>
        <w:jc w:val="both"/>
        <w:rPr>
          <w:sz w:val="20"/>
          <w:szCs w:val="20"/>
        </w:rPr>
      </w:pPr>
      <w:r>
        <w:rPr>
          <w:sz w:val="20"/>
          <w:szCs w:val="20"/>
        </w:rPr>
        <w:t>O momento presente marca, de fato, uma ruptura com os padrões políticos da modernidade. Infelizmente, numa direção pouco desejada pela maioria. Simultaneamente à elaboração da teoria do Estado, apresentada acima de forma muito resumida, o poder político real lança-se num movimento de afirmação de um desenvolvimento desigual e assimétrico que privilegia certos setores da sociedade e certas localidades em detrimento de outros. (Nunes, 1996, p. 34)</w:t>
      </w:r>
    </w:p>
    <w:p w14:paraId="6E7B7B56" w14:textId="77777777" w:rsidR="001E41E3" w:rsidRDefault="001E41E3" w:rsidP="001E41E3">
      <w:pPr>
        <w:widowControl w:val="0"/>
        <w:pBdr>
          <w:top w:val="nil"/>
          <w:left w:val="nil"/>
          <w:bottom w:val="nil"/>
          <w:right w:val="nil"/>
          <w:between w:val="nil"/>
        </w:pBdr>
        <w:spacing w:before="20" w:after="20" w:line="360" w:lineRule="auto"/>
        <w:ind w:left="2267"/>
        <w:jc w:val="both"/>
        <w:rPr>
          <w:sz w:val="20"/>
          <w:szCs w:val="20"/>
        </w:rPr>
      </w:pPr>
    </w:p>
    <w:p w14:paraId="12377E97" w14:textId="77777777" w:rsidR="001E41E3" w:rsidRDefault="001E41E3" w:rsidP="001E41E3">
      <w:pPr>
        <w:widowControl w:val="0"/>
        <w:pBdr>
          <w:top w:val="nil"/>
          <w:left w:val="nil"/>
          <w:bottom w:val="nil"/>
          <w:right w:val="nil"/>
          <w:between w:val="nil"/>
        </w:pBdr>
        <w:spacing w:before="20" w:after="20" w:line="360" w:lineRule="auto"/>
        <w:ind w:firstLine="708"/>
        <w:jc w:val="both"/>
      </w:pPr>
      <w:r>
        <w:t xml:space="preserve">Dito isso, tal processo aprofunda o cenário de crise do Estado e de representação política </w:t>
      </w:r>
      <w:r>
        <w:lastRenderedPageBreak/>
        <w:t>e segundo (Nunes, 1996, p. 37) “As causas apontadas para essa crise estão associadas a uma certa oligarquização constitucional do poder local, que faculta sistemas decisórios sem consulta popular[...].”</w:t>
      </w:r>
    </w:p>
    <w:p w14:paraId="76003381" w14:textId="77777777" w:rsidR="001E41E3" w:rsidRDefault="001E41E3" w:rsidP="001E41E3">
      <w:pPr>
        <w:widowControl w:val="0"/>
        <w:pBdr>
          <w:top w:val="nil"/>
          <w:left w:val="nil"/>
          <w:bottom w:val="nil"/>
          <w:right w:val="nil"/>
          <w:between w:val="nil"/>
        </w:pBdr>
        <w:spacing w:before="20" w:after="20" w:line="360" w:lineRule="auto"/>
        <w:ind w:firstLine="708"/>
        <w:jc w:val="both"/>
      </w:pPr>
      <w:r>
        <w:t>Sendo assim, essas reflexões indicam um cenário de muitos desafios na consolidação do sistema de divisão de competência entre os entes federativos e os mecanismos de descentralização do federalismo brasileiro, tal como veremos abaixo no exemplo a respeito da judicialização do piso salarial do magistério e das dificuldades na coordenação da estrutura de financiamento da educação básica pública brasileira.</w:t>
      </w:r>
    </w:p>
    <w:p w14:paraId="00C4D51A" w14:textId="77777777" w:rsidR="001E41E3" w:rsidRDefault="001E41E3" w:rsidP="001E41E3">
      <w:pPr>
        <w:widowControl w:val="0"/>
        <w:pBdr>
          <w:top w:val="nil"/>
          <w:left w:val="nil"/>
          <w:bottom w:val="nil"/>
          <w:right w:val="nil"/>
          <w:between w:val="nil"/>
        </w:pBdr>
        <w:spacing w:before="20" w:after="20" w:line="360" w:lineRule="auto"/>
        <w:jc w:val="both"/>
      </w:pPr>
    </w:p>
    <w:p w14:paraId="1A2FF607" w14:textId="77777777" w:rsidR="001E41E3" w:rsidRDefault="001E41E3" w:rsidP="001E41E3">
      <w:pPr>
        <w:widowControl w:val="0"/>
        <w:pBdr>
          <w:top w:val="nil"/>
          <w:left w:val="nil"/>
          <w:bottom w:val="nil"/>
          <w:right w:val="nil"/>
          <w:between w:val="nil"/>
        </w:pBdr>
        <w:spacing w:before="20" w:after="20" w:line="360" w:lineRule="auto"/>
        <w:ind w:left="8" w:right="4" w:hanging="1"/>
        <w:jc w:val="both"/>
        <w:rPr>
          <w:b/>
        </w:rPr>
      </w:pPr>
      <w:r>
        <w:rPr>
          <w:b/>
        </w:rPr>
        <w:t>4</w:t>
      </w:r>
      <w:r>
        <w:rPr>
          <w:rFonts w:ascii="Arial" w:eastAsia="Arial" w:hAnsi="Arial" w:cs="Arial"/>
          <w:b/>
          <w:color w:val="000000"/>
        </w:rPr>
        <w:t xml:space="preserve">. </w:t>
      </w:r>
      <w:r w:rsidRPr="005B4444">
        <w:rPr>
          <w:rFonts w:ascii="Arial" w:eastAsia="Arial" w:hAnsi="Arial" w:cs="Arial"/>
          <w:b/>
          <w:color w:val="000000"/>
        </w:rPr>
        <w:t>A DIVISÃO DE COMPETÊNCIA</w:t>
      </w:r>
      <w:r w:rsidRPr="005B4444">
        <w:rPr>
          <w:rFonts w:ascii="Arial" w:hAnsi="Arial" w:cs="Arial"/>
          <w:b/>
        </w:rPr>
        <w:t>S NO FINANCIAMENTO DA EDUCAÇÃO PÚBLICA BRASILEIRA E OS DESAFIOS NA IMPLEMENTAÇÃO DA LEI DO PISO Nº 11.738/2008</w:t>
      </w:r>
      <w:r>
        <w:rPr>
          <w:b/>
        </w:rPr>
        <w:t xml:space="preserve"> </w:t>
      </w:r>
    </w:p>
    <w:p w14:paraId="3CFE2B22" w14:textId="77777777" w:rsidR="001E41E3" w:rsidRDefault="001E41E3" w:rsidP="001E41E3">
      <w:pPr>
        <w:widowControl w:val="0"/>
        <w:pBdr>
          <w:top w:val="nil"/>
          <w:left w:val="nil"/>
          <w:bottom w:val="nil"/>
          <w:right w:val="nil"/>
          <w:between w:val="nil"/>
        </w:pBdr>
        <w:spacing w:before="20" w:after="20" w:line="360" w:lineRule="auto"/>
        <w:ind w:left="8" w:right="4" w:hanging="1"/>
        <w:jc w:val="both"/>
        <w:rPr>
          <w:b/>
        </w:rPr>
      </w:pPr>
    </w:p>
    <w:p w14:paraId="7DC98C5B" w14:textId="77777777" w:rsidR="001E41E3" w:rsidRDefault="001E41E3" w:rsidP="001E41E3">
      <w:pPr>
        <w:widowControl w:val="0"/>
        <w:pBdr>
          <w:top w:val="nil"/>
          <w:left w:val="nil"/>
          <w:bottom w:val="nil"/>
          <w:right w:val="nil"/>
          <w:between w:val="nil"/>
        </w:pBdr>
        <w:spacing w:before="20" w:after="20" w:line="360" w:lineRule="auto"/>
        <w:ind w:left="8" w:right="4" w:firstLine="700"/>
        <w:jc w:val="both"/>
      </w:pPr>
      <w:r>
        <w:t>O modelo de divisão competências entre os entes do federalismo brasileiro se expressa no sistema educacional por meio do artigo 211 da Constituição Federal de 1988, cabendo à União a responsabilidade de redistribuir os recursos e prestar suporte aos demais entes, fornecendo assistência técnica e financeira aos estados e municípios, entes estes responsáveis pela execução do ensino médio e fundamental, respectivamente.</w:t>
      </w:r>
    </w:p>
    <w:p w14:paraId="381A6EDA" w14:textId="77777777" w:rsidR="001E41E3" w:rsidRDefault="001E41E3" w:rsidP="001E41E3">
      <w:pPr>
        <w:widowControl w:val="0"/>
        <w:pBdr>
          <w:top w:val="nil"/>
          <w:left w:val="nil"/>
          <w:bottom w:val="nil"/>
          <w:right w:val="nil"/>
          <w:between w:val="nil"/>
        </w:pBdr>
        <w:spacing w:before="20" w:after="20" w:line="360" w:lineRule="auto"/>
        <w:ind w:left="8" w:right="4" w:firstLine="700"/>
        <w:jc w:val="both"/>
      </w:pPr>
      <w:r>
        <w:t>Neste contexto, o principal fundo de financiamento da educação pública brasileira é o Fundeb, gerenciado pelo Fundo Nacional de Desenvolvimento de Desenvolvimento da Educação (FNDE), o mesmo se constitui a partir da contribuição mínima de 25% por parte de estados e municípios em relação ao conjunto dos impostos arrecadados por estes e também por 18% de contribuição da União que complementa o fundo com outros recursos a fim de cobrir as assimetrias no financiamento educacional, vale destacar que atualmente a partir da aprovação do Fundeb permanente, cerca de 70% dos recursos do mesmo são direcionados para o vencimento dos profissionais da educação.</w:t>
      </w:r>
    </w:p>
    <w:p w14:paraId="691B7B55" w14:textId="77777777" w:rsidR="001E41E3" w:rsidRDefault="001E41E3" w:rsidP="001E41E3">
      <w:pPr>
        <w:widowControl w:val="0"/>
        <w:pBdr>
          <w:top w:val="nil"/>
          <w:left w:val="nil"/>
          <w:bottom w:val="nil"/>
          <w:right w:val="nil"/>
          <w:between w:val="nil"/>
        </w:pBdr>
        <w:spacing w:before="20" w:after="20" w:line="360" w:lineRule="auto"/>
        <w:ind w:left="8" w:right="4" w:firstLine="700"/>
        <w:jc w:val="both"/>
        <w:rPr>
          <w:sz w:val="25"/>
          <w:szCs w:val="25"/>
        </w:rPr>
      </w:pPr>
      <w:r>
        <w:t xml:space="preserve">Contudo, apesar da centralidade do Fundeb, existem outros dispositivos de financiamento e de acordo com </w:t>
      </w:r>
      <w:proofErr w:type="spellStart"/>
      <w:r>
        <w:t>Bliacheriene</w:t>
      </w:r>
      <w:proofErr w:type="spellEnd"/>
      <w:r>
        <w:t xml:space="preserve">, et al (2016) a principal base de financiamento da educação se por meio de  </w:t>
      </w:r>
    </w:p>
    <w:p w14:paraId="5E57596C" w14:textId="100710C5" w:rsidR="001E41E3" w:rsidRDefault="001E41E3" w:rsidP="001E41E3">
      <w:pPr>
        <w:widowControl w:val="0"/>
        <w:ind w:left="2267"/>
        <w:jc w:val="both"/>
        <w:rPr>
          <w:sz w:val="20"/>
          <w:szCs w:val="20"/>
        </w:rPr>
      </w:pPr>
      <w:r>
        <w:rPr>
          <w:sz w:val="20"/>
          <w:szCs w:val="20"/>
        </w:rPr>
        <w:t xml:space="preserve">[...] arrecadação de impostos associada à vinculação de parte das receitas à manutenção e ao desenvolvimento do ensino, conforme preceitua </w:t>
      </w:r>
      <w:r w:rsidR="005B4444">
        <w:rPr>
          <w:sz w:val="20"/>
          <w:szCs w:val="20"/>
        </w:rPr>
        <w:t>o artigo</w:t>
      </w:r>
      <w:r>
        <w:rPr>
          <w:sz w:val="20"/>
          <w:szCs w:val="20"/>
        </w:rPr>
        <w:t xml:space="preserve"> 212 da Constituição. Porém, podem ser</w:t>
      </w:r>
      <w:r w:rsidR="005B4444">
        <w:rPr>
          <w:sz w:val="20"/>
          <w:szCs w:val="20"/>
        </w:rPr>
        <w:t xml:space="preserve"> </w:t>
      </w:r>
      <w:r>
        <w:rPr>
          <w:sz w:val="20"/>
          <w:szCs w:val="20"/>
        </w:rPr>
        <w:t>citadas outras fontes como as contribuições sociais (com destaque para a contribuição do salário-educação), as transferências voluntárias aos entes subnacionais e as linhas de crédito de financiamento interno e externo. (</w:t>
      </w:r>
      <w:proofErr w:type="spellStart"/>
      <w:r>
        <w:rPr>
          <w:sz w:val="20"/>
          <w:szCs w:val="20"/>
        </w:rPr>
        <w:t>Bliacheriene</w:t>
      </w:r>
      <w:proofErr w:type="spellEnd"/>
      <w:r>
        <w:rPr>
          <w:sz w:val="20"/>
          <w:szCs w:val="20"/>
        </w:rPr>
        <w:t>, et al, 2016, p. 38)</w:t>
      </w:r>
    </w:p>
    <w:p w14:paraId="580E7380" w14:textId="77777777" w:rsidR="001E41E3" w:rsidRDefault="001E41E3" w:rsidP="001E41E3">
      <w:pPr>
        <w:widowControl w:val="0"/>
        <w:spacing w:line="360" w:lineRule="auto"/>
        <w:jc w:val="both"/>
        <w:rPr>
          <w:sz w:val="25"/>
          <w:szCs w:val="25"/>
        </w:rPr>
      </w:pPr>
    </w:p>
    <w:p w14:paraId="3D71EB96" w14:textId="77777777" w:rsidR="001E41E3" w:rsidRDefault="001E41E3" w:rsidP="001E41E3">
      <w:pPr>
        <w:widowControl w:val="0"/>
        <w:spacing w:before="20" w:after="20" w:line="360" w:lineRule="auto"/>
        <w:ind w:firstLine="708"/>
        <w:jc w:val="both"/>
      </w:pPr>
      <w:r>
        <w:lastRenderedPageBreak/>
        <w:t xml:space="preserve">Além disso, existem um conjunto de legislações e instituições para coordenar cada uma destas fontes, contudo, elas operam a partir de lógicas e linguagens diferentes, gerando confusão na implementação do fundo e dificuldade no controle e acompanhamento da execução e de acordo com </w:t>
      </w:r>
      <w:proofErr w:type="spellStart"/>
      <w:r>
        <w:t>Bliacheriene</w:t>
      </w:r>
      <w:proofErr w:type="spellEnd"/>
      <w:r>
        <w:t>, et al. (2016) tal problemática contribui para ampliar a desigualdade histórica entre os sistemas de ensino.</w:t>
      </w:r>
    </w:p>
    <w:p w14:paraId="5667BD85" w14:textId="77777777" w:rsidR="001E41E3" w:rsidRDefault="001E41E3" w:rsidP="001E41E3">
      <w:pPr>
        <w:widowControl w:val="0"/>
        <w:spacing w:before="20" w:after="20" w:line="360" w:lineRule="auto"/>
        <w:ind w:firstLine="708"/>
        <w:jc w:val="both"/>
      </w:pPr>
      <w:r>
        <w:t>Frente ao exposto, foram implementados um conjunto de mecanismos ao longo das mais de duas décadas da criação do fundo, como as agências de monitoramento e responsabilização, a fim de garantir a transparência na sua execução, uma vez que existem</w:t>
      </w:r>
    </w:p>
    <w:p w14:paraId="64DE83F6" w14:textId="77777777" w:rsidR="001E41E3" w:rsidRDefault="001E41E3" w:rsidP="001E41E3">
      <w:pPr>
        <w:widowControl w:val="0"/>
        <w:ind w:left="2267"/>
        <w:jc w:val="both"/>
        <w:rPr>
          <w:sz w:val="20"/>
          <w:szCs w:val="20"/>
        </w:rPr>
      </w:pPr>
      <w:r>
        <w:rPr>
          <w:sz w:val="20"/>
          <w:szCs w:val="20"/>
        </w:rPr>
        <w:t>[...] problemas  relevantes,  sintetizados  por  Braga  (2015)  e  pela  Avaliação  da  Execução  do  Programa  realizada  pela  CGU (BRASIL, 2013), indicando como problemas na gestão, desvios de finalidade, falta de comprovação das despesas, irregularidades nas licitações e contratos, não observância do mínimo com a remuneração dos professores e movimentações fora da conta específica, o famoso “saque na boca do caixa”, sendo que esta última situação mobilizou o Governo Federal para, por meio do Decreto nº 7.507 de 27/06/2011,  instituir medidas de promoção da transparência dos recursos do Fundeb e restrições à movimentações que não se deem de forma eletrônica, rastreável, fortalecendo a gestão do Fundo.  (</w:t>
      </w:r>
      <w:proofErr w:type="spellStart"/>
      <w:r>
        <w:rPr>
          <w:sz w:val="20"/>
          <w:szCs w:val="20"/>
        </w:rPr>
        <w:t>Bliacheriene</w:t>
      </w:r>
      <w:proofErr w:type="spellEnd"/>
      <w:r>
        <w:rPr>
          <w:sz w:val="20"/>
          <w:szCs w:val="20"/>
        </w:rPr>
        <w:t>, et al, 2016, p. 43)</w:t>
      </w:r>
    </w:p>
    <w:p w14:paraId="47795CBE" w14:textId="77777777" w:rsidR="001E41E3" w:rsidRDefault="001E41E3" w:rsidP="001E41E3">
      <w:pPr>
        <w:widowControl w:val="0"/>
        <w:spacing w:line="360" w:lineRule="auto"/>
        <w:jc w:val="both"/>
        <w:rPr>
          <w:sz w:val="25"/>
          <w:szCs w:val="25"/>
        </w:rPr>
      </w:pPr>
    </w:p>
    <w:p w14:paraId="15E7BFD7" w14:textId="77777777" w:rsidR="001E41E3" w:rsidRDefault="001E41E3" w:rsidP="001E41E3">
      <w:pPr>
        <w:widowControl w:val="0"/>
        <w:spacing w:before="20" w:after="20" w:line="360" w:lineRule="auto"/>
        <w:ind w:firstLine="708"/>
        <w:jc w:val="both"/>
        <w:rPr>
          <w:highlight w:val="white"/>
        </w:rPr>
      </w:pPr>
      <w:r>
        <w:t xml:space="preserve">Deste modo, tal problemática pode ser compreendida enquanto reflexo das fragilidades presentes no modelo federativo estabelecido a partir da constituição de 1988 ao envolver uma multiplicidade de atores na execução das políticas públicas e segundo </w:t>
      </w:r>
      <w:proofErr w:type="spellStart"/>
      <w:r>
        <w:t>Bliacheriene</w:t>
      </w:r>
      <w:proofErr w:type="spellEnd"/>
      <w:r>
        <w:t xml:space="preserve"> (2016) para o Fundeb também foi desenvolvido um sistema de </w:t>
      </w:r>
      <w:proofErr w:type="spellStart"/>
      <w:r>
        <w:rPr>
          <w:i/>
        </w:rPr>
        <w:t>accountability</w:t>
      </w:r>
      <w:proofErr w:type="spellEnd"/>
      <w:r>
        <w:rPr>
          <w:i/>
        </w:rPr>
        <w:t xml:space="preserve"> </w:t>
      </w:r>
      <w:r>
        <w:t xml:space="preserve">a fim de garantir o controle mútuo entre os entes da federação, porém, falta ação coordenada e estratégia bem definida, resultando em conflitos e divergências quanto a execução da lei. </w:t>
      </w:r>
    </w:p>
    <w:p w14:paraId="76B75446" w14:textId="77777777" w:rsidR="001E41E3" w:rsidRDefault="001E41E3" w:rsidP="001E41E3">
      <w:pPr>
        <w:widowControl w:val="0"/>
        <w:spacing w:before="20" w:after="20" w:line="360" w:lineRule="auto"/>
        <w:ind w:firstLine="708"/>
        <w:jc w:val="both"/>
        <w:rPr>
          <w:sz w:val="25"/>
          <w:szCs w:val="25"/>
          <w:highlight w:val="white"/>
        </w:rPr>
      </w:pPr>
      <w:r>
        <w:rPr>
          <w:highlight w:val="white"/>
        </w:rPr>
        <w:t>Estes conflitos se expressam em exemplos como</w:t>
      </w:r>
      <w:r>
        <w:rPr>
          <w:sz w:val="25"/>
          <w:szCs w:val="25"/>
          <w:highlight w:val="white"/>
        </w:rPr>
        <w:t xml:space="preserve"> </w:t>
      </w:r>
    </w:p>
    <w:p w14:paraId="7228F1F8" w14:textId="36FC3AC4" w:rsidR="001E41E3" w:rsidRDefault="001E41E3" w:rsidP="001E41E3">
      <w:pPr>
        <w:widowControl w:val="0"/>
        <w:spacing w:before="20" w:after="20" w:line="360" w:lineRule="auto"/>
        <w:ind w:left="2267"/>
        <w:jc w:val="both"/>
        <w:rPr>
          <w:sz w:val="20"/>
          <w:szCs w:val="20"/>
        </w:rPr>
      </w:pPr>
      <w:r>
        <w:rPr>
          <w:sz w:val="20"/>
          <w:szCs w:val="20"/>
        </w:rPr>
        <w:t xml:space="preserve">[...] no caso do </w:t>
      </w:r>
      <w:r w:rsidR="005B4444">
        <w:rPr>
          <w:sz w:val="20"/>
          <w:szCs w:val="20"/>
        </w:rPr>
        <w:t>u</w:t>
      </w:r>
      <w:r>
        <w:rPr>
          <w:sz w:val="20"/>
          <w:szCs w:val="20"/>
        </w:rPr>
        <w:t xml:space="preserve">so de recursos do Fundeb para o pagamento de aposentadorias </w:t>
      </w:r>
      <w:proofErr w:type="gramStart"/>
      <w:r>
        <w:rPr>
          <w:sz w:val="20"/>
          <w:szCs w:val="20"/>
        </w:rPr>
        <w:t>e  ainda</w:t>
      </w:r>
      <w:proofErr w:type="gramEnd"/>
      <w:r>
        <w:rPr>
          <w:sz w:val="20"/>
          <w:szCs w:val="20"/>
        </w:rPr>
        <w:t>, a  geração  de  desigualdades  desse  caráter  sancionatório,  pelas  diferentes  atuações  dos  Tribunais  de  Contas  Estaduais  (DAVIES, 2001; TREVISAN, 2003) e pela inserção de players robustos, como a CGU e o TCU, em determinados municípios, o que traz, por vezes, o assunto para a pauta nacional.  (</w:t>
      </w:r>
      <w:proofErr w:type="spellStart"/>
      <w:r>
        <w:rPr>
          <w:sz w:val="20"/>
          <w:szCs w:val="20"/>
        </w:rPr>
        <w:t>Bliacheriene</w:t>
      </w:r>
      <w:proofErr w:type="spellEnd"/>
      <w:r>
        <w:rPr>
          <w:sz w:val="20"/>
          <w:szCs w:val="20"/>
        </w:rPr>
        <w:t>, et al, 2016, p. 44)</w:t>
      </w:r>
    </w:p>
    <w:p w14:paraId="27D7B0B4" w14:textId="77777777" w:rsidR="001E41E3" w:rsidRDefault="001E41E3" w:rsidP="001E41E3">
      <w:pPr>
        <w:widowControl w:val="0"/>
        <w:spacing w:before="20" w:after="20" w:line="360" w:lineRule="auto"/>
        <w:ind w:left="2267"/>
        <w:jc w:val="both"/>
        <w:rPr>
          <w:sz w:val="20"/>
          <w:szCs w:val="20"/>
        </w:rPr>
      </w:pPr>
    </w:p>
    <w:p w14:paraId="18A2BBBD" w14:textId="77777777" w:rsidR="001E41E3" w:rsidRDefault="001E41E3" w:rsidP="001E41E3">
      <w:pPr>
        <w:widowControl w:val="0"/>
        <w:spacing w:before="20" w:after="20" w:line="360" w:lineRule="auto"/>
        <w:ind w:firstLine="708"/>
        <w:jc w:val="both"/>
        <w:rPr>
          <w:highlight w:val="white"/>
        </w:rPr>
      </w:pPr>
      <w:r>
        <w:rPr>
          <w:highlight w:val="white"/>
        </w:rPr>
        <w:t>Temos também o exemplo da judicialização da lei 11.738/2008 que dispõe sobre Piso Nacional dos Profissionais do magistério da educação básica, visto que além de ser contestada rotineiramente por parte da Confederação Nacional dos Municípios (CNM, 2025), a lei irá a julgamento no plenário do STF em ação movida por parte do Governo do Estado de São Paulo, reforçando o cenário de judicialização dos mecanismos de financiamento da educação pública brasileira.</w:t>
      </w:r>
    </w:p>
    <w:p w14:paraId="36090D0A" w14:textId="77777777" w:rsidR="001E41E3" w:rsidRDefault="001E41E3" w:rsidP="001E41E3">
      <w:pPr>
        <w:widowControl w:val="0"/>
        <w:spacing w:before="20" w:after="20" w:line="360" w:lineRule="auto"/>
        <w:ind w:firstLine="708"/>
        <w:jc w:val="both"/>
        <w:rPr>
          <w:sz w:val="25"/>
          <w:szCs w:val="25"/>
          <w:highlight w:val="white"/>
        </w:rPr>
      </w:pPr>
      <w:r>
        <w:rPr>
          <w:highlight w:val="white"/>
        </w:rPr>
        <w:lastRenderedPageBreak/>
        <w:t>No presente ano, em orientação aos entes municipais, a CNM publicou a seguinte nota sobre o reajuste anual do piso:</w:t>
      </w:r>
      <w:r>
        <w:rPr>
          <w:sz w:val="25"/>
          <w:szCs w:val="25"/>
          <w:highlight w:val="white"/>
        </w:rPr>
        <w:t xml:space="preserve"> </w:t>
      </w:r>
    </w:p>
    <w:p w14:paraId="14460822" w14:textId="77777777" w:rsidR="001E41E3" w:rsidRDefault="001E41E3" w:rsidP="001E41E3">
      <w:pPr>
        <w:pBdr>
          <w:top w:val="none" w:sz="0" w:space="0" w:color="E5E7EB"/>
          <w:left w:val="none" w:sz="0" w:space="0" w:color="E5E7EB"/>
          <w:bottom w:val="none" w:sz="0" w:space="0" w:color="E5E7EB"/>
          <w:right w:val="none" w:sz="0" w:space="0" w:color="E5E7EB"/>
          <w:between w:val="none" w:sz="0" w:space="0" w:color="E5E7EB"/>
        </w:pBdr>
        <w:shd w:val="clear" w:color="auto" w:fill="FFFFFF"/>
        <w:spacing w:after="220"/>
        <w:ind w:left="2267"/>
        <w:jc w:val="both"/>
        <w:rPr>
          <w:sz w:val="20"/>
          <w:szCs w:val="20"/>
        </w:rPr>
      </w:pPr>
      <w:r>
        <w:rPr>
          <w:sz w:val="20"/>
          <w:szCs w:val="20"/>
        </w:rPr>
        <w:t>[...] respeitando a autonomia dos Municípios, os gestores devem conceder reajuste ao magistério tendo como referência a inflação e considerando a situação fiscal do Município e os limites para gastos com pessoal da Lei de Responsabilidade Fiscal (LRF); e a avaliar a possibilidade de conceder igual reajuste para o conjunto dos servidores municipais. Além disso, é importante ressaltar que uma Portaria do Ministério da Educação não implica imediato reajuste dos vencimentos do magistério, pois qualquer alteração dos vencimentos e remunerações de servidores públicos somente pode ser implementada por lei específica do respectivo ente federado. (Confederação Nacional dos Municípios, 2025)</w:t>
      </w:r>
    </w:p>
    <w:p w14:paraId="5DB2CF79" w14:textId="77777777" w:rsidR="001E41E3" w:rsidRDefault="001E41E3" w:rsidP="001E41E3"/>
    <w:p w14:paraId="2FCE4DF8" w14:textId="77777777" w:rsidR="001E41E3" w:rsidRDefault="001E41E3" w:rsidP="001E41E3">
      <w:pPr>
        <w:widowControl w:val="0"/>
        <w:spacing w:line="360" w:lineRule="auto"/>
        <w:ind w:firstLine="708"/>
        <w:jc w:val="both"/>
        <w:rPr>
          <w:sz w:val="25"/>
          <w:szCs w:val="25"/>
          <w:highlight w:val="white"/>
        </w:rPr>
      </w:pPr>
      <w:r>
        <w:rPr>
          <w:sz w:val="25"/>
          <w:szCs w:val="25"/>
          <w:highlight w:val="white"/>
        </w:rPr>
        <w:t xml:space="preserve">Tal fato é reforçado pela disputa entre o Governo do Estado de São Paulo e os profissionais da educação no que tange a efetivação da lei, de acordo com Gutierrez (2025) </w:t>
      </w:r>
    </w:p>
    <w:p w14:paraId="1891E3FC" w14:textId="77777777" w:rsidR="001E41E3" w:rsidRDefault="001E41E3" w:rsidP="001E41E3">
      <w:pPr>
        <w:widowControl w:val="0"/>
        <w:shd w:val="clear" w:color="auto" w:fill="FFFFFF"/>
        <w:spacing w:after="220"/>
        <w:ind w:left="2267"/>
        <w:jc w:val="both"/>
        <w:rPr>
          <w:sz w:val="20"/>
          <w:szCs w:val="20"/>
        </w:rPr>
      </w:pPr>
      <w:r>
        <w:rPr>
          <w:sz w:val="20"/>
          <w:szCs w:val="20"/>
        </w:rPr>
        <w:t>[...] o TJ-SP entendeu que, ao atualizar o vencimento inicial para atender ao piso nacional, o governo estadual estaria obrigado a repercutir proporcionalmente esse aumento em toda a estrutura da carreira, evitando o chamado achatamento salarial [...]. O governo paulista recorreu ao STF, alegando que a aplicação obrigatória desses reflexos geraria um impacto financeiro insustentável, violando a autonomia administrativa e orçamentária do Estado. (Gutierres, 2025, n.p.)</w:t>
      </w:r>
    </w:p>
    <w:p w14:paraId="2FE3F990" w14:textId="05673099" w:rsidR="001E41E3" w:rsidRDefault="001E41E3" w:rsidP="001E41E3">
      <w:pPr>
        <w:widowControl w:val="0"/>
        <w:spacing w:before="20" w:after="20" w:line="360" w:lineRule="auto"/>
        <w:ind w:firstLine="708"/>
        <w:jc w:val="both"/>
      </w:pPr>
      <w:r>
        <w:t xml:space="preserve">Sendo assim, ambos os casos são exemplos dos conflitos gerados entre os entes federativos em decorrência do reconhecimento dos estados </w:t>
      </w:r>
      <w:r w:rsidR="005B4444">
        <w:t>e</w:t>
      </w:r>
      <w:r>
        <w:t xml:space="preserve"> municípios enquanto entes dotados de autonomia para a execução das políticas públicas, centralizando, por outro lado, no Governo Federal o desenho e a normatização destas políticas, abrindo brechas para embates e judicialização das leis e medidas aprovadas. </w:t>
      </w:r>
    </w:p>
    <w:p w14:paraId="57E9D9EF" w14:textId="62C00451" w:rsidR="001E41E3" w:rsidRDefault="001E41E3" w:rsidP="001E41E3">
      <w:pPr>
        <w:widowControl w:val="0"/>
        <w:spacing w:before="20" w:after="20" w:line="360" w:lineRule="auto"/>
        <w:ind w:firstLine="708"/>
        <w:jc w:val="both"/>
      </w:pPr>
      <w:r>
        <w:t xml:space="preserve">A respeito desta questão, Gouveia (2021) destaca que essa dificuldade se aprofunda a partir da instituição do teto de gastos com aprovação da EC 95/2016 e também da EC 109/2021 que expandiu a lógica de austeridade para os municípios, agravando ainda mais o cenário orçamentário dos entes, colocando um desafio importante para a efetivação da lei do piso nacional do magistério e segundo ela, diante das dificuldades na efetivação das políticas de valorização do magistério e </w:t>
      </w:r>
    </w:p>
    <w:p w14:paraId="415A90BF" w14:textId="77777777" w:rsidR="001E41E3" w:rsidRDefault="001E41E3" w:rsidP="001E41E3">
      <w:pPr>
        <w:widowControl w:val="0"/>
        <w:spacing w:before="20" w:after="20"/>
        <w:ind w:left="2267"/>
        <w:jc w:val="both"/>
        <w:rPr>
          <w:sz w:val="25"/>
          <w:szCs w:val="25"/>
          <w:highlight w:val="white"/>
        </w:rPr>
      </w:pPr>
      <w:r>
        <w:rPr>
          <w:sz w:val="20"/>
          <w:szCs w:val="20"/>
          <w:highlight w:val="white"/>
        </w:rPr>
        <w:t>Em uma federação com grandes desigualdades, como a brasileira, o papel do governo federal tem se mostrado importante indutor da direção que este compromisso assume. Ademais, ainda que em contexto de indução positiva do governo federal em relação ao compromisso com a valorização, as disputas locais exigem forte mobilização dos/as próprios/as professores/as para a efetividade das políticas locais. (Gouveia, 2021, p. 753)</w:t>
      </w:r>
    </w:p>
    <w:p w14:paraId="4A6FD0F1" w14:textId="77777777" w:rsidR="001E41E3" w:rsidRDefault="001E41E3" w:rsidP="001E41E3">
      <w:pPr>
        <w:widowControl w:val="0"/>
        <w:spacing w:before="20" w:after="20"/>
        <w:jc w:val="both"/>
        <w:rPr>
          <w:sz w:val="25"/>
          <w:szCs w:val="25"/>
          <w:highlight w:val="white"/>
        </w:rPr>
      </w:pPr>
    </w:p>
    <w:p w14:paraId="3EAF9A6C" w14:textId="75A8B33C" w:rsidR="001E41E3" w:rsidRDefault="001E41E3" w:rsidP="001E41E3">
      <w:pPr>
        <w:widowControl w:val="0"/>
        <w:spacing w:before="20" w:after="20" w:line="360" w:lineRule="auto"/>
        <w:ind w:right="-2" w:firstLine="708"/>
        <w:jc w:val="both"/>
      </w:pPr>
      <w:r>
        <w:t xml:space="preserve">Conforme Da Silva Teixeira e Nunes (2019), as dificuldades na implementação da lei do piso se relacionam com o fato de historicamente o Estado brasileiro eximir-se do problema em relação ao financiamento da educação básica, relegando as maiores responsabilidades aos municípios, entretanto, </w:t>
      </w:r>
      <w:r w:rsidR="005B4444">
        <w:t>estes em sua maioria não detêm</w:t>
      </w:r>
      <w:r>
        <w:t xml:space="preserve"> recursos financeiros necessários para </w:t>
      </w:r>
      <w:r>
        <w:lastRenderedPageBreak/>
        <w:t xml:space="preserve">esta execução, tal problema se evidencia </w:t>
      </w:r>
    </w:p>
    <w:p w14:paraId="71C3F826" w14:textId="17459F90" w:rsidR="001E41E3" w:rsidRDefault="001E41E3" w:rsidP="001E41E3">
      <w:pPr>
        <w:widowControl w:val="0"/>
        <w:spacing w:before="20" w:after="20"/>
        <w:ind w:left="2267"/>
        <w:jc w:val="both"/>
        <w:rPr>
          <w:sz w:val="20"/>
          <w:szCs w:val="20"/>
        </w:rPr>
      </w:pPr>
      <w:r>
        <w:rPr>
          <w:sz w:val="20"/>
          <w:szCs w:val="20"/>
        </w:rPr>
        <w:t xml:space="preserve">[...] porque, para garantir a oferta do ensino público gratuito e de qualidade para todo e qualquer cidadão brasileiro, faz-se necessário contar com a disponibilidade de recursos públicos suficientes para dar sustentação às diversas políticas públicas educacionais abriu procedência para que estados e municípios criassem os próprios pisos salariais, o que acentuou as desigualdades salariais já existentes entre os entes </w:t>
      </w:r>
      <w:r w:rsidR="005B4444">
        <w:rPr>
          <w:sz w:val="20"/>
          <w:szCs w:val="20"/>
        </w:rPr>
        <w:t>federados. (</w:t>
      </w:r>
      <w:r>
        <w:rPr>
          <w:sz w:val="20"/>
          <w:szCs w:val="20"/>
        </w:rPr>
        <w:t>Da Silva Teixeira e Nunes, 2019, p.7)</w:t>
      </w:r>
    </w:p>
    <w:p w14:paraId="0613BE9F" w14:textId="77777777" w:rsidR="001E41E3" w:rsidRDefault="001E41E3" w:rsidP="001E41E3">
      <w:pPr>
        <w:widowControl w:val="0"/>
        <w:spacing w:before="20" w:after="20"/>
        <w:ind w:right="-2" w:firstLine="708"/>
        <w:jc w:val="both"/>
      </w:pPr>
    </w:p>
    <w:p w14:paraId="3E849422" w14:textId="77777777" w:rsidR="001E41E3" w:rsidRDefault="001E41E3" w:rsidP="001E41E3">
      <w:pPr>
        <w:widowControl w:val="0"/>
        <w:spacing w:before="20" w:after="20" w:line="360" w:lineRule="auto"/>
        <w:ind w:right="-2" w:firstLine="708"/>
        <w:jc w:val="both"/>
      </w:pPr>
      <w:r>
        <w:t xml:space="preserve">Ademais, apenas aplicar o mínimo de 70% dos recursos do Fundeb não resulta na garantia plena da efetivação do piso em todos os municípios, uma vez que segundo Da Silva Teixeira e Nunes (2019), o referido fundo não representa a totalidade dos recursos destinados ao financiamento da educação pública, sendo insuficiente em muitos casos, ficando de fora outras fontes de recursos como o salário educação, sendo assim </w:t>
      </w:r>
    </w:p>
    <w:p w14:paraId="7F33A2EE" w14:textId="77777777" w:rsidR="001E41E3" w:rsidRDefault="001E41E3" w:rsidP="001E41E3">
      <w:pPr>
        <w:widowControl w:val="0"/>
        <w:spacing w:before="20" w:after="20"/>
        <w:ind w:left="2267"/>
        <w:jc w:val="both"/>
        <w:rPr>
          <w:sz w:val="20"/>
          <w:szCs w:val="20"/>
        </w:rPr>
      </w:pPr>
      <w:r>
        <w:rPr>
          <w:sz w:val="20"/>
          <w:szCs w:val="20"/>
        </w:rPr>
        <w:t xml:space="preserve">O panorama apresentado, sobre os fundos de financiamento da educação, permitiu concluir que estes trouxeram poucos recursos novos à educação brasileira, uma vez que apenas promoveram a redistribuição, entre governo estadual e prefeituras, de recursos provenientes de impostos antes já vinculados à manutenção e desenvolvimento da educação (MDE). (Da Silva Teixeira e Nunes, 2019, p. 11) </w:t>
      </w:r>
    </w:p>
    <w:p w14:paraId="7AFE88B5" w14:textId="77777777" w:rsidR="001E41E3" w:rsidRDefault="001E41E3" w:rsidP="001E41E3">
      <w:pPr>
        <w:widowControl w:val="0"/>
        <w:spacing w:before="20" w:after="20" w:line="360" w:lineRule="auto"/>
        <w:ind w:right="-2"/>
        <w:jc w:val="both"/>
      </w:pPr>
    </w:p>
    <w:p w14:paraId="11CF7886" w14:textId="77777777" w:rsidR="001E41E3" w:rsidRDefault="001E41E3" w:rsidP="001E41E3">
      <w:pPr>
        <w:widowControl w:val="0"/>
        <w:spacing w:before="20" w:after="20" w:line="360" w:lineRule="auto"/>
        <w:ind w:right="-2" w:firstLine="708"/>
        <w:jc w:val="both"/>
      </w:pPr>
      <w:r>
        <w:t>Deste modo, um dos caminhos perseguidos ao longo dos últimos anos visando solucionar este imbróglio foi a aprovação meta da aplicação de 10% do PIB no financiamento da educação pública e segundo (Da Silva Teixeira e Nunes, 2019, p. 14) “a implementação do piso “exigirá um esforço coletivo dos governos (União, Distrito Federal, estados e municípios), de modo a incrementar os recursos educacionais para o equivalente a 10% do PIB, provando que de fato a educação é prioridade em suas agendas.”</w:t>
      </w:r>
    </w:p>
    <w:p w14:paraId="5F4F6E64" w14:textId="58F98748" w:rsidR="001E41E3" w:rsidRDefault="001E41E3" w:rsidP="001E41E3">
      <w:pPr>
        <w:widowControl w:val="0"/>
        <w:spacing w:before="20" w:after="20" w:line="360" w:lineRule="auto"/>
        <w:ind w:right="-2" w:firstLine="708"/>
        <w:jc w:val="both"/>
      </w:pPr>
      <w:r>
        <w:t xml:space="preserve">Sendo assim, buscaremos aprofundar no próximo capítulo a relação entre os royalties do petróleo e o fortalecimento dos mecanismos de financiamento da educação pública brasileira, com destaque para os recursos destinados </w:t>
      </w:r>
      <w:r w:rsidR="005B4444">
        <w:t>a este</w:t>
      </w:r>
      <w:r>
        <w:t xml:space="preserve"> financiamento que são oriundos do Fundo Social do </w:t>
      </w:r>
      <w:proofErr w:type="spellStart"/>
      <w:r>
        <w:t>Pré</w:t>
      </w:r>
      <w:proofErr w:type="spellEnd"/>
      <w:r>
        <w:t>-Sal.</w:t>
      </w:r>
    </w:p>
    <w:p w14:paraId="054AD7A3" w14:textId="2154FF4C" w:rsidR="001E41E3" w:rsidRDefault="001E41E3" w:rsidP="001E41E3">
      <w:pPr>
        <w:widowControl w:val="0"/>
        <w:pBdr>
          <w:top w:val="nil"/>
          <w:left w:val="nil"/>
          <w:bottom w:val="nil"/>
          <w:right w:val="nil"/>
          <w:between w:val="nil"/>
        </w:pBdr>
        <w:spacing w:before="366"/>
        <w:ind w:left="6"/>
        <w:rPr>
          <w:b/>
        </w:rPr>
      </w:pPr>
      <w:r>
        <w:rPr>
          <w:b/>
        </w:rPr>
        <w:t>5.</w:t>
      </w:r>
      <w:r>
        <w:rPr>
          <w:rFonts w:ascii="Arial" w:eastAsia="Arial" w:hAnsi="Arial" w:cs="Arial"/>
          <w:b/>
          <w:color w:val="000000"/>
        </w:rPr>
        <w:t xml:space="preserve"> O </w:t>
      </w:r>
      <w:r>
        <w:rPr>
          <w:b/>
        </w:rPr>
        <w:t>FUNDO SOCIAL DO PRÉ-</w:t>
      </w:r>
      <w:r>
        <w:rPr>
          <w:b/>
        </w:rPr>
        <w:t>SAL E</w:t>
      </w:r>
      <w:r>
        <w:rPr>
          <w:b/>
        </w:rPr>
        <w:t xml:space="preserve"> A POSSIBILIDADE DE NOVOS RECURSOS PARA A EDUCAÇÃO</w:t>
      </w:r>
    </w:p>
    <w:p w14:paraId="233F2B82" w14:textId="77777777" w:rsidR="001E41E3" w:rsidRDefault="001E41E3" w:rsidP="001E41E3">
      <w:pPr>
        <w:widowControl w:val="0"/>
        <w:spacing w:line="360" w:lineRule="auto"/>
        <w:jc w:val="both"/>
        <w:rPr>
          <w:sz w:val="25"/>
          <w:szCs w:val="25"/>
          <w:highlight w:val="white"/>
        </w:rPr>
      </w:pPr>
    </w:p>
    <w:p w14:paraId="4974E2E8" w14:textId="77777777" w:rsidR="001E41E3" w:rsidRDefault="001E41E3" w:rsidP="001E41E3">
      <w:pPr>
        <w:widowControl w:val="0"/>
        <w:spacing w:before="20" w:after="20" w:line="360" w:lineRule="auto"/>
        <w:ind w:firstLine="708"/>
        <w:jc w:val="both"/>
      </w:pPr>
      <w:r>
        <w:t xml:space="preserve">A descoberta do </w:t>
      </w:r>
      <w:proofErr w:type="spellStart"/>
      <w:r>
        <w:t>pré</w:t>
      </w:r>
      <w:proofErr w:type="spellEnd"/>
      <w:r>
        <w:t>-sal em 2006 trouxe não só novas perspectivas para a Petrobras e para o setor energético brasileiro, como também para segmentos como saúde, educação e meio ambiente, resultando em grande euforia por parte da sociedade brasileira e do governo à época, assim, de acordo com (Machado e da Silveira, 2021, p. 242) umas das grandes bandeiras sociais no período foi a defesa da destinação destes recursos para a indução do desenvolvimento nacional e regional.</w:t>
      </w:r>
    </w:p>
    <w:p w14:paraId="2431BF77" w14:textId="77777777" w:rsidR="001E41E3" w:rsidRDefault="001E41E3" w:rsidP="001E41E3">
      <w:pPr>
        <w:widowControl w:val="0"/>
        <w:spacing w:before="20" w:after="20" w:line="360" w:lineRule="auto"/>
        <w:ind w:firstLine="708"/>
        <w:jc w:val="both"/>
      </w:pPr>
      <w:r>
        <w:lastRenderedPageBreak/>
        <w:t xml:space="preserve">Contudo, dada a configuração do modelo federativo assumido pelo Estado brasileiro, tal processo foi envolto por </w:t>
      </w:r>
    </w:p>
    <w:p w14:paraId="238B0243" w14:textId="77777777" w:rsidR="001E41E3" w:rsidRPr="005B4444" w:rsidRDefault="001E41E3" w:rsidP="001E41E3">
      <w:pPr>
        <w:widowControl w:val="0"/>
        <w:spacing w:before="20" w:after="20"/>
        <w:ind w:left="2267"/>
        <w:jc w:val="both"/>
        <w:rPr>
          <w:rFonts w:eastAsia="Roboto"/>
          <w:sz w:val="20"/>
          <w:szCs w:val="20"/>
        </w:rPr>
      </w:pPr>
      <w:r>
        <w:rPr>
          <w:sz w:val="20"/>
          <w:szCs w:val="20"/>
        </w:rPr>
        <w:t xml:space="preserve">[...] profundas disputas políticas e jurídicas em torno da distribuição dos recursos que seriam oriundos da exploração do </w:t>
      </w:r>
      <w:proofErr w:type="spellStart"/>
      <w:r>
        <w:rPr>
          <w:sz w:val="20"/>
          <w:szCs w:val="20"/>
        </w:rPr>
        <w:t>pré</w:t>
      </w:r>
      <w:proofErr w:type="spellEnd"/>
      <w:r>
        <w:rPr>
          <w:sz w:val="20"/>
          <w:szCs w:val="20"/>
        </w:rPr>
        <w:t>-sal. Diante da magnitude das novas reservas, discutiu-se no âmbito do Governo Federal e do Congresso Nacional a necessidade de alterações no marco legal sobre o petróleo. Cabe ressaltar o intenso debate que ocorreu sobre a destinação dos royalties oriundos da exploração do petróleo</w:t>
      </w:r>
      <w:r w:rsidRPr="005B4444">
        <w:rPr>
          <w:sz w:val="20"/>
          <w:szCs w:val="20"/>
        </w:rPr>
        <w:t xml:space="preserve">. </w:t>
      </w:r>
      <w:r w:rsidRPr="005B4444">
        <w:rPr>
          <w:rFonts w:eastAsia="Roboto"/>
          <w:sz w:val="20"/>
          <w:szCs w:val="20"/>
        </w:rPr>
        <w:t xml:space="preserve">(Silva Filho; Mariano, 2019, p. 174) </w:t>
      </w:r>
    </w:p>
    <w:p w14:paraId="26E28980" w14:textId="77777777" w:rsidR="001E41E3" w:rsidRDefault="001E41E3" w:rsidP="001E41E3">
      <w:pPr>
        <w:widowControl w:val="0"/>
        <w:spacing w:before="20" w:after="20" w:line="360" w:lineRule="auto"/>
        <w:jc w:val="both"/>
      </w:pPr>
    </w:p>
    <w:p w14:paraId="5BC1C013" w14:textId="77777777" w:rsidR="001E41E3" w:rsidRDefault="001E41E3" w:rsidP="001E41E3">
      <w:pPr>
        <w:widowControl w:val="0"/>
        <w:spacing w:line="360" w:lineRule="auto"/>
        <w:ind w:firstLine="708"/>
        <w:jc w:val="both"/>
        <w:rPr>
          <w:highlight w:val="white"/>
        </w:rPr>
      </w:pPr>
      <w:r>
        <w:rPr>
          <w:highlight w:val="white"/>
        </w:rPr>
        <w:t xml:space="preserve">Sendo assim, todo um marco regulatório foi criado acerca da exploração do </w:t>
      </w:r>
      <w:proofErr w:type="spellStart"/>
      <w:r>
        <w:rPr>
          <w:highlight w:val="white"/>
        </w:rPr>
        <w:t>Pré</w:t>
      </w:r>
      <w:proofErr w:type="spellEnd"/>
      <w:r>
        <w:rPr>
          <w:highlight w:val="white"/>
        </w:rPr>
        <w:t xml:space="preserve">-Sal, da destinação dos recursos dos royalties e das compensações financeiras pela finitude dos mesmos, com destaque para a Lei n. 12.351/2010 que determinou a destinação de parte dos recursos do Fundo Social do </w:t>
      </w:r>
      <w:proofErr w:type="spellStart"/>
      <w:r>
        <w:rPr>
          <w:highlight w:val="white"/>
        </w:rPr>
        <w:t>Pré</w:t>
      </w:r>
      <w:proofErr w:type="spellEnd"/>
      <w:r>
        <w:rPr>
          <w:highlight w:val="white"/>
        </w:rPr>
        <w:t>-Sal para o financiamento da educação pública brasileira, a fim de aumentar a qualidade educacional e corrigir as disparidades entre as redes e sistemas de ensino.</w:t>
      </w:r>
    </w:p>
    <w:p w14:paraId="32F28B2B" w14:textId="77777777" w:rsidR="001E41E3" w:rsidRDefault="001E41E3" w:rsidP="001E41E3">
      <w:pPr>
        <w:widowControl w:val="0"/>
        <w:spacing w:line="360" w:lineRule="auto"/>
        <w:ind w:firstLine="708"/>
        <w:jc w:val="both"/>
      </w:pPr>
      <w:r>
        <w:rPr>
          <w:highlight w:val="white"/>
        </w:rPr>
        <w:t>Vale lembrar que o fundo foi formulado com a finalidade de subsidiar políticas sociais e promover o desenvolvimento regional, sendo os setores como saúde, educação, ciência e meio ambiente os mais priorizados, uma vez que</w:t>
      </w:r>
    </w:p>
    <w:p w14:paraId="1DD1CA8A" w14:textId="6FC2B6BD" w:rsidR="001E41E3" w:rsidRDefault="001E41E3" w:rsidP="001E41E3">
      <w:pPr>
        <w:widowControl w:val="0"/>
        <w:ind w:left="2267"/>
        <w:jc w:val="both"/>
        <w:rPr>
          <w:sz w:val="20"/>
          <w:szCs w:val="20"/>
        </w:rPr>
      </w:pPr>
      <w:r>
        <w:rPr>
          <w:sz w:val="20"/>
          <w:szCs w:val="20"/>
        </w:rPr>
        <w:t xml:space="preserve">Com a descoberta de novas jazidas, o Brasil se tornou um importante produtor e exportador de petróleo e gás natural no cenário internacional. Essa nova realidade fez com que aumentassem as expectativas de que o excedente econômico, associado ao desenvolvimento e à extração desses recursos fósseis fossem transformados </w:t>
      </w:r>
      <w:r w:rsidR="005B4444">
        <w:rPr>
          <w:sz w:val="20"/>
          <w:szCs w:val="20"/>
        </w:rPr>
        <w:t>em investimentos sociais</w:t>
      </w:r>
      <w:r>
        <w:rPr>
          <w:sz w:val="20"/>
          <w:szCs w:val="20"/>
        </w:rPr>
        <w:t xml:space="preserve"> “capazes de resgatar </w:t>
      </w:r>
      <w:proofErr w:type="gramStart"/>
      <w:r>
        <w:rPr>
          <w:sz w:val="20"/>
          <w:szCs w:val="20"/>
        </w:rPr>
        <w:t>a</w:t>
      </w:r>
      <w:r w:rsidR="005B4444">
        <w:rPr>
          <w:sz w:val="20"/>
          <w:szCs w:val="20"/>
        </w:rPr>
        <w:t>s</w:t>
      </w:r>
      <w:r>
        <w:rPr>
          <w:sz w:val="20"/>
          <w:szCs w:val="20"/>
        </w:rPr>
        <w:t xml:space="preserve">  graves</w:t>
      </w:r>
      <w:proofErr w:type="gramEnd"/>
      <w:r>
        <w:rPr>
          <w:sz w:val="20"/>
          <w:szCs w:val="20"/>
        </w:rPr>
        <w:t xml:space="preserve">  assimetrias  sociais  que  acometem o povo brasileiro”. (Machado e da Silveira, 2021, p. 242) </w:t>
      </w:r>
    </w:p>
    <w:p w14:paraId="1453C26A" w14:textId="77777777" w:rsidR="001E41E3" w:rsidRDefault="001E41E3" w:rsidP="001E41E3">
      <w:pPr>
        <w:widowControl w:val="0"/>
        <w:spacing w:line="360" w:lineRule="auto"/>
        <w:jc w:val="both"/>
      </w:pPr>
    </w:p>
    <w:p w14:paraId="6C560B69" w14:textId="77777777" w:rsidR="001E41E3" w:rsidRDefault="001E41E3" w:rsidP="001E41E3">
      <w:pPr>
        <w:widowControl w:val="0"/>
        <w:spacing w:line="360" w:lineRule="auto"/>
        <w:ind w:firstLine="708"/>
        <w:jc w:val="both"/>
      </w:pPr>
      <w:r>
        <w:t xml:space="preserve">Tal perspectiva está ancorada no princípio da inclusão social, de modo que preconiza a garantia do acesso igualitário a serviços como saúde e educação, entretanto, de acordo com (Machado e da Silveira, 2021, p. 245) tal aspiração encontra barreiras em relação a falta de regulamentação do Conselho Deliberativo do Fundo Social do </w:t>
      </w:r>
      <w:proofErr w:type="spellStart"/>
      <w:r>
        <w:t>Pré</w:t>
      </w:r>
      <w:proofErr w:type="spellEnd"/>
      <w:r>
        <w:t xml:space="preserve">-Sal e do Comitê de Gestão Financeira, inviabilizando a aplicação dos recursos do fundo, exemplificando por conseguinte, a problemática da falta de coordenação presente no federalismo brasileiro. </w:t>
      </w:r>
    </w:p>
    <w:p w14:paraId="3C00B01C" w14:textId="77777777" w:rsidR="001E41E3" w:rsidRDefault="001E41E3" w:rsidP="001E41E3">
      <w:pPr>
        <w:widowControl w:val="0"/>
        <w:spacing w:line="360" w:lineRule="auto"/>
        <w:ind w:firstLine="708"/>
        <w:jc w:val="both"/>
      </w:pPr>
      <w:r>
        <w:t xml:space="preserve">Deste modo, podemos dialogar com cenário de disputa acerca da destinação dos recursos oriundos da exploração e produção de petróleo e gás entre os municípios e estados brasileiros, sendo a mesma polarizada por dois grupos formados pelo conjunto dos entes subnacionais, “[...] </w:t>
      </w:r>
      <w:proofErr w:type="gramStart"/>
      <w:r>
        <w:t>um  formado</w:t>
      </w:r>
      <w:proofErr w:type="gramEnd"/>
      <w:r>
        <w:t xml:space="preserve">  pelos  estados  e  municípios  produtores,  logo  beneficiários  dos  recursos; e  aquele  constituído  por  estados  e  municípios  não  produtores,  e  consequentemente os não beneficiários.” (Tavares, Almeida, 2014, p. 92)</w:t>
      </w:r>
    </w:p>
    <w:p w14:paraId="0170EA7B" w14:textId="77777777" w:rsidR="001E41E3" w:rsidRDefault="001E41E3" w:rsidP="001E41E3">
      <w:pPr>
        <w:widowControl w:val="0"/>
        <w:spacing w:line="360" w:lineRule="auto"/>
        <w:ind w:firstLine="708"/>
        <w:jc w:val="both"/>
      </w:pPr>
      <w:r>
        <w:t xml:space="preserve">Além disso, existe um cenário de tensionamento acerca da destinação dos recursos do Fundo Social do </w:t>
      </w:r>
      <w:proofErr w:type="spellStart"/>
      <w:r>
        <w:t>Pré</w:t>
      </w:r>
      <w:proofErr w:type="spellEnd"/>
      <w:r>
        <w:t xml:space="preserve">-sal entre perspectivas que antagonizam o desenvolvimento econômico e o desenvolvimento social, ficando evidente segundo Martinez e </w:t>
      </w:r>
      <w:proofErr w:type="spellStart"/>
      <w:r>
        <w:t>Colacios</w:t>
      </w:r>
      <w:proofErr w:type="spellEnd"/>
      <w:r>
        <w:t xml:space="preserve"> (2016) na política do </w:t>
      </w:r>
      <w:proofErr w:type="spellStart"/>
      <w:r>
        <w:lastRenderedPageBreak/>
        <w:t>Pré</w:t>
      </w:r>
      <w:proofErr w:type="spellEnd"/>
      <w:r>
        <w:t xml:space="preserve">-sal a articulação entre os objetivos de crescimento econômico aliada a melhoria da qualidade de vida da sociedade brasileira, o que permitiu aos autores apontar aspectos do pensamento desenvolvimentista na regulação do fundo. </w:t>
      </w:r>
    </w:p>
    <w:p w14:paraId="63E02F06" w14:textId="77777777" w:rsidR="001E41E3" w:rsidRDefault="001E41E3" w:rsidP="001E41E3">
      <w:pPr>
        <w:widowControl w:val="0"/>
        <w:spacing w:line="360" w:lineRule="auto"/>
        <w:ind w:firstLine="708"/>
        <w:jc w:val="both"/>
        <w:rPr>
          <w:highlight w:val="white"/>
        </w:rPr>
      </w:pPr>
      <w:r>
        <w:t xml:space="preserve">No mesmo período, foi instituído </w:t>
      </w:r>
      <w:r>
        <w:rPr>
          <w:highlight w:val="white"/>
        </w:rPr>
        <w:t xml:space="preserve">o Plano Nacional de Educação (2014-2024), o documento prevê a aplicação de investimentos por parte da União de um percentual mínimo 10% dos recursos do PIB para a educação pública enquanto uma saída para os problemas de financiamento do setor educacional e também como um caminho para a correção de assimetrias entre as redes e sistemas de ensino. </w:t>
      </w:r>
    </w:p>
    <w:p w14:paraId="2A78D7D1" w14:textId="77777777" w:rsidR="001E41E3" w:rsidRDefault="001E41E3" w:rsidP="001E41E3">
      <w:pPr>
        <w:widowControl w:val="0"/>
        <w:spacing w:line="360" w:lineRule="auto"/>
        <w:ind w:firstLine="708"/>
        <w:jc w:val="both"/>
        <w:rPr>
          <w:highlight w:val="white"/>
        </w:rPr>
      </w:pPr>
      <w:r>
        <w:rPr>
          <w:highlight w:val="white"/>
        </w:rPr>
        <w:t xml:space="preserve">Neste contexto, uma das possibilidades para o alcance da meta estabelecida pelo PNE seria a utilização dos recursos do </w:t>
      </w:r>
      <w:proofErr w:type="spellStart"/>
      <w:r>
        <w:rPr>
          <w:highlight w:val="white"/>
        </w:rPr>
        <w:t>Pré</w:t>
      </w:r>
      <w:proofErr w:type="spellEnd"/>
      <w:r>
        <w:rPr>
          <w:highlight w:val="white"/>
        </w:rPr>
        <w:t xml:space="preserve">-Sal, uma vez que no mesmo ano de aprovação do PNE a produção em águas profundas batia recordes e de acordo com </w:t>
      </w:r>
      <w:r>
        <w:t xml:space="preserve">Martinez e </w:t>
      </w:r>
      <w:proofErr w:type="spellStart"/>
      <w:r>
        <w:t>Colacios</w:t>
      </w:r>
      <w:proofErr w:type="spellEnd"/>
      <w:r>
        <w:t xml:space="preserve"> (2016) tal horizonte </w:t>
      </w:r>
      <w:r>
        <w:rPr>
          <w:highlight w:val="white"/>
        </w:rPr>
        <w:t>serviu de base para aumentar as expectativas e disputas acerca da implementação de políticas públicas com viés desenvolvimentista a ser adotada pelo Estado brasileiro.</w:t>
      </w:r>
    </w:p>
    <w:p w14:paraId="78FC3BAC" w14:textId="77777777" w:rsidR="001E41E3" w:rsidRDefault="001E41E3" w:rsidP="001E41E3">
      <w:pPr>
        <w:widowControl w:val="0"/>
        <w:spacing w:line="360" w:lineRule="auto"/>
        <w:ind w:firstLine="708"/>
        <w:jc w:val="both"/>
      </w:pPr>
      <w:r>
        <w:rPr>
          <w:highlight w:val="white"/>
        </w:rPr>
        <w:t>Desse modo, esta aspiração se materializou com a aprovação da Lei 12.858/2013 que instituiu a</w:t>
      </w:r>
      <w:r>
        <w:rPr>
          <w:color w:val="363636"/>
          <w:highlight w:val="white"/>
        </w:rPr>
        <w:t xml:space="preserve"> </w:t>
      </w:r>
      <w:r>
        <w:t>destinação para a educação e saúde de parcela da participação no resultado ou da compensação financeira pela exploração de petróleo e gás natural, a fim de cumprir a meta prevista na Constituição Federal de 1988 em que o Estado brasileiro tem a obrigação de promover a educação pública enquanto um direito social e regulamentar as suas fontes de financiamento, além do fato de que</w:t>
      </w:r>
    </w:p>
    <w:p w14:paraId="7F8A3203" w14:textId="77777777" w:rsidR="001E41E3" w:rsidRPr="000B6597" w:rsidRDefault="001E41E3" w:rsidP="000B6597">
      <w:pPr>
        <w:widowControl w:val="0"/>
        <w:spacing w:before="20"/>
        <w:ind w:left="2267"/>
        <w:jc w:val="both"/>
        <w:rPr>
          <w:sz w:val="20"/>
          <w:szCs w:val="20"/>
        </w:rPr>
      </w:pPr>
      <w:r w:rsidRPr="000B6597">
        <w:rPr>
          <w:sz w:val="20"/>
          <w:szCs w:val="20"/>
        </w:rPr>
        <w:t xml:space="preserve">A finalidade dessa disposição é cumprir as metas constitucionais do Plano Nacional de Educação (PNE). Essa lei foi promulgada no contexto da descoberta de gigantescas reservas de petróleo e gás natural na camada do </w:t>
      </w:r>
      <w:proofErr w:type="spellStart"/>
      <w:r w:rsidRPr="000B6597">
        <w:rPr>
          <w:sz w:val="20"/>
          <w:szCs w:val="20"/>
        </w:rPr>
        <w:t>pré</w:t>
      </w:r>
      <w:proofErr w:type="spellEnd"/>
      <w:r w:rsidRPr="000B6597">
        <w:rPr>
          <w:sz w:val="20"/>
          <w:szCs w:val="20"/>
        </w:rPr>
        <w:t xml:space="preserve">-sal, localizada em vasta região do litoral brasileiro (Silva Filho; Mariano, 2019, p. 164) </w:t>
      </w:r>
    </w:p>
    <w:p w14:paraId="73AD9918" w14:textId="77777777" w:rsidR="001E41E3" w:rsidRPr="000B6597" w:rsidRDefault="001E41E3" w:rsidP="001E41E3">
      <w:pPr>
        <w:widowControl w:val="0"/>
        <w:ind w:left="2267"/>
        <w:jc w:val="both"/>
        <w:rPr>
          <w:sz w:val="20"/>
          <w:szCs w:val="20"/>
        </w:rPr>
      </w:pPr>
    </w:p>
    <w:p w14:paraId="65D71F3C" w14:textId="77777777" w:rsidR="001E41E3" w:rsidRPr="000B6597" w:rsidRDefault="001E41E3" w:rsidP="001E41E3">
      <w:pPr>
        <w:widowControl w:val="0"/>
        <w:spacing w:line="360" w:lineRule="auto"/>
        <w:ind w:firstLine="708"/>
        <w:jc w:val="both"/>
      </w:pPr>
      <w:r w:rsidRPr="000B6597">
        <w:rPr>
          <w:highlight w:val="white"/>
        </w:rPr>
        <w:t xml:space="preserve">De acordo com </w:t>
      </w:r>
      <w:proofErr w:type="spellStart"/>
      <w:r w:rsidRPr="000B6597">
        <w:rPr>
          <w:highlight w:val="white"/>
        </w:rPr>
        <w:t>Bliacheriene</w:t>
      </w:r>
      <w:proofErr w:type="spellEnd"/>
      <w:r w:rsidRPr="000B6597">
        <w:rPr>
          <w:highlight w:val="white"/>
        </w:rPr>
        <w:t xml:space="preserve"> (2016)</w:t>
      </w:r>
      <w:r w:rsidRPr="000B6597">
        <w:t>, a aprovação deste conjunto de regulamentações que direcionam os recursos públicos oriundos da exploração desta fonte energia para as políticas públicas, sobretudo no campo da educação, são fruto da reivindicação de diversas entidades sindicais, estudantis e do terceiro setor em prol de</w:t>
      </w:r>
    </w:p>
    <w:p w14:paraId="08D621D5" w14:textId="77777777" w:rsidR="001E41E3" w:rsidRPr="000B6597" w:rsidRDefault="001E41E3" w:rsidP="000B6597">
      <w:pPr>
        <w:widowControl w:val="0"/>
        <w:spacing w:before="20"/>
        <w:ind w:left="2267"/>
        <w:jc w:val="both"/>
        <w:rPr>
          <w:sz w:val="20"/>
          <w:szCs w:val="20"/>
        </w:rPr>
      </w:pPr>
      <w:r w:rsidRPr="000B6597">
        <w:rPr>
          <w:sz w:val="20"/>
          <w:szCs w:val="20"/>
        </w:rPr>
        <w:t xml:space="preserve">[...] </w:t>
      </w:r>
      <w:proofErr w:type="gramStart"/>
      <w:r w:rsidRPr="000B6597">
        <w:rPr>
          <w:sz w:val="20"/>
          <w:szCs w:val="20"/>
        </w:rPr>
        <w:t>uma  educação</w:t>
      </w:r>
      <w:proofErr w:type="gramEnd"/>
      <w:r w:rsidRPr="000B6597">
        <w:rPr>
          <w:sz w:val="20"/>
          <w:szCs w:val="20"/>
        </w:rPr>
        <w:t xml:space="preserve">  de  qualidade  social  que  permitisse  os  avanços  desejáveis  –  e  necessários  –  do  país,  e  que  para  se  tornar  realidade  demanda  recursos  para  custear  equipamentos,  bons  salários  e  atividades  de  suporte  adequados,  nas  pautas  apresentadas  no  presente  artigo,  quando  das  discussões de equalização e quantidade de recursos que permearam a idealização do modelo Fundeb/Fundef. (</w:t>
      </w:r>
      <w:proofErr w:type="spellStart"/>
      <w:r w:rsidRPr="000B6597">
        <w:rPr>
          <w:sz w:val="20"/>
          <w:szCs w:val="20"/>
        </w:rPr>
        <w:t>Bliacheriene</w:t>
      </w:r>
      <w:proofErr w:type="spellEnd"/>
      <w:r w:rsidRPr="000B6597">
        <w:rPr>
          <w:sz w:val="20"/>
          <w:szCs w:val="20"/>
        </w:rPr>
        <w:t>, 2016, p. 45)</w:t>
      </w:r>
    </w:p>
    <w:p w14:paraId="19DCA479" w14:textId="77777777" w:rsidR="001E41E3" w:rsidRPr="000B6597" w:rsidRDefault="001E41E3" w:rsidP="000B6597">
      <w:pPr>
        <w:widowControl w:val="0"/>
        <w:spacing w:before="20"/>
        <w:ind w:left="2267"/>
        <w:jc w:val="both"/>
        <w:rPr>
          <w:sz w:val="20"/>
          <w:szCs w:val="20"/>
        </w:rPr>
      </w:pPr>
    </w:p>
    <w:p w14:paraId="409E835C" w14:textId="755ADC70" w:rsidR="001E41E3" w:rsidRDefault="001E41E3" w:rsidP="001E41E3">
      <w:pPr>
        <w:widowControl w:val="0"/>
        <w:spacing w:line="360" w:lineRule="auto"/>
        <w:ind w:firstLine="708"/>
        <w:jc w:val="both"/>
      </w:pPr>
      <w:r>
        <w:t xml:space="preserve">Entretanto, apesar do Fundo Social do </w:t>
      </w:r>
      <w:proofErr w:type="spellStart"/>
      <w:r>
        <w:t>Pré</w:t>
      </w:r>
      <w:proofErr w:type="spellEnd"/>
      <w:r>
        <w:t xml:space="preserve">-Sal ter objetivos relacionados à melhoria da qualidade de vida e o financiamento dos programas sociais, de acordo com a análise de (Martinez e </w:t>
      </w:r>
      <w:proofErr w:type="spellStart"/>
      <w:r>
        <w:t>Colacios</w:t>
      </w:r>
      <w:proofErr w:type="spellEnd"/>
      <w:r>
        <w:t xml:space="preserve">, 2016, p. 163) “As políticas públicas voltadas para estes problemas ficam em segundo plano quando observados as prioridades econômicas nacionais e a arrecadação </w:t>
      </w:r>
      <w:r>
        <w:lastRenderedPageBreak/>
        <w:t>fiscal no período 2007 a 2016.”</w:t>
      </w:r>
    </w:p>
    <w:p w14:paraId="1C222C40" w14:textId="77777777" w:rsidR="001E41E3" w:rsidRDefault="001E41E3" w:rsidP="001E41E3">
      <w:pPr>
        <w:widowControl w:val="0"/>
        <w:spacing w:line="360" w:lineRule="auto"/>
        <w:ind w:firstLine="708"/>
        <w:jc w:val="both"/>
      </w:pPr>
      <w:r>
        <w:t xml:space="preserve">Além disso, de acordo com Machado e Silveira (2021) as expectativas geradas junto com a descoberta do </w:t>
      </w:r>
      <w:proofErr w:type="spellStart"/>
      <w:r>
        <w:t>Pré</w:t>
      </w:r>
      <w:proofErr w:type="spellEnd"/>
      <w:r>
        <w:t>-Sal acerca da utilização dos recursos em políticas sociais ganharam o status de mito, representando mais a promessa de desenvolvimento econômico, social e combate às desigualdades, do que a concretização dos mesmos, sendo assim</w:t>
      </w:r>
    </w:p>
    <w:p w14:paraId="66086632" w14:textId="441F06F6" w:rsidR="001E41E3" w:rsidRDefault="001E41E3" w:rsidP="001E41E3">
      <w:pPr>
        <w:widowControl w:val="0"/>
        <w:ind w:left="2267"/>
        <w:jc w:val="both"/>
        <w:rPr>
          <w:sz w:val="20"/>
          <w:szCs w:val="20"/>
        </w:rPr>
      </w:pPr>
      <w:r>
        <w:rPr>
          <w:sz w:val="20"/>
          <w:szCs w:val="20"/>
        </w:rPr>
        <w:t xml:space="preserve">A racionalidade </w:t>
      </w:r>
      <w:proofErr w:type="gramStart"/>
      <w:r>
        <w:rPr>
          <w:sz w:val="20"/>
          <w:szCs w:val="20"/>
        </w:rPr>
        <w:t>da  atuação</w:t>
      </w:r>
      <w:proofErr w:type="gramEnd"/>
      <w:r>
        <w:rPr>
          <w:sz w:val="20"/>
          <w:szCs w:val="20"/>
        </w:rPr>
        <w:t xml:space="preserve">  estatal  deve,  portanto, operacionalizar a socialização atual desses benefícios e engendrar, por meio de mecanismos de planejamento, formas para que as gerações vindouras se beneficiem desse processo.(Machado, Silveira, 2021, p. 244)</w:t>
      </w:r>
    </w:p>
    <w:p w14:paraId="6B4568EC" w14:textId="77777777" w:rsidR="001E41E3" w:rsidRDefault="001E41E3" w:rsidP="001E41E3">
      <w:pPr>
        <w:widowControl w:val="0"/>
        <w:spacing w:line="360" w:lineRule="auto"/>
        <w:ind w:firstLine="708"/>
        <w:jc w:val="both"/>
        <w:rPr>
          <w:sz w:val="30"/>
          <w:szCs w:val="30"/>
          <w:highlight w:val="white"/>
        </w:rPr>
      </w:pPr>
    </w:p>
    <w:p w14:paraId="60D720FD" w14:textId="77777777" w:rsidR="001E41E3" w:rsidRDefault="001E41E3" w:rsidP="001E41E3">
      <w:pPr>
        <w:widowControl w:val="0"/>
        <w:spacing w:line="360" w:lineRule="auto"/>
        <w:ind w:firstLine="708"/>
        <w:jc w:val="both"/>
      </w:pPr>
      <w:r>
        <w:t xml:space="preserve">Somado a isso, o cenário de inviabilidade na aplicação dos recursos do fundo se agrava com o fato de que “recentes alterações no regime de exploração do petróleo na camada </w:t>
      </w:r>
      <w:proofErr w:type="spellStart"/>
      <w:r>
        <w:t>pré</w:t>
      </w:r>
      <w:proofErr w:type="spellEnd"/>
      <w:r>
        <w:t>-sal reduziram drasticamente as expectativas iniciais sobre os recursos que seriam destinados à educação e à saúde.” (Silva Filho; Mariano, 2019, p. 175), explicitando dessa forma, o conjunto das dificuldades enfrentadas na destinação dos recursos voltados para o financiamento e a execução das políticas públicas e a efetivação dos direitos sociais.</w:t>
      </w:r>
    </w:p>
    <w:p w14:paraId="38198278" w14:textId="77777777" w:rsidR="001E41E3" w:rsidRDefault="001E41E3" w:rsidP="001E41E3">
      <w:pPr>
        <w:widowControl w:val="0"/>
        <w:spacing w:line="360" w:lineRule="auto"/>
        <w:ind w:firstLine="708"/>
        <w:jc w:val="both"/>
      </w:pPr>
      <w:r>
        <w:t xml:space="preserve">Uma destas alterações se deu por meio da Lei nº13.365/2016 que modificou o contrato de partilha, retirando a participação mínima da Petrobras nos consórcios de exploração, assim como a obrigação da empresa em participar como operadora do </w:t>
      </w:r>
      <w:proofErr w:type="spellStart"/>
      <w:r>
        <w:t>pré</w:t>
      </w:r>
      <w:proofErr w:type="spellEnd"/>
      <w:r>
        <w:t xml:space="preserve">-sal em todos os campos e de acordo com </w:t>
      </w:r>
      <w:proofErr w:type="spellStart"/>
      <w:r>
        <w:t>Tokarski</w:t>
      </w:r>
      <w:proofErr w:type="spellEnd"/>
      <w:r>
        <w:t xml:space="preserve"> (2021) o novo marco regulatório foi aprovado sob o argumento da defesa dos interesses nacionais e está fundamentado na lógica dos setores neoliberais que aprovaram a quebra do monopólio da Petrobras durante a década de 90.</w:t>
      </w:r>
    </w:p>
    <w:p w14:paraId="45AF1966" w14:textId="77777777" w:rsidR="001E41E3" w:rsidRDefault="001E41E3" w:rsidP="001E41E3">
      <w:pPr>
        <w:widowControl w:val="0"/>
        <w:spacing w:line="360" w:lineRule="auto"/>
        <w:ind w:firstLine="708"/>
        <w:jc w:val="both"/>
      </w:pPr>
      <w:r>
        <w:t xml:space="preserve">Deste modo, o conjunto destas mudanças pode enfraquecer o papel da Petrobras na exploração e produção de óleo e gás, assim como na indução do desenvolvimento econômico e no fortalecimento das políticas públicas, impossibilitando, por exemplo, o funcionamento pleno do Fundo Social do </w:t>
      </w:r>
      <w:proofErr w:type="spellStart"/>
      <w:r>
        <w:t>Pré</w:t>
      </w:r>
      <w:proofErr w:type="spellEnd"/>
      <w:r>
        <w:t xml:space="preserve">-Sal e neste sentido, é importante levar em conta que </w:t>
      </w:r>
    </w:p>
    <w:p w14:paraId="696E35CB" w14:textId="77777777" w:rsidR="001E41E3" w:rsidRDefault="001E41E3" w:rsidP="001E41E3">
      <w:pPr>
        <w:widowControl w:val="0"/>
        <w:ind w:left="2267"/>
        <w:jc w:val="both"/>
        <w:rPr>
          <w:sz w:val="20"/>
          <w:szCs w:val="20"/>
        </w:rPr>
      </w:pPr>
      <w:r>
        <w:rPr>
          <w:sz w:val="20"/>
          <w:szCs w:val="20"/>
        </w:rPr>
        <w:t>a exploração do petróleo como bem de uso especial para a União deve, portanto, se relacionar aos objetivos fundamentais presentes na ordem econômica da CF/1988, cuja promoção da autonomia científica e tecnológica cumpre papel estratégico com vistas à efetividade do desenvolvimento econômico e social e ao cumprimento do programa transformador que dirige teleologicamente a carta constitucional do país (</w:t>
      </w:r>
      <w:proofErr w:type="spellStart"/>
      <w:r>
        <w:rPr>
          <w:sz w:val="20"/>
          <w:szCs w:val="20"/>
        </w:rPr>
        <w:t>Tokarski</w:t>
      </w:r>
      <w:proofErr w:type="spellEnd"/>
      <w:r>
        <w:rPr>
          <w:sz w:val="20"/>
          <w:szCs w:val="20"/>
        </w:rPr>
        <w:t>, 2021, p. 330)</w:t>
      </w:r>
    </w:p>
    <w:p w14:paraId="4412A17C" w14:textId="77777777" w:rsidR="001E41E3" w:rsidRDefault="001E41E3" w:rsidP="001E41E3">
      <w:pPr>
        <w:widowControl w:val="0"/>
        <w:ind w:left="2267"/>
        <w:jc w:val="both"/>
        <w:rPr>
          <w:sz w:val="20"/>
          <w:szCs w:val="20"/>
        </w:rPr>
      </w:pPr>
    </w:p>
    <w:p w14:paraId="19C9EBBD" w14:textId="6E6ACF38" w:rsidR="001E41E3" w:rsidRDefault="001E41E3" w:rsidP="001E41E3">
      <w:pPr>
        <w:widowControl w:val="0"/>
        <w:spacing w:line="360" w:lineRule="auto"/>
        <w:ind w:firstLine="708"/>
        <w:jc w:val="both"/>
      </w:pPr>
      <w:r>
        <w:t xml:space="preserve">Junto destas medidas, a aprovação das Emendas Constitucionais 95/2016 e 109/2021 contribuem para o enfraquecimento do fundo, visto que as mesmas congelam os investimentos </w:t>
      </w:r>
      <w:r w:rsidR="000B6597">
        <w:t>públicos</w:t>
      </w:r>
      <w:r>
        <w:t xml:space="preserve"> e impedem a destinação de recursos extras oriundos do Fundo Social do </w:t>
      </w:r>
      <w:proofErr w:type="spellStart"/>
      <w:r>
        <w:t>Pré</w:t>
      </w:r>
      <w:proofErr w:type="spellEnd"/>
      <w:r>
        <w:t>-Sal,</w:t>
      </w:r>
      <w:r w:rsidR="000B6597">
        <w:t xml:space="preserve"> </w:t>
      </w:r>
      <w:r>
        <w:t xml:space="preserve">conforme argumenta Gouveia (2021), sendo a base para a judicialização da lei do piso, onde tanto os entes estaduais, quanto os municipais se embasaram no princípio do equilíbrio fiscal </w:t>
      </w:r>
      <w:r>
        <w:lastRenderedPageBreak/>
        <w:t>para contestar a legislação.</w:t>
      </w:r>
    </w:p>
    <w:p w14:paraId="72657565" w14:textId="77777777" w:rsidR="001E41E3" w:rsidRDefault="001E41E3" w:rsidP="001E41E3">
      <w:pPr>
        <w:widowControl w:val="0"/>
        <w:spacing w:line="360" w:lineRule="auto"/>
        <w:ind w:firstLine="708"/>
        <w:jc w:val="both"/>
      </w:pPr>
      <w:r>
        <w:t xml:space="preserve">Diante deste contexto, diversas medidas e projetos foram apresentados para direcionar a distribuição igualitária desses recursos, a exemplo do PL 6.346/13 que visava fortalecer o piso salarial do magistério por meio da destinação de 50% dos recursos Fundo Social do </w:t>
      </w:r>
      <w:proofErr w:type="spellStart"/>
      <w:r>
        <w:t>Pré</w:t>
      </w:r>
      <w:proofErr w:type="spellEnd"/>
      <w:r>
        <w:t xml:space="preserve">-Sal a fim de ampliar a capacidade dos entes na efetivação da lei, contudo, o projeto foi engavetado e a proposta não foi adiante. </w:t>
      </w:r>
    </w:p>
    <w:p w14:paraId="39558553" w14:textId="77777777" w:rsidR="001E41E3" w:rsidRDefault="001E41E3" w:rsidP="001E41E3">
      <w:pPr>
        <w:widowControl w:val="0"/>
        <w:spacing w:line="360" w:lineRule="auto"/>
        <w:ind w:firstLine="708"/>
        <w:jc w:val="both"/>
      </w:pPr>
      <w:r>
        <w:t xml:space="preserve">Mais recentemente, o governo federal instituiu a medida provisória (MP) 1291/25, permitindo a destinação dos recursos do Fundo Social do </w:t>
      </w:r>
      <w:proofErr w:type="spellStart"/>
      <w:r>
        <w:t>Pré</w:t>
      </w:r>
      <w:proofErr w:type="spellEnd"/>
      <w:r>
        <w:t>-sal para o financiamento de projetos em infraestrutura social, habitação popular e desastres ambientais, estabelecendo também a regulamentação da distribuição dos recursos a partir da  indicação nas leis orçamentárias de sua alocação, além de determinar a publicidade anual das informações sobre os recursos recebidos e investidos, a fim de aumentar a transparência e o acesso à informação.</w:t>
      </w:r>
    </w:p>
    <w:p w14:paraId="20E88EB5" w14:textId="77777777" w:rsidR="001E41E3" w:rsidRDefault="001E41E3" w:rsidP="001E41E3">
      <w:pPr>
        <w:widowControl w:val="0"/>
        <w:spacing w:line="360" w:lineRule="auto"/>
        <w:ind w:firstLine="708"/>
        <w:jc w:val="both"/>
      </w:pPr>
      <w:r>
        <w:t xml:space="preserve">Outrossim, a medida apresenta a finalidade de regulamentar a contratação de instituições financeiras da União para a gestão dos recursos do Fundo Social do </w:t>
      </w:r>
      <w:proofErr w:type="spellStart"/>
      <w:r>
        <w:t>Pré</w:t>
      </w:r>
      <w:proofErr w:type="spellEnd"/>
      <w:r>
        <w:t xml:space="preserve">-Sal, o que representaria um avanço na busca pela coordenação e distribuição justa dos recursos diante dos desafios do financiamento da educação pública brasileira, contudo, a medida provisória expirou antes de ser aprovada pelo congresso nacional, ressaltando mais uma vez no dissenso entre os poderes frente a temática. </w:t>
      </w:r>
    </w:p>
    <w:p w14:paraId="14B76928" w14:textId="77777777" w:rsidR="001E41E3" w:rsidRDefault="001E41E3" w:rsidP="001E41E3">
      <w:pPr>
        <w:widowControl w:val="0"/>
        <w:spacing w:line="360" w:lineRule="auto"/>
        <w:ind w:firstLine="708"/>
        <w:jc w:val="both"/>
      </w:pPr>
      <w:r>
        <w:rPr>
          <w:highlight w:val="white"/>
        </w:rPr>
        <w:t xml:space="preserve">Todavia, apesar das problemáticas que perpassam a distribuição dos recursos, a pesquisa de </w:t>
      </w:r>
      <w:r>
        <w:t>Tavares e Almeida (2014) acerca dos municípios beneficiados com os royalties, indica que as aplicação dos royalties contribuiu para o aumento significativo dos investimentos em áreas como saúde e educação, tendo forte impacto na arrecadação local e no financiamento da educação, sobretudo quando comparados os municípios recebedores com não recebedores, a diferença do valor investido é na “[...] ordem de 1,02 bilhão. Ou seja, concluímos que os royalties do petróleo contribuem significativamente para aumentar gastos com educação e saúde.” (Tavares, Almeida, 2014, p. 92)</w:t>
      </w:r>
    </w:p>
    <w:p w14:paraId="5B49EE3C" w14:textId="57805ABF" w:rsidR="001E41E3" w:rsidRDefault="001E41E3" w:rsidP="001E41E3">
      <w:pPr>
        <w:widowControl w:val="0"/>
        <w:spacing w:before="20" w:after="20" w:line="360" w:lineRule="auto"/>
        <w:ind w:firstLine="708"/>
        <w:jc w:val="both"/>
      </w:pPr>
      <w:r>
        <w:t xml:space="preserve">De acordo com Silva Filho; Mariano (2019), caso </w:t>
      </w:r>
      <w:r w:rsidR="000B6597">
        <w:t>o planejamento da aplicação dos recursos fosse</w:t>
      </w:r>
      <w:r>
        <w:t xml:space="preserve"> </w:t>
      </w:r>
      <w:r w:rsidR="000B6597">
        <w:t>direcionado</w:t>
      </w:r>
      <w:r>
        <w:t xml:space="preserve"> de acordo com o prevê o texto do PNE, o total do repasse para a educação pública poderia chegar a 84 bilhões de reais, possibilitando novas receitas, uma vez que “os recursos gerados pela exploração do petróleo devem ser destinados à persecução de objetivos públicos, como a compensação de seus efeitos danosos, a justiça intergeracional e a democratização econômica.”  (Silva Filho; Mariano, 2019, p. 175)</w:t>
      </w:r>
    </w:p>
    <w:p w14:paraId="3E45514F" w14:textId="77777777" w:rsidR="001E41E3" w:rsidRDefault="001E41E3" w:rsidP="001E41E3">
      <w:pPr>
        <w:widowControl w:val="0"/>
        <w:spacing w:before="20" w:after="20" w:line="360" w:lineRule="auto"/>
        <w:ind w:firstLine="708"/>
        <w:jc w:val="both"/>
      </w:pPr>
      <w:r>
        <w:t xml:space="preserve">Neste sentido, a destinação eficaz dos recursos do </w:t>
      </w:r>
      <w:proofErr w:type="spellStart"/>
      <w:r>
        <w:t>pré</w:t>
      </w:r>
      <w:proofErr w:type="spellEnd"/>
      <w:r>
        <w:t xml:space="preserve">-sal e o aprimoramento do seu </w:t>
      </w:r>
      <w:r>
        <w:lastRenderedPageBreak/>
        <w:t>desenho institucional podem contribuir para reduzir a contenda entre os entes federativos acerca da execução das políticas educacionais, sobretudo, levando em conta que o principal argumento dos estados e municípios é de que a falta de recursos esbarra na lei de responsabilidade fiscal, inviabilizando a implementação da legislação.</w:t>
      </w:r>
    </w:p>
    <w:p w14:paraId="044D118E" w14:textId="77777777" w:rsidR="001E41E3" w:rsidRDefault="001E41E3" w:rsidP="001E41E3">
      <w:pPr>
        <w:keepNext/>
        <w:widowControl w:val="0"/>
        <w:spacing w:before="20" w:after="20" w:line="360" w:lineRule="auto"/>
        <w:ind w:firstLine="708"/>
        <w:jc w:val="both"/>
        <w:rPr>
          <w:sz w:val="25"/>
          <w:szCs w:val="25"/>
          <w:highlight w:val="white"/>
        </w:rPr>
      </w:pPr>
      <w:r>
        <w:t xml:space="preserve">Sendo assim, o investimento dos royalties e a sua destinação para o fortalecimento dos fundos educacionais redistributivos, de acordo com perspectiva de </w:t>
      </w:r>
      <w:proofErr w:type="spellStart"/>
      <w:r>
        <w:t>Arretche</w:t>
      </w:r>
      <w:proofErr w:type="spellEnd"/>
      <w:r>
        <w:t xml:space="preserve"> (1996), pode contribuir para uma ação direcionada das agências de um Estado central fortalecido, dotado de recursos e capacidade administrativa para direcionar e garantir a formulação e execução descentralizada das políticas públicas, garantindo assim, a efetivação de políticas públicas como o Piso Nacional do Magistério.</w:t>
      </w:r>
    </w:p>
    <w:p w14:paraId="1BA71D80" w14:textId="77777777" w:rsidR="001E41E3" w:rsidRDefault="001E41E3" w:rsidP="001E41E3">
      <w:pPr>
        <w:widowControl w:val="0"/>
        <w:spacing w:before="366"/>
        <w:ind w:left="6"/>
        <w:rPr>
          <w:b/>
        </w:rPr>
      </w:pPr>
      <w:r>
        <w:rPr>
          <w:b/>
        </w:rPr>
        <w:t xml:space="preserve">6. CONCLUSÃO </w:t>
      </w:r>
    </w:p>
    <w:p w14:paraId="752371B7" w14:textId="77777777" w:rsidR="001E41E3" w:rsidRDefault="001E41E3" w:rsidP="001E41E3">
      <w:pPr>
        <w:widowControl w:val="0"/>
        <w:pBdr>
          <w:top w:val="nil"/>
          <w:left w:val="nil"/>
          <w:bottom w:val="nil"/>
          <w:right w:val="nil"/>
          <w:between w:val="nil"/>
        </w:pBdr>
        <w:spacing w:before="49" w:line="347" w:lineRule="auto"/>
        <w:ind w:left="3" w:right="44" w:firstLine="855"/>
        <w:jc w:val="both"/>
      </w:pPr>
    </w:p>
    <w:p w14:paraId="6BCE7EDA"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r>
        <w:t xml:space="preserve">O presente artigo teve como objetivo discutir a relação entre o federalismo brasileiro, a viabilidade na aplicação da Lei do Piso Nacional do dos profissionais magistério e os mecanismos de financiamento da educação básica, deste modo, foi possível identificar que houveram avanços em relação ao marco regulatório, entretanto, a falta de coordenação federativa e os conflitos entre os entes comprometem a aplicabilidade dos instrumentos legais destinados a ampliar as fontes de financiamento da educação básica pública brasileira.  </w:t>
      </w:r>
    </w:p>
    <w:p w14:paraId="6BE55752"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r>
        <w:t xml:space="preserve">Deste modo, com essa discussão buscamos contribuir para o debate acerca do financiamento da educação pública brasileira e das dificuldades na viabilidade da lei do piso nacional dos profissionais do magistério, ressaltando a necessidade de mais fontes de financiamento e recursos como os royalties para garantir a ampliação da capacidade técnica e financeira dos entes subnacionais na execução das políticas públicas, colaborando deste modo para a efetivação plena da Lei do Piso Nacional do Magistério da educação básica.  </w:t>
      </w:r>
    </w:p>
    <w:p w14:paraId="5853D4CE"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2317D1F5"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63DE65CA"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65F3E2A7"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584B0C90"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5179832B"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522DDFBB"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44ECE698"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4F573101"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5EFFE0C2"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3C60CCBC" w14:textId="77777777" w:rsidR="000B6597" w:rsidRDefault="000B6597" w:rsidP="001E41E3">
      <w:pPr>
        <w:widowControl w:val="0"/>
        <w:pBdr>
          <w:top w:val="nil"/>
          <w:left w:val="nil"/>
          <w:bottom w:val="nil"/>
          <w:right w:val="nil"/>
          <w:between w:val="nil"/>
        </w:pBdr>
        <w:spacing w:before="20" w:after="20" w:line="360" w:lineRule="auto"/>
        <w:ind w:left="18" w:firstLine="690"/>
        <w:jc w:val="both"/>
      </w:pPr>
    </w:p>
    <w:p w14:paraId="195E53D0"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52C2042A" w14:textId="77777777" w:rsidR="001E41E3" w:rsidRDefault="001E41E3" w:rsidP="001E41E3">
      <w:pPr>
        <w:widowControl w:val="0"/>
        <w:pBdr>
          <w:top w:val="nil"/>
          <w:left w:val="nil"/>
          <w:bottom w:val="nil"/>
          <w:right w:val="nil"/>
          <w:between w:val="nil"/>
        </w:pBdr>
        <w:spacing w:before="20" w:after="20" w:line="360" w:lineRule="auto"/>
        <w:ind w:left="18" w:firstLine="690"/>
        <w:jc w:val="both"/>
      </w:pPr>
    </w:p>
    <w:p w14:paraId="361F4E4D" w14:textId="77777777" w:rsidR="001E41E3" w:rsidRDefault="001E41E3" w:rsidP="001E41E3">
      <w:pPr>
        <w:widowControl w:val="0"/>
        <w:pBdr>
          <w:top w:val="nil"/>
          <w:left w:val="nil"/>
          <w:bottom w:val="nil"/>
          <w:right w:val="nil"/>
          <w:between w:val="nil"/>
        </w:pBdr>
        <w:spacing w:before="303"/>
        <w:rPr>
          <w:rFonts w:ascii="Arial" w:eastAsia="Arial" w:hAnsi="Arial" w:cs="Arial"/>
          <w:b/>
          <w:color w:val="000000"/>
        </w:rPr>
      </w:pPr>
    </w:p>
    <w:p w14:paraId="7826A289" w14:textId="54D2CD6A" w:rsidR="001E41E3" w:rsidRDefault="001E41E3" w:rsidP="001E41E3">
      <w:pPr>
        <w:widowControl w:val="0"/>
        <w:pBdr>
          <w:top w:val="nil"/>
          <w:left w:val="nil"/>
          <w:bottom w:val="nil"/>
          <w:right w:val="nil"/>
          <w:between w:val="nil"/>
        </w:pBdr>
        <w:spacing w:before="303"/>
        <w:rPr>
          <w:b/>
          <w:color w:val="000000"/>
        </w:rPr>
      </w:pPr>
      <w:r>
        <w:rPr>
          <w:rFonts w:ascii="Arial" w:eastAsia="Arial" w:hAnsi="Arial" w:cs="Arial"/>
          <w:b/>
          <w:color w:val="000000"/>
        </w:rPr>
        <w:t>REFERÊNCIAS</w:t>
      </w:r>
    </w:p>
    <w:p w14:paraId="7D365575" w14:textId="77777777" w:rsidR="001E41E3" w:rsidRDefault="001E41E3" w:rsidP="001E41E3">
      <w:pPr>
        <w:widowControl w:val="0"/>
        <w:pBdr>
          <w:top w:val="nil"/>
          <w:left w:val="nil"/>
          <w:bottom w:val="nil"/>
          <w:right w:val="nil"/>
          <w:between w:val="nil"/>
        </w:pBdr>
        <w:spacing w:before="303"/>
        <w:rPr>
          <w:b/>
        </w:rPr>
      </w:pPr>
    </w:p>
    <w:p w14:paraId="287954BA" w14:textId="77777777" w:rsidR="001E41E3" w:rsidRDefault="001E41E3" w:rsidP="001E41E3">
      <w:pPr>
        <w:widowControl w:val="0"/>
        <w:spacing w:before="20" w:after="20"/>
        <w:ind w:right="52"/>
      </w:pPr>
      <w:r>
        <w:t xml:space="preserve">ARRETCHE, Marta T. S. </w:t>
      </w:r>
      <w:r>
        <w:rPr>
          <w:b/>
        </w:rPr>
        <w:t xml:space="preserve">Mitos da descentralização: mais democracia e eficiência nas políticas públicas. </w:t>
      </w:r>
      <w:r>
        <w:t>Revista Brasileira de Ciências Sociais. São Paulo, no 31, ano 11, junho de 1996.</w:t>
      </w:r>
    </w:p>
    <w:p w14:paraId="51B43AB6" w14:textId="77777777" w:rsidR="001E41E3" w:rsidRDefault="001E41E3" w:rsidP="001E41E3">
      <w:pPr>
        <w:widowControl w:val="0"/>
        <w:spacing w:before="20" w:after="20"/>
        <w:ind w:right="52"/>
      </w:pPr>
    </w:p>
    <w:p w14:paraId="0A3D3B7A" w14:textId="77777777" w:rsidR="001E41E3" w:rsidRDefault="001E41E3" w:rsidP="001E41E3">
      <w:pPr>
        <w:widowControl w:val="0"/>
        <w:spacing w:before="20" w:after="20"/>
        <w:ind w:right="52"/>
      </w:pPr>
      <w:r>
        <w:t xml:space="preserve">BRASIL. </w:t>
      </w:r>
      <w:r>
        <w:rPr>
          <w:b/>
        </w:rPr>
        <w:t>LEI Nº 12.351, DE 22 DE DEZEMBRO DE 2010.</w:t>
      </w:r>
      <w:r>
        <w:t xml:space="preserve"> Dispõe sobre a exploração e a produção de petróleo, de gás natural e de outros hidrocarbonetos fluidos, sob o regime de partilha de produção, em áreas do </w:t>
      </w:r>
      <w:proofErr w:type="spellStart"/>
      <w:r>
        <w:t>pré</w:t>
      </w:r>
      <w:proofErr w:type="spellEnd"/>
      <w:r>
        <w:t>-sal e em áreas estratégicas; cria o Fundo Social - FS e dispõe sobre sua estrutura e fontes de recursos; altera dispositivos da Lei n</w:t>
      </w:r>
      <w:r>
        <w:rPr>
          <w:u w:val="single"/>
          <w:vertAlign w:val="superscript"/>
        </w:rPr>
        <w:t>o</w:t>
      </w:r>
      <w:r>
        <w:t xml:space="preserve"> 9.478, de 6 de agosto de 1997; e dá outras providências. Brasília, DF, 2010. Disponível em: </w:t>
      </w:r>
      <w:hyperlink r:id="rId8">
        <w:r>
          <w:rPr>
            <w:color w:val="1155CC"/>
            <w:u w:val="single"/>
          </w:rPr>
          <w:t>https://www.planalto.gov.br/ccivil_03/_ato2007-2010/2010/lei/l12351.htm</w:t>
        </w:r>
      </w:hyperlink>
      <w:r>
        <w:t xml:space="preserve">. Acesso em 30 </w:t>
      </w:r>
      <w:proofErr w:type="gramStart"/>
      <w:r>
        <w:t>Mai.</w:t>
      </w:r>
      <w:proofErr w:type="gramEnd"/>
      <w:r>
        <w:t xml:space="preserve"> 2025. </w:t>
      </w:r>
    </w:p>
    <w:p w14:paraId="6A1F6540" w14:textId="77777777" w:rsidR="001E41E3" w:rsidRDefault="001E41E3" w:rsidP="001E41E3">
      <w:pPr>
        <w:widowControl w:val="0"/>
        <w:spacing w:before="20" w:after="20"/>
        <w:ind w:right="52"/>
      </w:pPr>
    </w:p>
    <w:p w14:paraId="517C2F5A" w14:textId="77777777" w:rsidR="001E41E3" w:rsidRDefault="001E41E3" w:rsidP="001E41E3">
      <w:pPr>
        <w:widowControl w:val="0"/>
        <w:spacing w:before="20" w:after="20"/>
        <w:ind w:right="52"/>
      </w:pPr>
      <w:r>
        <w:t xml:space="preserve">BRASIL. </w:t>
      </w:r>
      <w:r>
        <w:rPr>
          <w:b/>
        </w:rPr>
        <w:t>Lei n. 12.858, de 9 de setembro de 2013</w:t>
      </w:r>
      <w:r>
        <w:t xml:space="preserve">. Dispõe sobre a destinação para as áreas de educação e saúde de parcela da participação no resultado ou da compensação financeira pela exploração de petróleo e gás natural, com a finalidade de cumprimento da meta prevista no inciso VI do caput do art. 214 e no art. 196 da Constituição Federal; altera a Lei n. 7.990, de 28 de dezembro de 1989; e dá outras providências. Brasília, DF, 2013. Disponível em: </w:t>
      </w:r>
      <w:hyperlink r:id="rId9">
        <w:r>
          <w:rPr>
            <w:color w:val="1155CC"/>
            <w:u w:val="single"/>
          </w:rPr>
          <w:t>https://www2.camara.leg.br/legin/fed/lei/2013/lei-12858-9-setembro-2013-777015-publicacaooriginal-141068-pl.html</w:t>
        </w:r>
      </w:hyperlink>
      <w:r>
        <w:t xml:space="preserve">. Acesso em 29 </w:t>
      </w:r>
      <w:proofErr w:type="gramStart"/>
      <w:r>
        <w:t>Mai.</w:t>
      </w:r>
      <w:proofErr w:type="gramEnd"/>
      <w:r>
        <w:t xml:space="preserve"> 2025.</w:t>
      </w:r>
    </w:p>
    <w:p w14:paraId="24316723" w14:textId="77777777" w:rsidR="001E41E3" w:rsidRDefault="001E41E3" w:rsidP="001E41E3">
      <w:pPr>
        <w:widowControl w:val="0"/>
        <w:spacing w:before="20" w:after="20"/>
        <w:ind w:right="52"/>
      </w:pPr>
    </w:p>
    <w:p w14:paraId="164E8295" w14:textId="77777777" w:rsidR="001E41E3" w:rsidRDefault="001E41E3" w:rsidP="001E41E3">
      <w:pPr>
        <w:widowControl w:val="0"/>
        <w:spacing w:before="20" w:after="20"/>
        <w:ind w:right="52"/>
        <w:rPr>
          <w:b/>
        </w:rPr>
      </w:pPr>
      <w:proofErr w:type="spellStart"/>
      <w:r>
        <w:t>Bliacheriene</w:t>
      </w:r>
      <w:proofErr w:type="spellEnd"/>
      <w:r>
        <w:t xml:space="preserve">, A, C; Lucena, E, V; Braga, M, V, A. Oliveira Júnior, T, M. </w:t>
      </w:r>
      <w:r>
        <w:rPr>
          <w:b/>
        </w:rPr>
        <w:t xml:space="preserve">Descentralização do Fundeb e federalismo da política educacional: uma análise à luz do conceito </w:t>
      </w:r>
      <w:proofErr w:type="gramStart"/>
      <w:r>
        <w:rPr>
          <w:b/>
        </w:rPr>
        <w:t xml:space="preserve">de  </w:t>
      </w:r>
      <w:proofErr w:type="spellStart"/>
      <w:r>
        <w:rPr>
          <w:b/>
        </w:rPr>
        <w:t>accountability</w:t>
      </w:r>
      <w:proofErr w:type="spellEnd"/>
      <w:proofErr w:type="gramEnd"/>
      <w:r>
        <w:rPr>
          <w:b/>
        </w:rPr>
        <w:t>.</w:t>
      </w:r>
    </w:p>
    <w:p w14:paraId="5CF451F0" w14:textId="77777777" w:rsidR="001E41E3" w:rsidRDefault="001E41E3" w:rsidP="001E41E3">
      <w:pPr>
        <w:widowControl w:val="0"/>
        <w:spacing w:before="20" w:after="20"/>
        <w:ind w:right="52"/>
        <w:rPr>
          <w:b/>
        </w:rPr>
      </w:pPr>
    </w:p>
    <w:p w14:paraId="23F84CCA" w14:textId="77777777" w:rsidR="001E41E3" w:rsidRDefault="001E41E3" w:rsidP="001E41E3">
      <w:pPr>
        <w:widowControl w:val="0"/>
        <w:spacing w:before="20" w:after="20"/>
        <w:ind w:right="52"/>
        <w:rPr>
          <w:color w:val="222222"/>
          <w:highlight w:val="white"/>
        </w:rPr>
      </w:pPr>
      <w:r>
        <w:rPr>
          <w:color w:val="222222"/>
          <w:highlight w:val="white"/>
        </w:rPr>
        <w:t>DA SILVA TEIXEIRA, Eliara Cristina Nogueira; NUNES, Claudio Pinto.</w:t>
      </w:r>
      <w:r>
        <w:rPr>
          <w:b/>
          <w:color w:val="222222"/>
          <w:highlight w:val="white"/>
        </w:rPr>
        <w:t xml:space="preserve"> O Piso Salarial Nacional no Contexto do Financiamento da Educação no Brasil: limites e possibilidades do seu cumprimento.</w:t>
      </w:r>
      <w:r>
        <w:rPr>
          <w:color w:val="222222"/>
          <w:highlight w:val="white"/>
        </w:rPr>
        <w:t xml:space="preserve"> FINEDUCA-Revista de Financiamento da Educação, v. 9, 2019.</w:t>
      </w:r>
    </w:p>
    <w:p w14:paraId="07A6AABE" w14:textId="77777777" w:rsidR="001E41E3" w:rsidRDefault="001E41E3" w:rsidP="001E41E3">
      <w:pPr>
        <w:widowControl w:val="0"/>
        <w:spacing w:before="20" w:after="20"/>
        <w:ind w:right="52"/>
        <w:rPr>
          <w:color w:val="222222"/>
          <w:highlight w:val="white"/>
        </w:rPr>
      </w:pPr>
    </w:p>
    <w:p w14:paraId="1FF0E7D5" w14:textId="77777777" w:rsidR="001E41E3" w:rsidRDefault="001E41E3" w:rsidP="001E41E3">
      <w:pPr>
        <w:widowControl w:val="0"/>
        <w:spacing w:before="20" w:after="20"/>
        <w:ind w:right="52"/>
        <w:rPr>
          <w:color w:val="222222"/>
          <w:highlight w:val="white"/>
        </w:rPr>
      </w:pPr>
      <w:r>
        <w:rPr>
          <w:color w:val="222222"/>
          <w:highlight w:val="white"/>
        </w:rPr>
        <w:t>DE SOUZA, Fábio Araújo</w:t>
      </w:r>
      <w:r>
        <w:rPr>
          <w:b/>
          <w:color w:val="222222"/>
          <w:highlight w:val="white"/>
        </w:rPr>
        <w:t xml:space="preserve">. Os novos e velhos problemas do “Novo Fundeb”: análise da Emenda Constitucional 108/2020. </w:t>
      </w:r>
      <w:r>
        <w:rPr>
          <w:color w:val="222222"/>
          <w:highlight w:val="white"/>
        </w:rPr>
        <w:t>Vértices (Campos dos Goitacazes), v. 23, n. 3, p. 788-802, 2021.</w:t>
      </w:r>
    </w:p>
    <w:p w14:paraId="77FAA1AE" w14:textId="77777777" w:rsidR="001E41E3" w:rsidRDefault="001E41E3" w:rsidP="001E41E3">
      <w:pPr>
        <w:widowControl w:val="0"/>
        <w:spacing w:before="20" w:after="20"/>
        <w:ind w:right="52"/>
        <w:rPr>
          <w:color w:val="222222"/>
          <w:highlight w:val="white"/>
        </w:rPr>
      </w:pPr>
    </w:p>
    <w:p w14:paraId="65197F1A" w14:textId="77777777" w:rsidR="001E41E3" w:rsidRDefault="001E41E3" w:rsidP="001E41E3">
      <w:pPr>
        <w:widowControl w:val="0"/>
        <w:spacing w:before="20" w:after="20"/>
        <w:ind w:right="52"/>
        <w:rPr>
          <w:color w:val="222222"/>
          <w:highlight w:val="white"/>
        </w:rPr>
      </w:pPr>
      <w:r>
        <w:rPr>
          <w:color w:val="222222"/>
          <w:highlight w:val="white"/>
        </w:rPr>
        <w:t>GOUVEIA, Andrea Barbosa</w:t>
      </w:r>
      <w:r>
        <w:rPr>
          <w:b/>
          <w:color w:val="222222"/>
          <w:highlight w:val="white"/>
        </w:rPr>
        <w:t xml:space="preserve">. Valorização do magistério e o novo Fundeb: desafios no contexto de austeridade fiscal. </w:t>
      </w:r>
      <w:r>
        <w:rPr>
          <w:color w:val="222222"/>
          <w:highlight w:val="white"/>
        </w:rPr>
        <w:t>Retratos da Escola, v. 15, n. 33, p. 751-766, 2021.</w:t>
      </w:r>
    </w:p>
    <w:p w14:paraId="1E2E020E" w14:textId="77777777" w:rsidR="001E41E3" w:rsidRDefault="001E41E3" w:rsidP="001E41E3">
      <w:pPr>
        <w:widowControl w:val="0"/>
        <w:spacing w:before="20" w:after="20"/>
        <w:ind w:right="52"/>
        <w:rPr>
          <w:color w:val="222222"/>
          <w:highlight w:val="white"/>
        </w:rPr>
      </w:pPr>
    </w:p>
    <w:p w14:paraId="6611A55B" w14:textId="77777777" w:rsidR="001E41E3" w:rsidRDefault="001E41E3" w:rsidP="001E41E3">
      <w:pPr>
        <w:widowControl w:val="0"/>
        <w:spacing w:before="20" w:after="20"/>
        <w:ind w:right="52"/>
      </w:pPr>
      <w:r>
        <w:lastRenderedPageBreak/>
        <w:t>JULGAMENTO DO TEMA 1218 NO STF: O FUTURO DAS CARREIRAS DO MAGISTÉRIO EM JOGO.</w:t>
      </w:r>
      <w:r>
        <w:rPr>
          <w:b/>
        </w:rPr>
        <w:t xml:space="preserve"> Estevão e Pinheiro - </w:t>
      </w:r>
      <w:proofErr w:type="gramStart"/>
      <w:r>
        <w:rPr>
          <w:b/>
        </w:rPr>
        <w:t>advogados</w:t>
      </w:r>
      <w:proofErr w:type="gramEnd"/>
      <w:r>
        <w:rPr>
          <w:b/>
        </w:rPr>
        <w:t xml:space="preserve"> associados</w:t>
      </w:r>
      <w:r>
        <w:t xml:space="preserve">. 13 </w:t>
      </w:r>
      <w:proofErr w:type="gramStart"/>
      <w:r>
        <w:t>Mai.</w:t>
      </w:r>
      <w:proofErr w:type="gramEnd"/>
      <w:r>
        <w:t xml:space="preserve"> 2025. Disponível em: </w:t>
      </w:r>
    </w:p>
    <w:p w14:paraId="4E017ED5" w14:textId="77777777" w:rsidR="001E41E3" w:rsidRDefault="001E41E3" w:rsidP="001E41E3">
      <w:pPr>
        <w:widowControl w:val="0"/>
        <w:spacing w:before="20" w:after="20"/>
        <w:ind w:right="52"/>
      </w:pPr>
      <w:hyperlink r:id="rId10">
        <w:r>
          <w:rPr>
            <w:color w:val="1155CC"/>
            <w:u w:val="single"/>
          </w:rPr>
          <w:t>https://estevaoepinheiro.adv.br/julgamento-do-tema-1218-no-stfo-futuro-das-carreiras-do-magisterio-em-jogo/</w:t>
        </w:r>
      </w:hyperlink>
      <w:r>
        <w:t xml:space="preserve">. Acesso em 20 </w:t>
      </w:r>
      <w:proofErr w:type="gramStart"/>
      <w:r>
        <w:t>Mai.</w:t>
      </w:r>
      <w:proofErr w:type="gramEnd"/>
      <w:r>
        <w:t xml:space="preserve"> 2025.</w:t>
      </w:r>
    </w:p>
    <w:p w14:paraId="2A6B8500" w14:textId="77777777" w:rsidR="001E41E3" w:rsidRDefault="001E41E3" w:rsidP="001E41E3">
      <w:pPr>
        <w:widowControl w:val="0"/>
        <w:spacing w:before="20" w:after="20"/>
        <w:ind w:right="52"/>
      </w:pPr>
      <w:r>
        <w:t>KERBAUY. Maria T. M.</w:t>
      </w:r>
      <w:r>
        <w:rPr>
          <w:b/>
        </w:rPr>
        <w:t xml:space="preserve"> Federalismo, descentralização e democracia</w:t>
      </w:r>
      <w:r>
        <w:t>. Revista: Estudos de Sociologia. V.6; N.10. 2001.</w:t>
      </w:r>
    </w:p>
    <w:p w14:paraId="79DA1FBF" w14:textId="77777777" w:rsidR="001E41E3" w:rsidRDefault="001E41E3" w:rsidP="001E41E3">
      <w:pPr>
        <w:widowControl w:val="0"/>
        <w:spacing w:before="20" w:after="20"/>
        <w:ind w:right="52"/>
      </w:pPr>
    </w:p>
    <w:p w14:paraId="4000DEEB" w14:textId="77777777" w:rsidR="001E41E3" w:rsidRDefault="001E41E3" w:rsidP="001E41E3">
      <w:pPr>
        <w:widowControl w:val="0"/>
        <w:spacing w:before="20" w:after="20"/>
        <w:ind w:right="52"/>
      </w:pPr>
      <w:r>
        <w:t xml:space="preserve">LIZIERO Leonam </w:t>
      </w:r>
      <w:proofErr w:type="spellStart"/>
      <w:r>
        <w:t>Baesso</w:t>
      </w:r>
      <w:proofErr w:type="spellEnd"/>
      <w:r>
        <w:t xml:space="preserve"> da Silva; CARVALHO, Fabrício.</w:t>
      </w:r>
      <w:r>
        <w:rPr>
          <w:b/>
        </w:rPr>
        <w:t xml:space="preserve"> Federalismo e centralização no Brasil: contrastes na construção da federação </w:t>
      </w:r>
      <w:proofErr w:type="spellStart"/>
      <w:proofErr w:type="gramStart"/>
      <w:r>
        <w:rPr>
          <w:b/>
        </w:rPr>
        <w:t>brasileira</w:t>
      </w:r>
      <w:r>
        <w:t>.Revista</w:t>
      </w:r>
      <w:proofErr w:type="spellEnd"/>
      <w:proofErr w:type="gramEnd"/>
      <w:r>
        <w:t xml:space="preserve"> de Direito da Cidade vol. 10, no 3. ISSN 2317-7721 DOI: 10.12957/rdc.2018.32661.</w:t>
      </w:r>
    </w:p>
    <w:p w14:paraId="7C74B303" w14:textId="77777777" w:rsidR="001E41E3" w:rsidRDefault="001E41E3" w:rsidP="001E41E3">
      <w:pPr>
        <w:widowControl w:val="0"/>
        <w:spacing w:before="20" w:after="20"/>
        <w:ind w:right="52"/>
      </w:pPr>
    </w:p>
    <w:p w14:paraId="24046B89" w14:textId="77777777" w:rsidR="001E41E3" w:rsidRDefault="001E41E3" w:rsidP="001E41E3">
      <w:pPr>
        <w:widowControl w:val="0"/>
        <w:spacing w:before="20" w:after="20"/>
        <w:ind w:right="52"/>
      </w:pPr>
      <w:r>
        <w:t xml:space="preserve">MACHADO, Vagner Gomes; DA SILVEIRA, Clóvis Eduardo </w:t>
      </w:r>
      <w:proofErr w:type="spellStart"/>
      <w:r>
        <w:t>Malinverni</w:t>
      </w:r>
      <w:proofErr w:type="spellEnd"/>
      <w:r>
        <w:t xml:space="preserve">. A exploração do petróleo do </w:t>
      </w:r>
      <w:proofErr w:type="spellStart"/>
      <w:r>
        <w:t>Pré</w:t>
      </w:r>
      <w:proofErr w:type="spellEnd"/>
      <w:r>
        <w:t xml:space="preserve">-Sal: o “Fundo Social” à luz do direito ao desenvolvimento. </w:t>
      </w:r>
      <w:r>
        <w:rPr>
          <w:b/>
        </w:rPr>
        <w:t>Revista Direito Ambiental e Sociedade</w:t>
      </w:r>
      <w:r>
        <w:t>, v. 11, n. 2, 2021.</w:t>
      </w:r>
    </w:p>
    <w:p w14:paraId="589E1A8B" w14:textId="77777777" w:rsidR="001E41E3" w:rsidRDefault="001E41E3" w:rsidP="001E41E3">
      <w:pPr>
        <w:widowControl w:val="0"/>
        <w:spacing w:before="20" w:after="20"/>
        <w:ind w:right="52"/>
      </w:pPr>
    </w:p>
    <w:p w14:paraId="446D340B" w14:textId="77777777" w:rsidR="001E41E3" w:rsidRDefault="001E41E3" w:rsidP="001E41E3">
      <w:pPr>
        <w:widowControl w:val="0"/>
        <w:spacing w:before="20" w:after="20"/>
        <w:ind w:right="52"/>
      </w:pPr>
      <w:r>
        <w:t xml:space="preserve">MARTINEZ, Paulo Henrique; COLACIOS, Roger Domenech. </w:t>
      </w:r>
      <w:proofErr w:type="spellStart"/>
      <w:r>
        <w:t>Pré</w:t>
      </w:r>
      <w:proofErr w:type="spellEnd"/>
      <w:r>
        <w:t xml:space="preserve">-Sal: Petróleo e políticas públicas no Brasil (2007-2016). </w:t>
      </w:r>
      <w:r>
        <w:rPr>
          <w:b/>
        </w:rPr>
        <w:t xml:space="preserve">Fronteira: </w:t>
      </w:r>
      <w:proofErr w:type="spellStart"/>
      <w:r>
        <w:rPr>
          <w:b/>
        </w:rPr>
        <w:t>Journal</w:t>
      </w:r>
      <w:proofErr w:type="spellEnd"/>
      <w:r>
        <w:rPr>
          <w:b/>
        </w:rPr>
        <w:t xml:space="preserve"> </w:t>
      </w:r>
      <w:proofErr w:type="spellStart"/>
      <w:r>
        <w:rPr>
          <w:b/>
        </w:rPr>
        <w:t>of</w:t>
      </w:r>
      <w:proofErr w:type="spellEnd"/>
      <w:r>
        <w:rPr>
          <w:b/>
        </w:rPr>
        <w:t xml:space="preserve"> Social, </w:t>
      </w:r>
      <w:proofErr w:type="spellStart"/>
      <w:r>
        <w:rPr>
          <w:b/>
        </w:rPr>
        <w:t>Technological</w:t>
      </w:r>
      <w:proofErr w:type="spellEnd"/>
      <w:r>
        <w:rPr>
          <w:b/>
        </w:rPr>
        <w:t xml:space="preserve"> </w:t>
      </w:r>
      <w:proofErr w:type="spellStart"/>
      <w:r>
        <w:rPr>
          <w:b/>
        </w:rPr>
        <w:t>and</w:t>
      </w:r>
      <w:proofErr w:type="spellEnd"/>
      <w:r>
        <w:rPr>
          <w:b/>
        </w:rPr>
        <w:t xml:space="preserve"> Environmental Science</w:t>
      </w:r>
      <w:r>
        <w:t>, v. 5, n. 1, p. 145-167, 2016.</w:t>
      </w:r>
    </w:p>
    <w:p w14:paraId="2C7252E7" w14:textId="77777777" w:rsidR="001E41E3" w:rsidRDefault="001E41E3" w:rsidP="001E41E3">
      <w:pPr>
        <w:widowControl w:val="0"/>
        <w:spacing w:before="20" w:after="20"/>
        <w:ind w:right="52"/>
      </w:pPr>
      <w:r>
        <w:t xml:space="preserve">Medida provisória autoriza uso do Fundo Social do </w:t>
      </w:r>
      <w:proofErr w:type="spellStart"/>
      <w:r>
        <w:t>pré</w:t>
      </w:r>
      <w:proofErr w:type="spellEnd"/>
      <w:r>
        <w:t xml:space="preserve">-sal no combate a calamidades. </w:t>
      </w:r>
      <w:r>
        <w:rPr>
          <w:b/>
        </w:rPr>
        <w:t>Agência Câmara de Notícias</w:t>
      </w:r>
      <w:r>
        <w:t xml:space="preserve">. 10 Mar. 2025. Disponível em: </w:t>
      </w:r>
      <w:hyperlink r:id="rId11">
        <w:r>
          <w:rPr>
            <w:color w:val="1155CC"/>
            <w:u w:val="single"/>
          </w:rPr>
          <w:t>https://www.camara.leg.br/noticias/1138484-medida-provisoria-autoriza-uso-do-fundo-social-do-pre-sal-no-combate-a-calamidades/</w:t>
        </w:r>
      </w:hyperlink>
      <w:r>
        <w:t xml:space="preserve">. Acesso em 27 </w:t>
      </w:r>
      <w:proofErr w:type="gramStart"/>
      <w:r>
        <w:t>Mai.</w:t>
      </w:r>
      <w:proofErr w:type="gramEnd"/>
      <w:r>
        <w:t xml:space="preserve"> 2025.</w:t>
      </w:r>
    </w:p>
    <w:p w14:paraId="38E337A4" w14:textId="77777777" w:rsidR="001E41E3" w:rsidRDefault="001E41E3" w:rsidP="001E41E3">
      <w:pPr>
        <w:widowControl w:val="0"/>
        <w:spacing w:before="20" w:after="20"/>
        <w:ind w:right="52"/>
      </w:pPr>
    </w:p>
    <w:p w14:paraId="7FDA729B" w14:textId="77777777" w:rsidR="001E41E3" w:rsidRDefault="001E41E3" w:rsidP="001E41E3">
      <w:pPr>
        <w:widowControl w:val="0"/>
        <w:spacing w:before="20" w:after="20"/>
        <w:ind w:right="52"/>
      </w:pPr>
      <w:r>
        <w:t>Metade dos royalties para educação pode ir para salário de professor.</w:t>
      </w:r>
      <w:r>
        <w:rPr>
          <w:b/>
        </w:rPr>
        <w:t xml:space="preserve"> Agência Câmara de Notícias.</w:t>
      </w:r>
      <w:r>
        <w:t xml:space="preserve"> 18 </w:t>
      </w:r>
      <w:proofErr w:type="gramStart"/>
      <w:r>
        <w:t>Nov.</w:t>
      </w:r>
      <w:proofErr w:type="gramEnd"/>
      <w:r>
        <w:t xml:space="preserve"> 2013. Disponível em: </w:t>
      </w:r>
      <w:hyperlink r:id="rId12">
        <w:r>
          <w:rPr>
            <w:color w:val="1155CC"/>
            <w:u w:val="single"/>
          </w:rPr>
          <w:t>https://www.camara.leg.br/noticias/437629-METADE-DOS-ROYALTIES-PARA-EDUCACAO-PODE-IR-PARA-SALARIO-DE-PROFESSOR</w:t>
        </w:r>
      </w:hyperlink>
      <w:r>
        <w:t xml:space="preserve">. Acesso em 25 </w:t>
      </w:r>
      <w:proofErr w:type="gramStart"/>
      <w:r>
        <w:t>Mai.</w:t>
      </w:r>
      <w:proofErr w:type="gramEnd"/>
      <w:r>
        <w:t xml:space="preserve"> 2025.</w:t>
      </w:r>
    </w:p>
    <w:p w14:paraId="7A6B90F4" w14:textId="77777777" w:rsidR="001E41E3" w:rsidRDefault="001E41E3" w:rsidP="001E41E3">
      <w:pPr>
        <w:widowControl w:val="0"/>
        <w:spacing w:before="20" w:after="20"/>
        <w:ind w:right="52"/>
      </w:pPr>
    </w:p>
    <w:p w14:paraId="0BA4C92B" w14:textId="77777777" w:rsidR="001E41E3" w:rsidRDefault="001E41E3" w:rsidP="001E41E3">
      <w:pPr>
        <w:widowControl w:val="0"/>
        <w:spacing w:before="20" w:after="20"/>
        <w:ind w:right="52"/>
      </w:pPr>
      <w:r>
        <w:t xml:space="preserve">NUNES, Edson. </w:t>
      </w:r>
      <w:r>
        <w:rPr>
          <w:b/>
        </w:rPr>
        <w:t>Poder local, descentralização e democratização – um encontro difícil.</w:t>
      </w:r>
      <w:r>
        <w:t xml:space="preserve"> São Paulo em Perspectiva, São Paulo, v. 10, n. 3, jul./set. 1996.</w:t>
      </w:r>
    </w:p>
    <w:p w14:paraId="4BC63915" w14:textId="77777777" w:rsidR="001E41E3" w:rsidRDefault="001E41E3" w:rsidP="001E41E3">
      <w:pPr>
        <w:widowControl w:val="0"/>
        <w:spacing w:before="20" w:after="20"/>
        <w:ind w:right="52"/>
      </w:pPr>
    </w:p>
    <w:p w14:paraId="0E88B8E4" w14:textId="77777777" w:rsidR="001E41E3" w:rsidRDefault="001E41E3" w:rsidP="001E41E3">
      <w:pPr>
        <w:widowControl w:val="0"/>
        <w:spacing w:before="20" w:after="20"/>
        <w:ind w:right="52"/>
      </w:pPr>
      <w:r>
        <w:t xml:space="preserve">SILVA FILHO, Francisco Cláudio Oliveira; MARIANO, </w:t>
      </w:r>
      <w:proofErr w:type="spellStart"/>
      <w:r>
        <w:t>Cynara</w:t>
      </w:r>
      <w:proofErr w:type="spellEnd"/>
      <w:r>
        <w:t xml:space="preserve"> Monteiro. </w:t>
      </w:r>
      <w:r>
        <w:rPr>
          <w:b/>
        </w:rPr>
        <w:t>Estado, desenvolvimento econômico e políticas públicas: uma análise da Lei n. 12.858/2013 e o financiamento da educação no Brasil.</w:t>
      </w:r>
      <w:r>
        <w:t xml:space="preserve"> 2019.</w:t>
      </w:r>
    </w:p>
    <w:p w14:paraId="2E29C9A3" w14:textId="77777777" w:rsidR="001E41E3" w:rsidRDefault="001E41E3" w:rsidP="001E41E3">
      <w:pPr>
        <w:widowControl w:val="0"/>
        <w:spacing w:before="20" w:after="20"/>
        <w:ind w:right="52"/>
      </w:pPr>
    </w:p>
    <w:p w14:paraId="14293EA5" w14:textId="77777777" w:rsidR="001E41E3" w:rsidRDefault="001E41E3" w:rsidP="001E41E3">
      <w:pPr>
        <w:widowControl w:val="0"/>
        <w:pBdr>
          <w:top w:val="nil"/>
          <w:left w:val="nil"/>
          <w:bottom w:val="nil"/>
          <w:right w:val="nil"/>
          <w:between w:val="nil"/>
        </w:pBdr>
        <w:spacing w:before="20" w:after="20"/>
        <w:ind w:right="52"/>
      </w:pPr>
      <w:r>
        <w:t xml:space="preserve">TAVARES, Felipe de Sá; ALMEIDA, Alexandre Nunes de. Os impactos dos royalties do petróleo em gastos sociais no Brasil: uma análise usando </w:t>
      </w:r>
      <w:proofErr w:type="spellStart"/>
      <w:r>
        <w:t>propensity</w:t>
      </w:r>
      <w:proofErr w:type="spellEnd"/>
      <w:r>
        <w:t xml:space="preserve"> score </w:t>
      </w:r>
      <w:proofErr w:type="spellStart"/>
      <w:r>
        <w:t>matching</w:t>
      </w:r>
      <w:proofErr w:type="spellEnd"/>
      <w:r>
        <w:t xml:space="preserve">. </w:t>
      </w:r>
      <w:r>
        <w:rPr>
          <w:b/>
        </w:rPr>
        <w:t>Revista Economia &amp; Tecnologia (RET)</w:t>
      </w:r>
      <w:r>
        <w:t>, v. 10, n. 2, p. 93-106, 2014.</w:t>
      </w:r>
    </w:p>
    <w:p w14:paraId="0D54FDE9" w14:textId="77777777" w:rsidR="001E41E3" w:rsidRDefault="001E41E3" w:rsidP="001E41E3">
      <w:pPr>
        <w:widowControl w:val="0"/>
        <w:pBdr>
          <w:top w:val="nil"/>
          <w:left w:val="nil"/>
          <w:bottom w:val="nil"/>
          <w:right w:val="nil"/>
          <w:between w:val="nil"/>
        </w:pBdr>
        <w:spacing w:before="20" w:after="20"/>
        <w:ind w:right="52"/>
      </w:pPr>
    </w:p>
    <w:p w14:paraId="109D8F71" w14:textId="77777777" w:rsidR="001E41E3" w:rsidRDefault="001E41E3" w:rsidP="001E41E3">
      <w:pPr>
        <w:widowControl w:val="0"/>
        <w:pBdr>
          <w:top w:val="nil"/>
          <w:left w:val="nil"/>
          <w:bottom w:val="nil"/>
          <w:right w:val="nil"/>
          <w:between w:val="nil"/>
        </w:pBdr>
        <w:spacing w:before="20" w:after="20"/>
        <w:ind w:right="52"/>
      </w:pPr>
      <w:r>
        <w:t xml:space="preserve">TOKARSKI, André Pereira R. Mudanças na lei de partilha do </w:t>
      </w:r>
      <w:proofErr w:type="spellStart"/>
      <w:r>
        <w:t>pré</w:t>
      </w:r>
      <w:proofErr w:type="spellEnd"/>
      <w:r>
        <w:t xml:space="preserve">-sal e o bloqueio ao desenvolvimento nacional. </w:t>
      </w:r>
      <w:r>
        <w:rPr>
          <w:b/>
        </w:rPr>
        <w:t>Princípios</w:t>
      </w:r>
      <w:r>
        <w:t>, v. 40, n. 160, p. 318 339-318 339, 2021.</w:t>
      </w:r>
    </w:p>
    <w:p w14:paraId="07949395" w14:textId="77777777" w:rsidR="001E41E3" w:rsidRDefault="001E41E3" w:rsidP="001E41E3">
      <w:pPr>
        <w:widowControl w:val="0"/>
        <w:pBdr>
          <w:top w:val="nil"/>
          <w:left w:val="nil"/>
          <w:bottom w:val="nil"/>
          <w:right w:val="nil"/>
          <w:between w:val="nil"/>
        </w:pBdr>
        <w:spacing w:before="20" w:after="20"/>
        <w:ind w:right="52"/>
      </w:pPr>
    </w:p>
    <w:p w14:paraId="69EE7113" w14:textId="77777777" w:rsidR="001E41E3" w:rsidRDefault="001E41E3" w:rsidP="001E41E3">
      <w:pPr>
        <w:widowControl w:val="0"/>
        <w:pBdr>
          <w:top w:val="nil"/>
          <w:left w:val="nil"/>
          <w:bottom w:val="nil"/>
          <w:right w:val="nil"/>
          <w:between w:val="nil"/>
        </w:pBdr>
        <w:spacing w:before="255" w:line="360" w:lineRule="auto"/>
        <w:ind w:right="52"/>
      </w:pPr>
    </w:p>
    <w:p w14:paraId="7B74DDB6" w14:textId="77777777" w:rsidR="001E41E3" w:rsidRDefault="001E41E3" w:rsidP="001E41E3">
      <w:pPr>
        <w:widowControl w:val="0"/>
        <w:pBdr>
          <w:top w:val="nil"/>
          <w:left w:val="nil"/>
          <w:bottom w:val="nil"/>
          <w:right w:val="nil"/>
          <w:between w:val="nil"/>
        </w:pBdr>
        <w:spacing w:before="255" w:line="360" w:lineRule="auto"/>
        <w:ind w:right="52"/>
      </w:pPr>
    </w:p>
    <w:p w14:paraId="767F651A" w14:textId="77777777" w:rsidR="00235886" w:rsidRPr="004739E0" w:rsidRDefault="00235886" w:rsidP="00136A83">
      <w:pPr>
        <w:pStyle w:val="IDpaper-Text"/>
        <w:widowControl/>
        <w:spacing w:after="0" w:line="360" w:lineRule="auto"/>
        <w:jc w:val="both"/>
        <w:rPr>
          <w:rFonts w:cs="Arial"/>
          <w:kern w:val="0"/>
          <w:sz w:val="22"/>
          <w:szCs w:val="24"/>
          <w:lang w:val="pt-BR" w:eastAsia="pt-BR"/>
        </w:rPr>
      </w:pPr>
    </w:p>
    <w:sectPr w:rsidR="00235886" w:rsidRPr="004739E0" w:rsidSect="000B6597">
      <w:headerReference w:type="default" r:id="rId13"/>
      <w:footerReference w:type="default" r:id="rId14"/>
      <w:headerReference w:type="first" r:id="rId15"/>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5ADC4" w14:textId="77777777" w:rsidR="00C20CA3" w:rsidRDefault="00C20CA3">
      <w:r>
        <w:separator/>
      </w:r>
    </w:p>
  </w:endnote>
  <w:endnote w:type="continuationSeparator" w:id="0">
    <w:p w14:paraId="2A66E065" w14:textId="77777777" w:rsidR="00C20CA3" w:rsidRDefault="00C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A3D4" w14:textId="77777777"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4F679E">
      <w:rPr>
        <w:rFonts w:ascii="Calibri" w:hAnsi="Calibri" w:cs="Calibri"/>
        <w:noProof/>
        <w:sz w:val="20"/>
      </w:rPr>
      <w:t>11</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2A1AE" w14:textId="77777777" w:rsidR="00C20CA3" w:rsidRDefault="00C20CA3">
      <w:r>
        <w:separator/>
      </w:r>
    </w:p>
  </w:footnote>
  <w:footnote w:type="continuationSeparator" w:id="0">
    <w:p w14:paraId="2F2E615A" w14:textId="77777777" w:rsidR="00C20CA3" w:rsidRDefault="00C20CA3">
      <w:r>
        <w:continuationSeparator/>
      </w:r>
    </w:p>
  </w:footnote>
  <w:footnote w:id="1">
    <w:p w14:paraId="6D574EEE" w14:textId="3E2D8E4B" w:rsidR="00D12011" w:rsidRDefault="00D12011" w:rsidP="00EA14BB">
      <w:pPr>
        <w:pStyle w:val="Textodenotaderodap"/>
        <w:jc w:val="both"/>
      </w:pPr>
      <w:r>
        <w:rPr>
          <w:rStyle w:val="Refdenotaderodap"/>
        </w:rPr>
        <w:footnoteRef/>
      </w:r>
      <w:r>
        <w:t xml:space="preserve"> </w:t>
      </w:r>
      <w:r w:rsidR="00726C54">
        <w:t>Mestre em Desenvolvimento Regional Ambiente e Políticas Públicas - PPGDAP/UFF, doutorando em Planejamento Regional e Gestão da Cidade – UCAM e professor de História da rede básica de educação</w:t>
      </w:r>
      <w:r>
        <w:t>. E-mail:</w:t>
      </w:r>
      <w:r w:rsidR="00726C54">
        <w:t xml:space="preserve"> charlesgf@id.uff.br</w:t>
      </w:r>
    </w:p>
  </w:footnote>
  <w:footnote w:id="2">
    <w:p w14:paraId="1BEAE6C5" w14:textId="11DABD51" w:rsidR="00726C54" w:rsidRPr="00726C54" w:rsidRDefault="00D12011" w:rsidP="00EA14BB">
      <w:pPr>
        <w:pStyle w:val="Textodenotaderodap"/>
        <w:jc w:val="both"/>
      </w:pPr>
      <w:r>
        <w:rPr>
          <w:rStyle w:val="Refdenotaderodap"/>
        </w:rPr>
        <w:footnoteRef/>
      </w:r>
      <w:r>
        <w:t xml:space="preserve"> </w:t>
      </w:r>
      <w:r w:rsidR="00726C54" w:rsidRPr="00726C54">
        <w:t>Pós-doutor em Políticas Sociais pela Universidade Estadual do Norte Fluminense (UENF), Doutor em Política Social e Trabalho pela Universidade do Estado do Rio de Janeiro (UERJ) e Mestre em Políticas Sociais pela Universidade Estadual do Norte Fluminense (UENF). Atualmente é professor adjunto do Programa de Pós-Graduação em Planejamento Regional e Gestão da Cidade da Universidade Cândido Mendes (UCAM),</w:t>
      </w:r>
      <w:r>
        <w:t xml:space="preserve"> E-mail:</w:t>
      </w:r>
      <w:r w:rsidR="00726C54" w:rsidRPr="00726C54">
        <w:rPr>
          <w:rFonts w:ascii="Roboto" w:hAnsi="Roboto"/>
          <w:b/>
          <w:bCs/>
          <w:color w:val="5E5E5E"/>
          <w:sz w:val="27"/>
          <w:szCs w:val="27"/>
        </w:rPr>
        <w:t xml:space="preserve"> </w:t>
      </w:r>
      <w:r w:rsidR="00726C54" w:rsidRPr="00726C54">
        <w:t>valdir.santos@ucam-campos.br</w:t>
      </w:r>
    </w:p>
    <w:p w14:paraId="6EB4BFDD" w14:textId="1DA3D941" w:rsidR="00D12011" w:rsidRDefault="00D1201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5655" w14:textId="5D380CA1" w:rsidR="00490E5B" w:rsidRDefault="00D12011">
    <w:pPr>
      <w:pStyle w:val="Cabealho"/>
    </w:pPr>
    <w:r>
      <w:rPr>
        <w:noProof/>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1"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2"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1918204634">
    <w:abstractNumId w:val="28"/>
  </w:num>
  <w:num w:numId="2" w16cid:durableId="948775611">
    <w:abstractNumId w:val="37"/>
  </w:num>
  <w:num w:numId="3" w16cid:durableId="2081906510">
    <w:abstractNumId w:val="34"/>
  </w:num>
  <w:num w:numId="4" w16cid:durableId="294068034">
    <w:abstractNumId w:val="2"/>
  </w:num>
  <w:num w:numId="5" w16cid:durableId="2075665864">
    <w:abstractNumId w:val="21"/>
  </w:num>
  <w:num w:numId="6" w16cid:durableId="1499999861">
    <w:abstractNumId w:val="25"/>
  </w:num>
  <w:num w:numId="7" w16cid:durableId="1422137268">
    <w:abstractNumId w:val="3"/>
  </w:num>
  <w:num w:numId="8" w16cid:durableId="489370843">
    <w:abstractNumId w:val="27"/>
  </w:num>
  <w:num w:numId="9" w16cid:durableId="161434347">
    <w:abstractNumId w:val="20"/>
  </w:num>
  <w:num w:numId="10" w16cid:durableId="1539515481">
    <w:abstractNumId w:val="31"/>
  </w:num>
  <w:num w:numId="11" w16cid:durableId="1187216113">
    <w:abstractNumId w:val="7"/>
  </w:num>
  <w:num w:numId="12" w16cid:durableId="570119605">
    <w:abstractNumId w:val="0"/>
  </w:num>
  <w:num w:numId="13" w16cid:durableId="22052190">
    <w:abstractNumId w:val="8"/>
  </w:num>
  <w:num w:numId="14" w16cid:durableId="1408989615">
    <w:abstractNumId w:val="36"/>
  </w:num>
  <w:num w:numId="15" w16cid:durableId="780609465">
    <w:abstractNumId w:val="14"/>
  </w:num>
  <w:num w:numId="16" w16cid:durableId="1935548211">
    <w:abstractNumId w:val="11"/>
  </w:num>
  <w:num w:numId="17" w16cid:durableId="571934226">
    <w:abstractNumId w:val="24"/>
  </w:num>
  <w:num w:numId="18" w16cid:durableId="1339313017">
    <w:abstractNumId w:val="18"/>
  </w:num>
  <w:num w:numId="19" w16cid:durableId="571046045">
    <w:abstractNumId w:val="9"/>
  </w:num>
  <w:num w:numId="20" w16cid:durableId="299267815">
    <w:abstractNumId w:val="10"/>
  </w:num>
  <w:num w:numId="21" w16cid:durableId="1521889327">
    <w:abstractNumId w:val="22"/>
  </w:num>
  <w:num w:numId="22" w16cid:durableId="606470991">
    <w:abstractNumId w:val="30"/>
  </w:num>
  <w:num w:numId="23" w16cid:durableId="757677591">
    <w:abstractNumId w:val="19"/>
  </w:num>
  <w:num w:numId="24" w16cid:durableId="1825972815">
    <w:abstractNumId w:val="32"/>
  </w:num>
  <w:num w:numId="25" w16cid:durableId="515582135">
    <w:abstractNumId w:val="6"/>
  </w:num>
  <w:num w:numId="26" w16cid:durableId="1349677509">
    <w:abstractNumId w:val="1"/>
  </w:num>
  <w:num w:numId="27" w16cid:durableId="311450899">
    <w:abstractNumId w:val="39"/>
  </w:num>
  <w:num w:numId="28" w16cid:durableId="673068717">
    <w:abstractNumId w:val="5"/>
  </w:num>
  <w:num w:numId="29" w16cid:durableId="2137985173">
    <w:abstractNumId w:val="33"/>
  </w:num>
  <w:num w:numId="30" w16cid:durableId="575014890">
    <w:abstractNumId w:val="35"/>
  </w:num>
  <w:num w:numId="31" w16cid:durableId="2027167397">
    <w:abstractNumId w:val="12"/>
  </w:num>
  <w:num w:numId="32" w16cid:durableId="1252934274">
    <w:abstractNumId w:val="17"/>
  </w:num>
  <w:num w:numId="33" w16cid:durableId="1392119036">
    <w:abstractNumId w:val="29"/>
  </w:num>
  <w:num w:numId="34" w16cid:durableId="1559322229">
    <w:abstractNumId w:val="38"/>
  </w:num>
  <w:num w:numId="35" w16cid:durableId="1704357019">
    <w:abstractNumId w:val="26"/>
  </w:num>
  <w:num w:numId="36" w16cid:durableId="2040737006">
    <w:abstractNumId w:val="13"/>
  </w:num>
  <w:num w:numId="37" w16cid:durableId="540214742">
    <w:abstractNumId w:val="16"/>
  </w:num>
  <w:num w:numId="38" w16cid:durableId="911082379">
    <w:abstractNumId w:val="15"/>
  </w:num>
  <w:num w:numId="39" w16cid:durableId="427427696">
    <w:abstractNumId w:val="23"/>
  </w:num>
  <w:num w:numId="40" w16cid:durableId="1362434904">
    <w:abstractNumId w:val="4"/>
  </w:num>
  <w:num w:numId="41" w16cid:durableId="562955188">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199569">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1021002">
    <w:abstractNumId w:val="3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3333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activeWritingStyle w:appName="MSWord" w:lang="es-CL" w:vendorID="64" w:dllVersion="6" w:nlCheck="1" w:checkStyle="1"/>
  <w:activeWritingStyle w:appName="MSWord" w:lang="en-US" w:vendorID="64" w:dllVersion="4096"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10226"/>
    <w:rsid w:val="00024269"/>
    <w:rsid w:val="000414E8"/>
    <w:rsid w:val="0004217D"/>
    <w:rsid w:val="00046AB6"/>
    <w:rsid w:val="0005777C"/>
    <w:rsid w:val="00063038"/>
    <w:rsid w:val="00073DC8"/>
    <w:rsid w:val="00095E46"/>
    <w:rsid w:val="000A6B80"/>
    <w:rsid w:val="000A6F41"/>
    <w:rsid w:val="000A72DE"/>
    <w:rsid w:val="000B6597"/>
    <w:rsid w:val="000C242D"/>
    <w:rsid w:val="000C4183"/>
    <w:rsid w:val="000D5A14"/>
    <w:rsid w:val="000E1DFF"/>
    <w:rsid w:val="000E2D73"/>
    <w:rsid w:val="000F16D0"/>
    <w:rsid w:val="000F2E32"/>
    <w:rsid w:val="000F3D59"/>
    <w:rsid w:val="00104A10"/>
    <w:rsid w:val="001123A7"/>
    <w:rsid w:val="001138E0"/>
    <w:rsid w:val="001147CC"/>
    <w:rsid w:val="00114B1B"/>
    <w:rsid w:val="00117C30"/>
    <w:rsid w:val="00120A4E"/>
    <w:rsid w:val="00127565"/>
    <w:rsid w:val="00127C73"/>
    <w:rsid w:val="00136A83"/>
    <w:rsid w:val="00155BB8"/>
    <w:rsid w:val="001675B9"/>
    <w:rsid w:val="00167CB2"/>
    <w:rsid w:val="00191522"/>
    <w:rsid w:val="00196D8B"/>
    <w:rsid w:val="001B2486"/>
    <w:rsid w:val="001B3129"/>
    <w:rsid w:val="001D2061"/>
    <w:rsid w:val="001D5941"/>
    <w:rsid w:val="001E20FC"/>
    <w:rsid w:val="001E41E3"/>
    <w:rsid w:val="001F3BC5"/>
    <w:rsid w:val="001F62B8"/>
    <w:rsid w:val="001F6D68"/>
    <w:rsid w:val="001F74CA"/>
    <w:rsid w:val="00200951"/>
    <w:rsid w:val="00201A0B"/>
    <w:rsid w:val="00202520"/>
    <w:rsid w:val="00220D27"/>
    <w:rsid w:val="00223899"/>
    <w:rsid w:val="00224126"/>
    <w:rsid w:val="00230897"/>
    <w:rsid w:val="00231461"/>
    <w:rsid w:val="00235886"/>
    <w:rsid w:val="002407C1"/>
    <w:rsid w:val="00261CD9"/>
    <w:rsid w:val="00264FC4"/>
    <w:rsid w:val="00271EBF"/>
    <w:rsid w:val="00273E9A"/>
    <w:rsid w:val="00284807"/>
    <w:rsid w:val="002867F3"/>
    <w:rsid w:val="00293475"/>
    <w:rsid w:val="00297E83"/>
    <w:rsid w:val="002A0031"/>
    <w:rsid w:val="002A170C"/>
    <w:rsid w:val="002A686B"/>
    <w:rsid w:val="002C09E9"/>
    <w:rsid w:val="002D4CA1"/>
    <w:rsid w:val="002E2F98"/>
    <w:rsid w:val="002F2EF7"/>
    <w:rsid w:val="0031360D"/>
    <w:rsid w:val="00326E56"/>
    <w:rsid w:val="00327944"/>
    <w:rsid w:val="00341D1F"/>
    <w:rsid w:val="00362DDE"/>
    <w:rsid w:val="00362E84"/>
    <w:rsid w:val="00363C90"/>
    <w:rsid w:val="0036438F"/>
    <w:rsid w:val="003730F8"/>
    <w:rsid w:val="0037371D"/>
    <w:rsid w:val="00376A96"/>
    <w:rsid w:val="003800A6"/>
    <w:rsid w:val="00393BF8"/>
    <w:rsid w:val="003B5837"/>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E22"/>
    <w:rsid w:val="00445DE1"/>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E0028"/>
    <w:rsid w:val="004E5D19"/>
    <w:rsid w:val="004F679E"/>
    <w:rsid w:val="005055F4"/>
    <w:rsid w:val="00506622"/>
    <w:rsid w:val="00517648"/>
    <w:rsid w:val="00521E49"/>
    <w:rsid w:val="00536719"/>
    <w:rsid w:val="00542640"/>
    <w:rsid w:val="005565E4"/>
    <w:rsid w:val="00570D1D"/>
    <w:rsid w:val="00571CFD"/>
    <w:rsid w:val="00572E2F"/>
    <w:rsid w:val="0057601C"/>
    <w:rsid w:val="00582B58"/>
    <w:rsid w:val="0059288D"/>
    <w:rsid w:val="005972B0"/>
    <w:rsid w:val="005A1CD6"/>
    <w:rsid w:val="005A314C"/>
    <w:rsid w:val="005A47F3"/>
    <w:rsid w:val="005B01D5"/>
    <w:rsid w:val="005B4444"/>
    <w:rsid w:val="005B49B9"/>
    <w:rsid w:val="005B7ACD"/>
    <w:rsid w:val="005C31CB"/>
    <w:rsid w:val="005C41E6"/>
    <w:rsid w:val="005D48F7"/>
    <w:rsid w:val="005E263B"/>
    <w:rsid w:val="005E648F"/>
    <w:rsid w:val="005F34A0"/>
    <w:rsid w:val="00607097"/>
    <w:rsid w:val="00622DC2"/>
    <w:rsid w:val="00624AE5"/>
    <w:rsid w:val="00630D2E"/>
    <w:rsid w:val="006366BC"/>
    <w:rsid w:val="00653C27"/>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D40D5"/>
    <w:rsid w:val="006D6411"/>
    <w:rsid w:val="006E048A"/>
    <w:rsid w:val="006E7616"/>
    <w:rsid w:val="006F18B0"/>
    <w:rsid w:val="00700A42"/>
    <w:rsid w:val="00721BE8"/>
    <w:rsid w:val="00726C54"/>
    <w:rsid w:val="007347D1"/>
    <w:rsid w:val="00745D16"/>
    <w:rsid w:val="00757A25"/>
    <w:rsid w:val="007722E0"/>
    <w:rsid w:val="007774CE"/>
    <w:rsid w:val="00780E64"/>
    <w:rsid w:val="00783943"/>
    <w:rsid w:val="00786157"/>
    <w:rsid w:val="00791C37"/>
    <w:rsid w:val="00793C56"/>
    <w:rsid w:val="007B243F"/>
    <w:rsid w:val="007C0FC3"/>
    <w:rsid w:val="007C1ADF"/>
    <w:rsid w:val="007C1B96"/>
    <w:rsid w:val="007D5DDC"/>
    <w:rsid w:val="007E0711"/>
    <w:rsid w:val="007E7F7C"/>
    <w:rsid w:val="007F1C9A"/>
    <w:rsid w:val="00801EA0"/>
    <w:rsid w:val="00802095"/>
    <w:rsid w:val="00813611"/>
    <w:rsid w:val="00815495"/>
    <w:rsid w:val="008174A8"/>
    <w:rsid w:val="00831914"/>
    <w:rsid w:val="008334ED"/>
    <w:rsid w:val="00843BC1"/>
    <w:rsid w:val="00846D63"/>
    <w:rsid w:val="00860638"/>
    <w:rsid w:val="00872B3A"/>
    <w:rsid w:val="008757BF"/>
    <w:rsid w:val="00880CB3"/>
    <w:rsid w:val="008917DA"/>
    <w:rsid w:val="00895B21"/>
    <w:rsid w:val="00895DCE"/>
    <w:rsid w:val="00897DDF"/>
    <w:rsid w:val="008A313F"/>
    <w:rsid w:val="008A6527"/>
    <w:rsid w:val="008B1DDC"/>
    <w:rsid w:val="008B38B0"/>
    <w:rsid w:val="008B4230"/>
    <w:rsid w:val="008B4CF6"/>
    <w:rsid w:val="008C541A"/>
    <w:rsid w:val="008F029C"/>
    <w:rsid w:val="008F4712"/>
    <w:rsid w:val="00905E02"/>
    <w:rsid w:val="0094519B"/>
    <w:rsid w:val="00947EED"/>
    <w:rsid w:val="00962533"/>
    <w:rsid w:val="0097119C"/>
    <w:rsid w:val="0097448C"/>
    <w:rsid w:val="00974E35"/>
    <w:rsid w:val="00980FA7"/>
    <w:rsid w:val="009A0CC3"/>
    <w:rsid w:val="009A1200"/>
    <w:rsid w:val="009A61A3"/>
    <w:rsid w:val="009B006A"/>
    <w:rsid w:val="009D4E5E"/>
    <w:rsid w:val="009E11AF"/>
    <w:rsid w:val="009E2AAF"/>
    <w:rsid w:val="009F3725"/>
    <w:rsid w:val="009F786E"/>
    <w:rsid w:val="00A01F45"/>
    <w:rsid w:val="00A15D73"/>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59E9"/>
    <w:rsid w:val="00A701BD"/>
    <w:rsid w:val="00A83DE6"/>
    <w:rsid w:val="00A9462A"/>
    <w:rsid w:val="00A95E7E"/>
    <w:rsid w:val="00AA3317"/>
    <w:rsid w:val="00AC7470"/>
    <w:rsid w:val="00AD15DA"/>
    <w:rsid w:val="00AE2288"/>
    <w:rsid w:val="00AE4865"/>
    <w:rsid w:val="00AE6655"/>
    <w:rsid w:val="00AF2DDA"/>
    <w:rsid w:val="00B01BC4"/>
    <w:rsid w:val="00B033CB"/>
    <w:rsid w:val="00B05CD8"/>
    <w:rsid w:val="00B06A2D"/>
    <w:rsid w:val="00B074FA"/>
    <w:rsid w:val="00B10974"/>
    <w:rsid w:val="00B12650"/>
    <w:rsid w:val="00B247D4"/>
    <w:rsid w:val="00B35681"/>
    <w:rsid w:val="00B400F6"/>
    <w:rsid w:val="00B41B00"/>
    <w:rsid w:val="00B43077"/>
    <w:rsid w:val="00B46EF9"/>
    <w:rsid w:val="00B47196"/>
    <w:rsid w:val="00B5272A"/>
    <w:rsid w:val="00B743F2"/>
    <w:rsid w:val="00B814ED"/>
    <w:rsid w:val="00B8206A"/>
    <w:rsid w:val="00B82BC4"/>
    <w:rsid w:val="00B87915"/>
    <w:rsid w:val="00B91D7C"/>
    <w:rsid w:val="00BA3EAE"/>
    <w:rsid w:val="00BD2E89"/>
    <w:rsid w:val="00BD3D1C"/>
    <w:rsid w:val="00BF415F"/>
    <w:rsid w:val="00C100EF"/>
    <w:rsid w:val="00C15287"/>
    <w:rsid w:val="00C167E2"/>
    <w:rsid w:val="00C20CA3"/>
    <w:rsid w:val="00C26BD6"/>
    <w:rsid w:val="00C50DCB"/>
    <w:rsid w:val="00C559FD"/>
    <w:rsid w:val="00C56B29"/>
    <w:rsid w:val="00C64578"/>
    <w:rsid w:val="00C67A4C"/>
    <w:rsid w:val="00C75CEC"/>
    <w:rsid w:val="00C776E8"/>
    <w:rsid w:val="00C8456E"/>
    <w:rsid w:val="00C91980"/>
    <w:rsid w:val="00C9544A"/>
    <w:rsid w:val="00CA44F9"/>
    <w:rsid w:val="00CB2D50"/>
    <w:rsid w:val="00CD21B2"/>
    <w:rsid w:val="00CE3359"/>
    <w:rsid w:val="00CE393F"/>
    <w:rsid w:val="00CE55D0"/>
    <w:rsid w:val="00CF0886"/>
    <w:rsid w:val="00CF1945"/>
    <w:rsid w:val="00CF7E6C"/>
    <w:rsid w:val="00D02EE3"/>
    <w:rsid w:val="00D05648"/>
    <w:rsid w:val="00D12011"/>
    <w:rsid w:val="00D20F95"/>
    <w:rsid w:val="00D3027E"/>
    <w:rsid w:val="00D439AA"/>
    <w:rsid w:val="00D43FFD"/>
    <w:rsid w:val="00D602B1"/>
    <w:rsid w:val="00D62030"/>
    <w:rsid w:val="00D7654A"/>
    <w:rsid w:val="00D90EF7"/>
    <w:rsid w:val="00D94358"/>
    <w:rsid w:val="00DA23C2"/>
    <w:rsid w:val="00DB3E3E"/>
    <w:rsid w:val="00DB6886"/>
    <w:rsid w:val="00DC43FA"/>
    <w:rsid w:val="00DD0900"/>
    <w:rsid w:val="00DD5885"/>
    <w:rsid w:val="00DE15D1"/>
    <w:rsid w:val="00DF123A"/>
    <w:rsid w:val="00DF26FD"/>
    <w:rsid w:val="00E1449E"/>
    <w:rsid w:val="00E151B3"/>
    <w:rsid w:val="00E336D7"/>
    <w:rsid w:val="00E35B5C"/>
    <w:rsid w:val="00E41D8C"/>
    <w:rsid w:val="00E448FE"/>
    <w:rsid w:val="00E460FE"/>
    <w:rsid w:val="00E51EDE"/>
    <w:rsid w:val="00E53F1F"/>
    <w:rsid w:val="00E56733"/>
    <w:rsid w:val="00E65E72"/>
    <w:rsid w:val="00E771B8"/>
    <w:rsid w:val="00EA14BB"/>
    <w:rsid w:val="00EA2C25"/>
    <w:rsid w:val="00EB466E"/>
    <w:rsid w:val="00EC33AE"/>
    <w:rsid w:val="00EC5241"/>
    <w:rsid w:val="00EE0F6F"/>
    <w:rsid w:val="00EE4562"/>
    <w:rsid w:val="00EE4C8F"/>
    <w:rsid w:val="00EF3426"/>
    <w:rsid w:val="00EF5F75"/>
    <w:rsid w:val="00F01EBE"/>
    <w:rsid w:val="00F06F4A"/>
    <w:rsid w:val="00F15EEC"/>
    <w:rsid w:val="00F2116A"/>
    <w:rsid w:val="00F21DC7"/>
    <w:rsid w:val="00F30F28"/>
    <w:rsid w:val="00F32A95"/>
    <w:rsid w:val="00F40B67"/>
    <w:rsid w:val="00F45C07"/>
    <w:rsid w:val="00F512C0"/>
    <w:rsid w:val="00F53E84"/>
    <w:rsid w:val="00F5612F"/>
    <w:rsid w:val="00F671DF"/>
    <w:rsid w:val="00F70C42"/>
    <w:rsid w:val="00F73A38"/>
    <w:rsid w:val="00F7740E"/>
    <w:rsid w:val="00F77DED"/>
    <w:rsid w:val="00F803E0"/>
    <w:rsid w:val="00F80DA8"/>
    <w:rsid w:val="00F846C0"/>
    <w:rsid w:val="00F86E19"/>
    <w:rsid w:val="00FB23D9"/>
    <w:rsid w:val="00FB64BA"/>
    <w:rsid w:val="00FC06BF"/>
    <w:rsid w:val="00FC2432"/>
    <w:rsid w:val="00FC7FBB"/>
    <w:rsid w:val="00FD58FF"/>
    <w:rsid w:val="00FE3684"/>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paragraph" w:styleId="Ttulo3">
    <w:name w:val="heading 3"/>
    <w:basedOn w:val="Normal"/>
    <w:next w:val="Normal"/>
    <w:link w:val="Ttulo3Char"/>
    <w:semiHidden/>
    <w:unhideWhenUsed/>
    <w:qFormat/>
    <w:locked/>
    <w:rsid w:val="00726C5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 w:type="paragraph" w:styleId="Pr-formataoHTML">
    <w:name w:val="HTML Preformatted"/>
    <w:basedOn w:val="Normal"/>
    <w:link w:val="Pr-formataoHTMLChar"/>
    <w:uiPriority w:val="99"/>
    <w:semiHidden/>
    <w:unhideWhenUsed/>
    <w:rsid w:val="00726C54"/>
    <w:rPr>
      <w:rFonts w:ascii="Consolas" w:hAnsi="Consolas"/>
      <w:sz w:val="20"/>
      <w:szCs w:val="20"/>
    </w:rPr>
  </w:style>
  <w:style w:type="character" w:customStyle="1" w:styleId="Pr-formataoHTMLChar">
    <w:name w:val="Pré-formatação HTML Char"/>
    <w:basedOn w:val="Fontepargpadro"/>
    <w:link w:val="Pr-formataoHTML"/>
    <w:uiPriority w:val="99"/>
    <w:semiHidden/>
    <w:rsid w:val="00726C54"/>
    <w:rPr>
      <w:rFonts w:ascii="Consolas" w:hAnsi="Consolas"/>
    </w:rPr>
  </w:style>
  <w:style w:type="character" w:customStyle="1" w:styleId="Ttulo3Char">
    <w:name w:val="Título 3 Char"/>
    <w:basedOn w:val="Fontepargpadro"/>
    <w:link w:val="Ttulo3"/>
    <w:semiHidden/>
    <w:rsid w:val="00726C5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49155781">
      <w:bodyDiv w:val="1"/>
      <w:marLeft w:val="0"/>
      <w:marRight w:val="0"/>
      <w:marTop w:val="0"/>
      <w:marBottom w:val="0"/>
      <w:divBdr>
        <w:top w:val="none" w:sz="0" w:space="0" w:color="auto"/>
        <w:left w:val="none" w:sz="0" w:space="0" w:color="auto"/>
        <w:bottom w:val="none" w:sz="0" w:space="0" w:color="auto"/>
        <w:right w:val="none" w:sz="0" w:space="0" w:color="auto"/>
      </w:divBdr>
    </w:div>
    <w:div w:id="115375131">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343627421">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562103133">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792943716">
      <w:bodyDiv w:val="1"/>
      <w:marLeft w:val="0"/>
      <w:marRight w:val="0"/>
      <w:marTop w:val="0"/>
      <w:marBottom w:val="0"/>
      <w:divBdr>
        <w:top w:val="none" w:sz="0" w:space="0" w:color="auto"/>
        <w:left w:val="none" w:sz="0" w:space="0" w:color="auto"/>
        <w:bottom w:val="none" w:sz="0" w:space="0" w:color="auto"/>
        <w:right w:val="none" w:sz="0" w:space="0" w:color="auto"/>
      </w:divBdr>
    </w:div>
    <w:div w:id="827331166">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320377388">
      <w:bodyDiv w:val="1"/>
      <w:marLeft w:val="0"/>
      <w:marRight w:val="0"/>
      <w:marTop w:val="0"/>
      <w:marBottom w:val="0"/>
      <w:divBdr>
        <w:top w:val="none" w:sz="0" w:space="0" w:color="auto"/>
        <w:left w:val="none" w:sz="0" w:space="0" w:color="auto"/>
        <w:bottom w:val="none" w:sz="0" w:space="0" w:color="auto"/>
        <w:right w:val="none" w:sz="0" w:space="0" w:color="auto"/>
      </w:divBdr>
    </w:div>
    <w:div w:id="1418986535">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62713867">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06694876">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00114149">
      <w:bodyDiv w:val="1"/>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 w:id="20758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07-2010/2010/lei/l12351.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mara.leg.br/noticias/437629-METADE-DOS-ROYALTIES-PARA-EDUCACAO-PODE-IR-PARA-SALARIO-DE-PROFESS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leg.br/noticias/1138484-medida-provisoria-autoriza-uso-do-fundo-social-do-pre-sal-no-combate-a-calamidad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tevaoepinheiro.adv.br/julgamento-do-tema-1218-no-stfo-futuro-das-carreiras-do-magisterio-em-jogo/" TargetMode="External"/><Relationship Id="rId4" Type="http://schemas.openxmlformats.org/officeDocument/2006/relationships/settings" Target="settings.xml"/><Relationship Id="rId9" Type="http://schemas.openxmlformats.org/officeDocument/2006/relationships/hyperlink" Target="https://www2.camara.leg.br/legin/fed/lei/2013/lei-12858-9-setembro-2013-777015-publicacaooriginal-141068-pl.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AB2-C8F2-43A5-876B-395F27A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7061</Words>
  <Characters>38132</Characters>
  <Application>Microsoft Office Word</Application>
  <DocSecurity>0</DocSecurity>
  <Lines>317</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45103</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Charles  Gonçalves Ferreira</cp:lastModifiedBy>
  <cp:revision>2</cp:revision>
  <cp:lastPrinted>2011-10-07T12:07:00Z</cp:lastPrinted>
  <dcterms:created xsi:type="dcterms:W3CDTF">2025-10-14T18:29:00Z</dcterms:created>
  <dcterms:modified xsi:type="dcterms:W3CDTF">2025-10-14T18:29:00Z</dcterms:modified>
</cp:coreProperties>
</file>