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B5FE">
      <w:pPr>
        <w:jc w:val="center"/>
      </w:pPr>
      <w:r>
        <w:drawing>
          <wp:inline distT="0" distB="0" distL="0" distR="0">
            <wp:extent cx="4679315" cy="1285875"/>
            <wp:effectExtent l="0" t="0" r="6985"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679315" cy="1285875"/>
                    </a:xfrm>
                    <a:prstGeom prst="rect">
                      <a:avLst/>
                    </a:prstGeom>
                  </pic:spPr>
                </pic:pic>
              </a:graphicData>
            </a:graphic>
          </wp:inline>
        </w:drawing>
      </w:r>
    </w:p>
    <w:p w14:paraId="6422DA04">
      <w:pPr>
        <w:jc w:val="center"/>
      </w:pPr>
    </w:p>
    <w:p w14:paraId="21FBEB42">
      <w:pPr>
        <w:jc w:val="center"/>
        <w:rPr>
          <w:b/>
          <w:bCs/>
        </w:rPr>
      </w:pPr>
      <w:r>
        <w:rPr>
          <w:b/>
          <w:bCs/>
        </w:rPr>
        <w:t>Eixo Temático: Políticas Públicas, Emancipação e Desenvolvimento Regional</w:t>
      </w:r>
    </w:p>
    <w:p w14:paraId="587CFC5F">
      <w:pPr>
        <w:jc w:val="center"/>
        <w:rPr>
          <w:b/>
        </w:rPr>
      </w:pPr>
      <w:r>
        <w:rPr>
          <w:b/>
        </w:rPr>
        <w:t xml:space="preserve"> </w:t>
      </w:r>
    </w:p>
    <w:p w14:paraId="633E8768">
      <w:pPr>
        <w:spacing w:line="240" w:lineRule="auto"/>
        <w:jc w:val="center"/>
        <w:rPr>
          <w:b/>
          <w:bCs/>
          <w:sz w:val="28"/>
          <w:szCs w:val="28"/>
        </w:rPr>
      </w:pPr>
      <w:bookmarkStart w:id="0" w:name="Política_de_Cotas_Étnico-Raciais_no_Serv"/>
      <w:bookmarkEnd w:id="0"/>
      <w:r>
        <w:rPr>
          <w:b/>
          <w:bCs/>
          <w:sz w:val="28"/>
          <w:szCs w:val="28"/>
        </w:rPr>
        <w:t>Política de Cotas Étnico-Raciais no Serviço Público Federal: avaliação da Lei nº 12.990/14 como instrumento de reparação histórica e de promoção da isonomia social</w:t>
      </w:r>
      <w:bookmarkStart w:id="1" w:name="Ethnic-Racial_Quota_Policy_in_the_Federa"/>
      <w:bookmarkEnd w:id="1"/>
    </w:p>
    <w:p w14:paraId="2B82CCAE">
      <w:pPr>
        <w:spacing w:line="240" w:lineRule="auto"/>
        <w:jc w:val="center"/>
        <w:rPr>
          <w:b/>
          <w:i/>
          <w:sz w:val="28"/>
          <w:szCs w:val="28"/>
        </w:rPr>
      </w:pPr>
    </w:p>
    <w:p w14:paraId="5AD28836">
      <w:pPr>
        <w:spacing w:line="240" w:lineRule="auto"/>
        <w:jc w:val="center"/>
        <w:rPr>
          <w:b/>
          <w:i/>
        </w:rPr>
      </w:pPr>
      <w:r>
        <w:rPr>
          <w:b/>
          <w:i/>
        </w:rPr>
        <w:t>Ethnic-Racial Quota Policy in the Federal Public Service: an evaluation of Law nº. 12,990/14 as an instrument of historical reparation and promotion of social isonomy</w:t>
      </w:r>
    </w:p>
    <w:p w14:paraId="256FEDBE">
      <w:pPr>
        <w:spacing w:line="240" w:lineRule="auto"/>
        <w:jc w:val="center"/>
        <w:rPr>
          <w:vertAlign w:val="superscript"/>
        </w:rPr>
      </w:pPr>
    </w:p>
    <w:p w14:paraId="196DB4EA">
      <w:pPr>
        <w:spacing w:line="240" w:lineRule="auto"/>
        <w:jc w:val="right"/>
        <w:rPr>
          <w:sz w:val="20"/>
          <w:szCs w:val="20"/>
        </w:rPr>
      </w:pPr>
      <w:r>
        <w:rPr>
          <w:sz w:val="20"/>
          <w:szCs w:val="20"/>
        </w:rPr>
        <w:t>Salvador de Souza Freitas</w:t>
      </w:r>
      <w:r>
        <w:rPr>
          <w:rStyle w:val="14"/>
          <w:sz w:val="20"/>
          <w:szCs w:val="20"/>
        </w:rPr>
        <w:footnoteReference w:id="0"/>
      </w:r>
      <w:r>
        <w:rPr>
          <w:sz w:val="20"/>
          <w:szCs w:val="20"/>
        </w:rPr>
        <w:t xml:space="preserve"> </w:t>
      </w:r>
      <w:bookmarkStart w:id="2" w:name="Geraldo_Antônio_Teodoro_Lima"/>
      <w:bookmarkEnd w:id="2"/>
    </w:p>
    <w:p w14:paraId="57F05CAB">
      <w:pPr>
        <w:spacing w:line="240" w:lineRule="auto"/>
        <w:jc w:val="right"/>
        <w:rPr>
          <w:sz w:val="20"/>
          <w:szCs w:val="20"/>
        </w:rPr>
      </w:pPr>
      <w:r>
        <w:rPr>
          <w:sz w:val="20"/>
          <w:szCs w:val="20"/>
        </w:rPr>
        <w:t>Geraldo Antônio Teodoro Lima</w:t>
      </w:r>
      <w:r>
        <w:rPr>
          <w:rStyle w:val="14"/>
          <w:sz w:val="20"/>
          <w:szCs w:val="20"/>
        </w:rPr>
        <w:footnoteReference w:id="1"/>
      </w:r>
    </w:p>
    <w:p w14:paraId="542A247E">
      <w:pPr>
        <w:spacing w:line="240" w:lineRule="auto"/>
        <w:jc w:val="right"/>
        <w:rPr>
          <w:sz w:val="20"/>
          <w:szCs w:val="20"/>
        </w:rPr>
      </w:pPr>
      <w:r>
        <w:rPr>
          <w:sz w:val="20"/>
          <w:szCs w:val="20"/>
        </w:rPr>
        <w:t xml:space="preserve"> </w:t>
      </w:r>
      <w:bookmarkStart w:id="3" w:name="Gabriela_do_Rosário_da_Silva"/>
      <w:bookmarkEnd w:id="3"/>
      <w:r>
        <w:rPr>
          <w:sz w:val="20"/>
          <w:szCs w:val="20"/>
        </w:rPr>
        <w:t>Gabriela do Rosario Silva</w:t>
      </w:r>
      <w:r>
        <w:rPr>
          <w:rStyle w:val="14"/>
          <w:sz w:val="20"/>
          <w:szCs w:val="20"/>
        </w:rPr>
        <w:footnoteReference w:id="2"/>
      </w:r>
    </w:p>
    <w:p w14:paraId="19A4A58E">
      <w:pPr>
        <w:spacing w:line="240" w:lineRule="auto"/>
        <w:jc w:val="right"/>
        <w:rPr>
          <w:sz w:val="20"/>
          <w:szCs w:val="20"/>
        </w:rPr>
      </w:pPr>
      <w:bookmarkStart w:id="4" w:name="Shirlena_Campos_de_Souza_Amaral"/>
      <w:bookmarkEnd w:id="4"/>
      <w:r>
        <w:rPr>
          <w:sz w:val="20"/>
          <w:szCs w:val="20"/>
        </w:rPr>
        <w:t>Shirlena Campos de Souza Amaral</w:t>
      </w:r>
      <w:r>
        <w:rPr>
          <w:rStyle w:val="14"/>
          <w:sz w:val="20"/>
          <w:szCs w:val="20"/>
        </w:rPr>
        <w:footnoteReference w:id="3"/>
      </w:r>
    </w:p>
    <w:p w14:paraId="5C6FF401">
      <w:pPr>
        <w:jc w:val="center"/>
      </w:pPr>
      <w:r>
        <w:t xml:space="preserve"> </w:t>
      </w:r>
    </w:p>
    <w:p w14:paraId="6F290E52">
      <w:pPr>
        <w:jc w:val="center"/>
      </w:pPr>
    </w:p>
    <w:p w14:paraId="43928D68">
      <w:pPr>
        <w:jc w:val="center"/>
        <w:rPr>
          <w:b/>
        </w:rPr>
      </w:pPr>
      <w:r>
        <w:t xml:space="preserve"> </w:t>
      </w:r>
      <w:r>
        <w:rPr>
          <w:b/>
        </w:rPr>
        <w:t>RESUMO</w:t>
      </w:r>
    </w:p>
    <w:p w14:paraId="090E1035">
      <w:pPr>
        <w:spacing w:line="240" w:lineRule="auto"/>
        <w:rPr>
          <w:bCs/>
          <w:sz w:val="20"/>
          <w:szCs w:val="20"/>
        </w:rPr>
      </w:pPr>
      <w:bookmarkStart w:id="5" w:name="O_presente_estudo_visa_analisar_a_Lei_nº"/>
      <w:bookmarkEnd w:id="5"/>
      <w:r>
        <w:rPr>
          <w:bCs/>
          <w:sz w:val="20"/>
          <w:szCs w:val="20"/>
        </w:rPr>
        <w:t>O presente estudo tem como objetivo analisar a Lei nº 12.990/14 (Lei de Cotas para o Serviço Público Federal) como instrumento de reparação histórica e de promoção da isonomia social, buscando avaliar sua contribuição para a redução das desigualdades étnico-raciais no acesso aos concursos públicos federais. A pesquisa adota uma metodologia qualitativa, fundamentada em revisão bibliográfica e documental, com abordagem teórico-crítica centrada nos estudos sobre racismo institucional e políticas de ação afirmativa no Brasil. Essa perspectiva permite compreender a lei não apenas como um dispositivo jurídico, mas também como um mecanismo político e social voltado à promoção da justiça racial. O estudo apresenta originalidade ao preencher uma lacuna teórica sobre a efetividade das cotas étnico-raciais no serviço público, contribuindo para o debate acadêmico acerca da justiça social, da justiça cultural e da reparação histórica. A relevância da pesquisa reside em evidenciar a necessidade de políticas de inclusão mais estruturadas e avaliadas de forma crítica. Os resultados indicam que, embora a Lei nº 12.990/14 represente um marco no enfrentamento das desigualdades raciais, o racismo institucional ainda persiste, limitando seu alcance e plena eficácia. As contribuições teóricas e metodológicas do trabalho concentram-se no aprofundamento da compreensão sobre a complexidade das ações afirmativas e na valorização da análise qualitativa como instrumento crítico de investigação. Do ponto de vista social, o estudo reforça a importância de políticas públicas comprometidas com a equidade racial, a justiça social e o fortalecimento de práticas institucionais mais inclusivas.</w:t>
      </w:r>
    </w:p>
    <w:p w14:paraId="49A7E75D">
      <w:pPr>
        <w:spacing w:line="240" w:lineRule="auto"/>
        <w:rPr>
          <w:b/>
          <w:sz w:val="20"/>
          <w:szCs w:val="20"/>
        </w:rPr>
      </w:pPr>
    </w:p>
    <w:p w14:paraId="1F8CF3E7">
      <w:pPr>
        <w:rPr>
          <w:sz w:val="20"/>
          <w:szCs w:val="20"/>
        </w:rPr>
      </w:pPr>
      <w:r>
        <w:rPr>
          <w:b/>
          <w:sz w:val="20"/>
          <w:szCs w:val="20"/>
        </w:rPr>
        <w:t xml:space="preserve">PALAVRAS-CHAVE: </w:t>
      </w:r>
      <w:r>
        <w:rPr>
          <w:sz w:val="20"/>
          <w:szCs w:val="20"/>
        </w:rPr>
        <w:t>Racismo Institucional. Cotas Étnico-raciais. Serviço Público.</w:t>
      </w:r>
    </w:p>
    <w:p w14:paraId="4C5739B9">
      <w:pPr>
        <w:rPr>
          <w:sz w:val="20"/>
          <w:szCs w:val="20"/>
        </w:rPr>
      </w:pPr>
    </w:p>
    <w:p w14:paraId="728560F8">
      <w:pPr>
        <w:rPr>
          <w:b/>
          <w:i/>
        </w:rPr>
      </w:pPr>
    </w:p>
    <w:p w14:paraId="7904CCFD">
      <w:pPr>
        <w:rPr>
          <w:b/>
          <w:i/>
        </w:rPr>
      </w:pPr>
      <w:r>
        <w:rPr>
          <w:b/>
          <w:i/>
        </w:rPr>
        <w:t>ABSTRACT</w:t>
      </w:r>
    </w:p>
    <w:p w14:paraId="4235A235">
      <w:pPr>
        <w:spacing w:line="240" w:lineRule="auto"/>
        <w:rPr>
          <w:sz w:val="20"/>
          <w:szCs w:val="20"/>
        </w:rPr>
      </w:pPr>
      <w:r>
        <w:rPr>
          <w:sz w:val="20"/>
          <w:szCs w:val="20"/>
        </w:rPr>
        <w:t>The present study aims to analyze Law No. 12,990/14 (Affirmative Action Law for the Federal Public Service) as an instrument of historical reparation and the promotion of social isonomy, seeking to assess its contribution to reducing ethnic-racial inequalities in access to federal civil service examinations. The research adopts a qualitative methodology, grounded in bibliographical and documentary review, with a theoretical-critical approach centered on studies of institutional racism and affirmative action policies in Brazil. This perspective enables an understanding of the law not merely as a legal instrument, but also as a political and social mechanism aimed at promoting racial justice. The study presents originality by filling a theoretical gap concerning the effectiveness of ethnic-racial quotas in the public service, contributing to the academic debate on social justice, cultural justice, and historical reparation. The relevance of the research lies in highlighting the need for more structured inclusion policies that are critically evaluated. The results indicate that, although Law No. 12,990/14 represents a milestone in addressing racial inequalities, institutional racism still persists, limiting its scope and full effectiveness. Theoretical and methodological contributions of this work focus on deepening the understanding of the complexity of affirmative actions and valuing qualitative analysis as a critical tool of investigation.</w:t>
      </w:r>
    </w:p>
    <w:p w14:paraId="15AC0FA4">
      <w:pPr>
        <w:spacing w:line="240" w:lineRule="auto"/>
        <w:rPr>
          <w:sz w:val="20"/>
          <w:szCs w:val="20"/>
        </w:rPr>
      </w:pPr>
    </w:p>
    <w:p w14:paraId="4EB6BDE2">
      <w:pPr>
        <w:rPr>
          <w:bCs/>
          <w:i/>
          <w:iCs/>
          <w:sz w:val="20"/>
          <w:szCs w:val="20"/>
        </w:rPr>
      </w:pPr>
      <w:r>
        <w:rPr>
          <w:b/>
          <w:i/>
          <w:iCs/>
          <w:sz w:val="20"/>
          <w:szCs w:val="20"/>
        </w:rPr>
        <w:t>KEYWORDS:</w:t>
      </w:r>
      <w:r>
        <w:rPr>
          <w:bCs/>
          <w:i/>
          <w:iCs/>
          <w:sz w:val="20"/>
          <w:szCs w:val="20"/>
        </w:rPr>
        <w:t xml:space="preserve"> Institutional Racism. Ethnic-Racial Quotas. Public Service. </w:t>
      </w:r>
    </w:p>
    <w:p w14:paraId="4977DFE0">
      <w:pPr>
        <w:rPr>
          <w:bCs/>
          <w:sz w:val="20"/>
          <w:szCs w:val="20"/>
        </w:rPr>
      </w:pPr>
    </w:p>
    <w:p w14:paraId="225A061E">
      <w:pPr>
        <w:rPr>
          <w:b/>
          <w:bCs/>
        </w:rPr>
      </w:pPr>
      <w:bookmarkStart w:id="6" w:name="INTRODUÇÃO"/>
      <w:bookmarkEnd w:id="6"/>
      <w:bookmarkStart w:id="7" w:name="Apesar_dos_avanços_conquistados_pela_lut"/>
      <w:bookmarkEnd w:id="7"/>
      <w:r>
        <w:rPr>
          <w:b/>
          <w:bCs/>
        </w:rPr>
        <w:t>1 INTRODUÇÃO</w:t>
      </w:r>
    </w:p>
    <w:p w14:paraId="72A96072">
      <w:pPr>
        <w:ind w:firstLine="708"/>
      </w:pPr>
      <w:r>
        <w:t>Apesar dos avanços conquistados pela luta antirracista desde o período da escravidão no Brasil, o racismo, sobretudo em forma institucional, ainda persiste no país. Por essa razão, são e continuam sendo necessárias políticas públicas e medidas legais específicas, voltadas a mitigar as consequências da discriminação étnico-racial (Ribeiro, 2022).</w:t>
      </w:r>
    </w:p>
    <w:p w14:paraId="66E5F46A">
      <w:pPr>
        <w:ind w:firstLine="708"/>
      </w:pPr>
      <w:bookmarkStart w:id="8" w:name="Nesse_contexto,_a_Lei_nº_12.990/2014,_po"/>
      <w:bookmarkEnd w:id="8"/>
      <w:r>
        <w:t>Nesse contexto, a Lei nº 12.990/14, popularmente chamada de Lei de Cotas para o Serviço Público Federal, foi criada com o objetivo de reduzir as desigualdades étnico-raciais no acesso ao serviço público, destinando 20% das vagas em concursos públicos para candidatos que se autodeclarem negros (pretos ou pardos), sempre que o total de vagas oferecidas for igual ou superior a três.</w:t>
      </w:r>
    </w:p>
    <w:p w14:paraId="1EDE8237">
      <w:pPr>
        <w:ind w:firstLine="708"/>
      </w:pPr>
      <w:bookmarkStart w:id="9" w:name="A_Lei_nº_12.990/2014_configura-se_como_u"/>
      <w:bookmarkEnd w:id="9"/>
      <w:r>
        <w:t>A Lei nº 12.990/14 configura-se como uma ação afirmativa destinada a tornar a composição racial do serviço público mais representativa da população brasileira, tornando necessária a implementação efetiva. Para compreender os impactos, é preciso analisar não apenas os efeitos, mas também as medidas que podem ampliar a aplicabilidade em âmbito nacional, garantindo o cumprimento da norma.</w:t>
      </w:r>
    </w:p>
    <w:p w14:paraId="59364D8C">
      <w:pPr>
        <w:ind w:firstLine="708"/>
      </w:pPr>
      <w:bookmarkStart w:id="10" w:name="Nesse_sentido,_o_presente_trabalho_tem_c"/>
      <w:bookmarkEnd w:id="10"/>
      <w:r>
        <w:t xml:space="preserve">Nesse sentido, o presente trabalho almeja </w:t>
      </w:r>
      <w:r>
        <w:rPr>
          <w:bCs/>
        </w:rPr>
        <w:t>discutir a relevância da Lei nº 12.990/14 (Lei de Cotas para o Serviço Público Federal) como instrumento de reparação histórica e de promoção da justiça cultural, buscando avaliar sua contribuição para a redução das desigualdades étnico-raciais no acesso aos concursos públicos federais.</w:t>
      </w:r>
      <w:r>
        <w:t xml:space="preserve"> Para isso, propõe-se conceituar o racismo institucional, examinar a legislação em questão, além de identificar os desafios e os problemas relacionados à sua efetivação, sugerindo possíveis soluções para superar tais obstáculos.</w:t>
      </w:r>
    </w:p>
    <w:p w14:paraId="1349DE56">
      <w:pPr>
        <w:ind w:firstLine="708"/>
      </w:pPr>
      <w:bookmarkStart w:id="11" w:name="Trata-se_de_uma_pesquisa_qualitativa,_de"/>
      <w:bookmarkEnd w:id="11"/>
      <w:r>
        <w:t>Trata-se de uma pesquisa qualitativa, de caráter bibliográfico e documental, embasada por consultas a artigos científicos, sites e veículos oficiais sobre os temas abordados, a saber: racismo, racismo institucional e Lei de Cotas. O objetivo é apresentar um conteúdo consistente e atualizado, privilegiando obras recentes que dialoguem com a temática estudada.</w:t>
      </w:r>
    </w:p>
    <w:p w14:paraId="10410926">
      <w:pPr>
        <w:ind w:firstLine="708"/>
      </w:pPr>
      <w:bookmarkStart w:id="12" w:name="Nesse_contexto,_ao_analisar_a_Lei_de_Cot"/>
      <w:bookmarkEnd w:id="12"/>
      <w:r>
        <w:t>Nesse contexto, ao analisar a Lei de Cotas e a sua implementação como instrumento de reparação histórica e de promoção da justiça cultural, emerge a seguinte questão: em que medida a Lei nº 12.990/14 tem efetivamente cumprido essa finalidade?</w:t>
      </w:r>
    </w:p>
    <w:p w14:paraId="2A08A51D">
      <w:pPr>
        <w:ind w:firstLine="708"/>
      </w:pPr>
      <w:bookmarkStart w:id="13" w:name="O_objetivo_geral_deste_trabalho_é_discut"/>
      <w:bookmarkEnd w:id="13"/>
      <w:r>
        <w:t>O objetivo geral deste trabalho é discutir as Ações Afirmativas, com ênfase na política de cota étnico-racial prevista na Lei nº 12.990/14, que passou por reavaliação em 2024, reforçando a relevância dessa modalidade de ação afirmativa.</w:t>
      </w:r>
    </w:p>
    <w:p w14:paraId="28B306C1">
      <w:pPr>
        <w:ind w:firstLine="708"/>
      </w:pPr>
      <w:bookmarkStart w:id="14" w:name="De_forma_específica,_busca-se_compreende"/>
      <w:bookmarkEnd w:id="14"/>
      <w:r>
        <w:t>De forma específica, busca-se compreender o conceito de Ações Afirmativas, o percurso histórico, a necessidade de aprimoramento dessas políticas, bem como o papel dos órgãos competentes na implementação de mecanismos para prevenir fraudes que permitam que indivíduos sem o perfil adequado se beneficiem indevidamente da política de cotas.</w:t>
      </w:r>
    </w:p>
    <w:p w14:paraId="683B9DB6">
      <w:pPr>
        <w:rPr>
          <w:b/>
          <w:bCs/>
        </w:rPr>
      </w:pPr>
    </w:p>
    <w:p w14:paraId="6C98A66F">
      <w:pPr>
        <w:rPr>
          <w:b/>
          <w:bCs/>
        </w:rPr>
      </w:pPr>
      <w:r>
        <w:rPr>
          <w:b/>
          <w:bCs/>
        </w:rPr>
        <w:t>1 AÇÕES AFIRMATIVAS: PERCURSO HISTÓRICO E A POLÍTICA DE COTAS NO BRASIL</w:t>
      </w:r>
    </w:p>
    <w:p w14:paraId="51903F18">
      <w:pPr>
        <w:ind w:firstLine="708"/>
      </w:pPr>
      <w:bookmarkStart w:id="15" w:name="A_Índia,_localizada_no_continente_asiáti"/>
      <w:bookmarkEnd w:id="15"/>
      <w:r>
        <w:t>A Índia, localizada no continente asiático e considerada um dos países mais populosos do mundo, tem como base ideológica o hinduísmo, associado à divisão da sociedade em castas: Brahmins, Kshatriyas, Vaishyas e Shudras, além dos Dalits, considerados pertencentes à casta mais baixa e conhecidos como os “intocáveis”. Historicamente, os Dalits foram privados de diversos direitos civis que garantissem dignidade humana e participação plena na vida econômica e social do país. Em razão dessa desigualdade, em 1948 foram criadas e implementadas Ações Afirmativas com o objetivo de amparar legalmente os indivíduos pertencentes a castas marginalizadas, oferecendo-lhes maior acesso ao ensino superior (Silva, 2003).</w:t>
      </w:r>
    </w:p>
    <w:p w14:paraId="25D150FD">
      <w:pPr>
        <w:ind w:firstLine="708"/>
      </w:pPr>
      <w:bookmarkStart w:id="16" w:name="Os_Estados_Unidos_da_América,_país_que_e"/>
      <w:bookmarkEnd w:id="16"/>
      <w:r>
        <w:t>Os Estados Unidos da América, país que explorou a população negra por vários séculos, inspirando-se em modelos como o da Índia, também implementaram políticas de cotas com o objetivo de promover reparação histórica, oferecendo oportunidades de emprego e educação aos descendentes de pessoas escravizadas. Em 6 de março de 1961, durante o governo do presidente John Fitzgerald Kennedy (1917–1963), essa iniciativa passou a ser formalmente denominada Ação Afirmativa (Moehlecke, 2002). Assim, a partir da implementação desse mecanismo, os negros passaram a ter acesso a oportunidades equivalentes às de todos os demais indivíduos qualificados no serviço público (Cashmore, 2000).</w:t>
      </w:r>
    </w:p>
    <w:p w14:paraId="6A1CC882">
      <w:pPr>
        <w:ind w:firstLine="708"/>
      </w:pPr>
      <w:bookmarkStart w:id="17" w:name="Nos_Estados_Unidos,_diversos_movimentos_"/>
      <w:bookmarkEnd w:id="17"/>
      <w:r>
        <w:t xml:space="preserve">Nos Estados Unidos, diversos movimentos liderados por afro-americanos pressionaram a Suprema Corte e outras instituições públicas a reconhecerem e apoiarem mecanismos voltados ao combate das diferentes formas de discriminação ainda presentes no país (Bowen e Bok, 2004). O presidente John F. Kennedy implementou e sancionou várias medidas legais destinadas a assegurar igualdade entre negros e brancos, tanto em termos de oportunidades quanto de dignidade de vida, alcançando êxitos parciais. Após o assassinato de Kennedy, em 1963, </w:t>
      </w:r>
      <w:r>
        <w:rPr>
          <w:rFonts w:hint="default"/>
          <w:lang w:val="pt-BR"/>
        </w:rPr>
        <w:t>o</w:t>
      </w:r>
      <w:r>
        <w:t xml:space="preserve"> sucessor, Lyndon Baines Johnson (1908–1973), empenhou-se em dar continuidade aos projetos legislativos voltados à inclusão e ao enfrentamento do racismo.</w:t>
      </w:r>
    </w:p>
    <w:p w14:paraId="6D4511D1">
      <w:pPr>
        <w:ind w:firstLine="708"/>
      </w:pPr>
      <w:bookmarkStart w:id="18" w:name="Durante_o_período_da_pandemia,_em_25_de_"/>
      <w:bookmarkEnd w:id="18"/>
      <w:r>
        <w:t>Durante o período da pandemia, em 25 de maio de 2020, o assassinato de George</w:t>
      </w:r>
    </w:p>
    <w:p w14:paraId="0DC98307">
      <w:r>
        <w:t>Floyd, um homem negro, pelo policial branco Derek Chauvin em Minneapolis, nos EUA, provocou comoção internacional (Manzano, 2021). Chauvin manteve o joelho sobre o pescoço de Floyd por quase nove minutos, enquanto ele permanecia algemado e suplicava: “não consigo respirar” e “não me mate”. O episódio expôs de forma dramática o racismo ainda presente na sociedade estadunidense e desencadeou inúmeros protestos contra a discriminação racial em diversos países. No Brasil, essas manifestações também repercutiram, evidenciando a persistência do racismo, tanto por parte de brancos quanto de negros, e os efeitos da baixa representatividade racial na sociedade.</w:t>
      </w:r>
    </w:p>
    <w:p w14:paraId="50D41CF8">
      <w:pPr>
        <w:ind w:firstLine="708"/>
      </w:pPr>
      <w:bookmarkStart w:id="19" w:name="O_Brasil_não_diferente_dos_EUA._Assim,_a"/>
      <w:bookmarkEnd w:id="19"/>
      <w:r>
        <w:t>O Brasil não diferente dos EUA. Assim, a inclusão de Ações Afirmativas é emergente e de alta importância, dado que o Brasil é o país fora da África com maior população negra do mundo.</w:t>
      </w:r>
      <w:bookmarkStart w:id="20" w:name="O_Brasil_tem_a_maior_população_negra_for"/>
      <w:bookmarkEnd w:id="20"/>
      <w:r>
        <w:t xml:space="preserve"> “O Brasil tem a maior população negra fora da África e a segunda maior do planeta. A Nigéria, com uma população estimada de oitenta e cinco milhões, é o único país do mundo com uma população negra maior que a brasileira” (Pereira, 2025, p. 1).</w:t>
      </w:r>
    </w:p>
    <w:p w14:paraId="5C936F07">
      <w:r>
        <w:t xml:space="preserve"> </w:t>
      </w:r>
      <w:bookmarkStart w:id="21" w:name="Dessa_forma,_os_obstáculos_historicament"/>
      <w:bookmarkEnd w:id="21"/>
      <w:r>
        <w:tab/>
      </w:r>
      <w:r>
        <w:t>Dessa forma, os obstáculos historicamente impostos à população negra começam a ser superados por meio de políticas públicas direcionadas, com o objetivo de promover a inclusão social, garantindo equidade e isonomia. Um marco significativo nesse processo foi a aprovação do Estatuto da Igualdade Racial, por meio da Lei nº 12.288/10, que estabelece a implementação de Programas de Ação Afirmativa voltados ao enfrentamento das desigualdades étnicas em diversos setores, especialmente na educação e no mercado de trabalho (Fernandes et al., 2021).</w:t>
      </w:r>
    </w:p>
    <w:p w14:paraId="1F175110">
      <w:pPr>
        <w:ind w:firstLine="708"/>
      </w:pPr>
      <w:bookmarkStart w:id="22" w:name="Outra_iniciativa_mais_conhecida_é_a_Lei_"/>
      <w:bookmarkEnd w:id="22"/>
      <w:r>
        <w:t>Outra iniciativa mais conhecida é a Lei nº 12.711/12, que reserva no mínimo 50% das vagas para ingresso nas universidades federais e nas instituições federais de ensino técnico de nível médio para estudantes que tenham cursado integralmente o ensino médio em escolas públicas. “O desdobramento positivo dessa ação afirmativa resultou no aumento da presença de estudantes negros nas universidades, que chegou a 50,3% em 2018” (Fernandes et al., 2021, p. 3).</w:t>
      </w:r>
    </w:p>
    <w:p w14:paraId="3D76AA45">
      <w:r>
        <w:t xml:space="preserve"> </w:t>
      </w:r>
      <w:bookmarkStart w:id="23" w:name="As_universidades_estaduais_do_Rio_de_Jan"/>
      <w:bookmarkEnd w:id="23"/>
      <w:r>
        <w:tab/>
      </w:r>
      <w:r>
        <w:t>As universidades estaduais do Rio de Janeiro, em particular a Universidade do Estado do Rio de Janeiro (UERJ) e a Universidade Estadual do Norte Fluminense Darcy Ribeiro (UENF), foram pioneiras na implementação da Política de Cotas Étnico-Raciais e Sociais. Essa iniciativa destinou vagas exclusivas a estudantes provenientes da rede pública estadual e à população negra, tendo sido adotada a partir do processo seletivo de 2002/2003 (Heringer, 2004; Amaral, 2006).</w:t>
      </w:r>
    </w:p>
    <w:p w14:paraId="162A6E50">
      <w:pPr>
        <w:ind w:firstLine="708"/>
      </w:pPr>
      <w:bookmarkStart w:id="24" w:name="É_importante_destacar_que_as_Cotas_Étnic"/>
      <w:bookmarkEnd w:id="24"/>
      <w:r>
        <w:t>É importante destacar que as Cotas Étnico-Raciais — ou seja, a reserva de vagas para negros — não constituem, por si só, Ações Afirmativas, mas representam uma das diversas modalidades dessas ações. Entre outras iniciativas, destacam-se os Núcleos de Estudos Afro-Brasileiros e Indígenas (NEABIs); a Lei nº 10.639/03, sancionada pelo presidente Luiz Inácio Lula da Silva, que tornou obrigatória a inclusão da História e da Cultura Africana e Afro-Brasileira nos currículos de Arte, História e Literatura; e a Lei nº 11.645/08, que ampliou essa obrigatoriedade, incluindo também o ensino da cultura indígena nos mesmos níveis de educação.</w:t>
      </w:r>
    </w:p>
    <w:p w14:paraId="74D6A32A">
      <w:pPr>
        <w:ind w:firstLine="708"/>
      </w:pPr>
      <w:bookmarkStart w:id="25" w:name="Outras_políticas_de_Ação_Afirmativa_incl"/>
      <w:bookmarkEnd w:id="25"/>
      <w:r>
        <w:t>Outras políticas de Ação Afirmativa incluem a criminalização do racismo no Brasil, por meio da Lei nº 7.716/89, conhecida como Lei de Crimes Raciais, que equipara discriminação racial e injúria racial a crimes de racismo; e a instituição do Dia da Consciência Negra, entre diversas outras medidas que reforçam a valorização da identidade negra.</w:t>
      </w:r>
    </w:p>
    <w:p w14:paraId="693E739F">
      <w:pPr>
        <w:ind w:firstLine="708"/>
      </w:pPr>
      <w:bookmarkStart w:id="26" w:name="O_advogado_e_filósofo_norte-americano_Jo"/>
      <w:bookmarkEnd w:id="26"/>
      <w:r>
        <w:t xml:space="preserve">O advogado e filósofo norte-americano John Rawls (1921–2002), docente da Universidade de Harvard e autor de obras como </w:t>
      </w:r>
      <w:r>
        <w:rPr>
          <w:i/>
        </w:rPr>
        <w:t xml:space="preserve">Teoria da Justiça </w:t>
      </w:r>
      <w:r>
        <w:t xml:space="preserve">(1971), </w:t>
      </w:r>
      <w:r>
        <w:rPr>
          <w:i/>
        </w:rPr>
        <w:t xml:space="preserve">Liberalismo Político </w:t>
      </w:r>
      <w:r>
        <w:t xml:space="preserve">(1993) e </w:t>
      </w:r>
      <w:r>
        <w:rPr>
          <w:i/>
        </w:rPr>
        <w:t xml:space="preserve">O Direito dos Povos </w:t>
      </w:r>
      <w:r>
        <w:t>(2001), apesar de não ser jurista, teve grande influência no desenvolvimento da Filosofia do Direito. Segundo Rawls, a investigação não deve buscar avaliar o sistema jurídico de forma independente da filosofia, mas sim identificar princípios que confiram legitimidade ao sistema jurídico vigente na sociedade (Dutra e Rohling, 2011).</w:t>
      </w:r>
    </w:p>
    <w:p w14:paraId="0A8CA433">
      <w:pPr>
        <w:ind w:firstLine="708"/>
      </w:pPr>
      <w:bookmarkStart w:id="27" w:name="A_posição_de_Rawls_em_relação_ao_contrat"/>
      <w:bookmarkEnd w:id="27"/>
      <w:r>
        <w:t>A posição de Rawls em relação ao contrato social proposto por Hobbes, Locke e Rousseau não é inteiramente positiva, pois o autor questiona o conceito de “estado de natureza”, utilizado como ponto de partida para a formulação do contrato social. Inversamente, Rawls desenvolve o conceito de “posição original”.</w:t>
      </w:r>
      <w:bookmarkStart w:id="28" w:name="Essa_abordagem_permite_uma_reavaliação_d"/>
      <w:bookmarkEnd w:id="28"/>
      <w:r>
        <w:t xml:space="preserve"> </w:t>
      </w:r>
    </w:p>
    <w:p w14:paraId="2AD459A6">
      <w:pPr>
        <w:ind w:firstLine="708"/>
      </w:pPr>
      <w:r>
        <w:t>Essa abordagem permite uma reavaliação do contrato social, incorporando as críticas e questionamentos que Rawls levanta. As diferenças entre as teorias de Rawls e as dos fundadores do contrato social refletem diretamente no entendimento de democracia, uma vez que a “posição original” não se limita a explicar o surgimento do contrato, mas introduz uma perspectiva de inovação e justiça social, segundo Rawls (Delgado e Basso, 2023).</w:t>
      </w:r>
      <w:bookmarkStart w:id="29" w:name="[...]_a_abordagem_ra-wlsiana_visa_“ajust"/>
      <w:bookmarkEnd w:id="29"/>
      <w:r>
        <w:t xml:space="preserve"> A [...] abordagem ra-wlsiana visa “ajustar” as diferenças em uma sociedade pluralista sem criticar as visões básicas das pes- soas sobre a vida, suas chamadas “doutrinas holísticas” ou “envolvê-las em discussões deliberativas” (Spitz, 2011, p. 55- </w:t>
      </w:r>
      <w:bookmarkStart w:id="30" w:name="John_Rawls_apresenta_dois_princípios_fun"/>
      <w:bookmarkEnd w:id="30"/>
      <w:r>
        <w:t>65).</w:t>
      </w:r>
    </w:p>
    <w:p w14:paraId="44C5B7A4">
      <w:pPr>
        <w:ind w:firstLine="708"/>
        <w:rPr>
          <w:highlight w:val="none"/>
        </w:rPr>
      </w:pPr>
      <w:r>
        <w:t>John Rawls apresenta dois princípios fundamentais em sua teoria. O primeiro é o princípio da igualdade, segundo o qual todos os indivíduos são iguais e devem gozar das mesmas liberdades básicas. O segundo, por sua vez, é o princípio da diferença, que enfatiza a necessidade de reduzir e corrigir as desigualdades sociais (Francelino, 2017). Essa concepção pode ser observada no seguinte trecho de sua obra:</w:t>
      </w:r>
      <w:bookmarkStart w:id="31" w:name="O_primeiro_princípio,_o_da_utilidade,_ag"/>
      <w:bookmarkEnd w:id="31"/>
      <w:r>
        <w:t xml:space="preserve"> O primeiro princípio, o da utilidade, age neste caso como um padrão de eficiência, instigando-nos a produzir o máximo que nos for possível, em circunstâncias iguais; ao passo que o segundo princípio serve como um padrão de justiça, forçando a busca do bem-estar coletivo e equilibrando a distribuição de vantagens</w:t>
      </w:r>
      <w:r>
        <w:rPr>
          <w:highlight w:val="none"/>
        </w:rPr>
        <w:t xml:space="preserve"> (Rawls,</w:t>
      </w:r>
      <w:r>
        <w:rPr>
          <w:rFonts w:hint="default"/>
          <w:highlight w:val="none"/>
          <w:lang w:val="pt-BR"/>
        </w:rPr>
        <w:t xml:space="preserve"> 2008)</w:t>
      </w:r>
      <w:r>
        <w:rPr>
          <w:highlight w:val="none"/>
        </w:rPr>
        <w:t xml:space="preserve">. </w:t>
      </w:r>
      <w:bookmarkStart w:id="32" w:name="Segundo_John_Rawls,_na_contemporaneidade"/>
      <w:bookmarkEnd w:id="32"/>
    </w:p>
    <w:p w14:paraId="7B4B28F4">
      <w:pPr>
        <w:ind w:firstLine="708"/>
      </w:pPr>
      <w:r>
        <w:t>Segundo John Rawls (2008), na contemporaneidade é necessário estruturar a sociedade com base em princípios de justiça social, sendo ideias desenvolvidas pelo autor uma inspiração para diversas políticas, incluindo as Ações Afirmativas. O pensamento Rawlsiano fundamenta-se em princípios de igu</w:t>
      </w:r>
      <w:bookmarkStart w:id="65" w:name="_GoBack"/>
      <w:bookmarkEnd w:id="65"/>
      <w:r>
        <w:t>aldade, alinhados à equidade e à valorização hierárquica dos cidadãos. Para Rawls, uma sociedade democrática deve assegurar igualdade de oportunidades e garantir a distribuição de benefícios sociais àqueles que possuem menor privilégio, constituindo tais princípios como guias para a construção de uma sociedade justa. Nesse contexto, os indivíduos que detêm maiores privilégios deveriam ceder parte dos benefícios que detém, em favor daqueles em situação de maior vulnerabilidade social, contribuindo para a redução das desigualdades socioeconômicas (Pinheiro, 2014).</w:t>
      </w:r>
      <w:bookmarkStart w:id="33" w:name="As_ações_afirmativas_podem_ser_conceitua"/>
      <w:bookmarkEnd w:id="33"/>
      <w:r>
        <w:t xml:space="preserve"> “As ações afirmativas podem ser conceituadas como o conjunto de medidas adotadas por um país, com um objetivo de erradicar ou mitigar ao máximo desigualdades históricas, garantindo a igualdade de oportunidades e tratamento” (Pinheiro, 2014, p. 13).</w:t>
      </w:r>
    </w:p>
    <w:p w14:paraId="0D6F1ADF">
      <w:pPr>
        <w:ind w:firstLine="708"/>
      </w:pPr>
      <w:bookmarkStart w:id="34" w:name="Dessa_forma,_os_princípios_que_fundament"/>
      <w:bookmarkEnd w:id="34"/>
      <w:r>
        <w:t>Dessa forma, os princípios que fundamentam as cotas étnico-raciais, em especial a Lei nº 12.990/14, alinham-se à teoria de Rawls sobre equidade, isonomia e justiça social. As Ações Afirmativas materializam o princípio da igualdade, funcionando como um instrumento de reparação histórica para grupos em situação de vulnerabilidade social, que não possuem condições de competir em igualdade com os demais, como é o caso dos descendentes de pessoas escravizadas.</w:t>
      </w:r>
    </w:p>
    <w:p w14:paraId="7A6684CC">
      <w:pPr>
        <w:spacing w:line="240" w:lineRule="auto"/>
        <w:ind w:left="2268"/>
        <w:rPr>
          <w:sz w:val="20"/>
          <w:szCs w:val="20"/>
        </w:rPr>
      </w:pPr>
      <w:bookmarkStart w:id="35" w:name="A_meritocracia_em_uma_sociedade_desigual"/>
      <w:bookmarkEnd w:id="35"/>
      <w:r>
        <w:rPr>
          <w:sz w:val="20"/>
          <w:szCs w:val="20"/>
        </w:rPr>
        <w:t>A meritocracia em uma sociedade desigual, como a brasileira, traz sérios prejuízos para o desenvolvimento de todo o país. Quando não se tem um sistema capaz para atender todos seus cidadãos com eficiência, a injustiça se torna presente na realidade das minorias marginalizadas, e estas não tendo oportunidades de ascensão social criam um ciclo-vicioso de injustiças (Francelino, 2017, p. 1300).</w:t>
      </w:r>
    </w:p>
    <w:p w14:paraId="609F1BD2">
      <w:pPr>
        <w:spacing w:line="240" w:lineRule="auto"/>
        <w:ind w:left="2268"/>
        <w:rPr>
          <w:sz w:val="20"/>
          <w:szCs w:val="20"/>
        </w:rPr>
      </w:pPr>
    </w:p>
    <w:p w14:paraId="4A017142">
      <w:pPr>
        <w:ind w:firstLine="708"/>
      </w:pPr>
      <w:bookmarkStart w:id="36" w:name="Dessa_forma,_com_o_objetivo_de_promover_"/>
      <w:bookmarkEnd w:id="36"/>
      <w:r>
        <w:t>Dessa forma, com o objetivo de promover a igualdade material e assegurar o acesso de pessoas negras a cargos por meio de concursos públicos, foi sancionada a Lei nº 12.990, em 9 de junho de 2014. A legislação reserva 20% das vagas dos certames para nomeação em cargos efetivos na administração pública federal, incluindo autarquias, fundações públicas, empresas públicas e sociedades de economia mista controladas pela União.</w:t>
      </w:r>
    </w:p>
    <w:p w14:paraId="3462C13A">
      <w:pPr>
        <w:spacing w:line="240" w:lineRule="auto"/>
        <w:ind w:left="2124"/>
        <w:rPr>
          <w:sz w:val="20"/>
          <w:szCs w:val="20"/>
        </w:rPr>
      </w:pPr>
      <w:bookmarkStart w:id="37" w:name="Entretanto,_a_cota_racial_possui_um_praz"/>
      <w:bookmarkEnd w:id="37"/>
      <w:r>
        <w:rPr>
          <w:sz w:val="20"/>
          <w:szCs w:val="20"/>
        </w:rPr>
        <w:t>Entretanto, a cota racial possui um prazo de vigência de 10 anos. Após esse período, realiza-se uma avaliação da eficácia da política pública, a fim de verificar seus resultados positivos ou negativos. Em 2024, com base nos dados sobre a reserva de vagas prevista na Lei nº 12.990/2014, que demonstraram impactos positivos na inclusão de negros e negras no funcionalismo público federal, o Supremo Tribunal Federal decidiu que “[...] o Senado Federal reconheceu que a ação afirmativa iniciada pela Lei n° 12.990, de 09 de junho de 2014, ainda não atingiu seu objetivo, necessitando ser continuada” (Dino, 2024, p. 8).</w:t>
      </w:r>
    </w:p>
    <w:p w14:paraId="0926EA29">
      <w:pPr>
        <w:spacing w:line="240" w:lineRule="auto"/>
        <w:ind w:left="2124"/>
        <w:rPr>
          <w:sz w:val="20"/>
          <w:szCs w:val="20"/>
        </w:rPr>
      </w:pPr>
    </w:p>
    <w:p w14:paraId="4B9B9627">
      <w:pPr>
        <w:ind w:firstLine="708"/>
      </w:pPr>
      <w:bookmarkStart w:id="38" w:name="É_importante_destacar_a_relevância_do_ra"/>
      <w:bookmarkEnd w:id="38"/>
      <w:r>
        <w:t>É importante destacar a relevância do racismo institucional, responsável por gerar desigualdade de tratamento entre a população negra e branca nas instituições. Contudo, antes disso, torna-se fundamental compreender como se formou a lógica racial no Brasil, a fim de entender de que maneira as práticas e discursos que estruturaram as relações de poder atuais contribuem para a produção da subjetividade do racismo, incluindo o racismo institucional (Maia e Zamora, 2018).</w:t>
      </w:r>
    </w:p>
    <w:p w14:paraId="2ADC25F8">
      <w:pPr>
        <w:ind w:firstLine="708"/>
      </w:pPr>
      <w:bookmarkStart w:id="39" w:name="O_racismo_no_Brasil,_assim_como_em_diver"/>
      <w:bookmarkEnd w:id="39"/>
      <w:r>
        <w:t>O racismo no Brasil, assim como em diversos outros países, decorre de um conjunto complexo de fatores, incluindo a imposição da supremacia branca, voltada à manutenção de uma mão de obra escravizada e silenciada. Dessa forma, o legado da colonização, tanto no Brasil quanto em outros países da América Latina, resulta em uma realidade contemporânea marcada pela persistência do racismo e pela divisão da sociedade baseada em critérios raciais (Werneck, 2016).</w:t>
      </w:r>
    </w:p>
    <w:p w14:paraId="29D28147">
      <w:pPr>
        <w:ind w:firstLine="708"/>
      </w:pPr>
      <w:bookmarkStart w:id="40" w:name="No_entanto,_algumas_abordagens_considera"/>
      <w:bookmarkEnd w:id="40"/>
      <w:r>
        <w:t>No entanto, algumas abordagens consideram o racismo como um fenômeno institucional e estrutural, uma vez que ele não se limita à consciência individual, mas também molda a ideologia do inconsciente. Assim, a ação dos indivíduos, mesmo quando conscientes, ocorre dentro de uma estrutura social historicamente impregnada de padrões raciais (Scholz, 1996).</w:t>
      </w:r>
    </w:p>
    <w:p w14:paraId="5AA95FBA">
      <w:pPr>
        <w:ind w:firstLine="708"/>
      </w:pPr>
      <w:r>
        <w:t xml:space="preserve"> Em outras palavras, a dimensão cultural e política na qual os indivíduos se reconhecem enquanto sujeitos autoconscientes e formam afetos é constituída por normas raciais presentes no imaginário coletivo e nas práticas sociais cotidianas (Schucman, 2018). Dessa forma, a vida “normal”, os afetos e as “verdades” são inevitavelmente atravessados pelo racismo, que não depende de uma ação consciente para se manifestar (Almeida, 2009, p.420).</w:t>
      </w:r>
    </w:p>
    <w:p w14:paraId="21AFC078">
      <w:pPr>
        <w:spacing w:line="240" w:lineRule="auto"/>
        <w:ind w:left="2268"/>
        <w:rPr>
          <w:sz w:val="20"/>
          <w:szCs w:val="20"/>
        </w:rPr>
      </w:pPr>
      <w:bookmarkStart w:id="41" w:name="O_racismo_constitui_todo_um_complexo_ima"/>
      <w:bookmarkEnd w:id="41"/>
      <w:r>
        <w:rPr>
          <w:sz w:val="20"/>
          <w:szCs w:val="20"/>
        </w:rPr>
        <w:t>O racismo constitui todo um complexo imaginário social que a todo momento é reforçado pelos meios de comunicação, pela indústria cultural e pelo sistema educacional. Após anos vendo telenovelas brasileiras, um indivíduo vai acabar se convencendo de que mulheres negras têm uma vocação natural para o trabalho doméstico, que a personalidade de homens negros oscila invariavelmente entre criminosos e pessoas profundamente ingênuas, ou que homens brancos sempre têm personalidades complexas e são líderes natos, meticulosos e racionais em suas ações. E a escola reforça todas essas percepções ao apresentar um mundo em que negros e negras não têm muitas contribuições importantes para a história, literatura, ciência e afins, resumindo-se a comemorar a própria libertação graças à bondade de brancos conscientes.</w:t>
      </w:r>
    </w:p>
    <w:p w14:paraId="6E7792E2">
      <w:r>
        <w:t xml:space="preserve"> </w:t>
      </w:r>
    </w:p>
    <w:p w14:paraId="30C49061">
      <w:pPr>
        <w:ind w:firstLine="708"/>
      </w:pPr>
      <w:bookmarkStart w:id="42" w:name="Nesse_contexto,_evidencia-se_a_necessida"/>
      <w:bookmarkEnd w:id="42"/>
      <w:r>
        <w:t>Nesse contexto, evidencia-se a necessidade de intervenção do poder público por meio de Políticas de Ações Afirmativas, que são políticas públicas focalizadas voltadas ao combate às discriminações étnicas, raciais, de gênero, religiosas, de classe e de casta.</w:t>
      </w:r>
      <w:bookmarkStart w:id="43" w:name="A_aplicação_da_Lei_nº_12.990/2014_nas_in"/>
      <w:bookmarkEnd w:id="43"/>
    </w:p>
    <w:p w14:paraId="7BB56896">
      <w:pPr>
        <w:ind w:firstLine="708"/>
      </w:pPr>
      <w:r>
        <w:t>A aplicação da Lei nº 12.990/14 nas instituições federais tem despertado atenção da comunidade científica, devido às dificuldades enfrentadas. Entre os fatores que dificultam a implementação destacam-se a combinação do racismo institucional com a ideologia do mérito, que compromete a efetividade da norma. Muitas vezes, sequer são observados os dispositivos legais que garantem a plena eficácia, especialmente em concursos públicos de regime temporário nas instituições federais, onde legalmente não há obrigação de aplicar a política de cotas raciais (Santos et al., 2022).</w:t>
      </w:r>
      <w:bookmarkStart w:id="44" w:name="2-BANCAS_DE_HETEROIDENTIFICAÇÃO_COMO_INS"/>
      <w:bookmarkEnd w:id="44"/>
    </w:p>
    <w:p w14:paraId="7D3EE8A1">
      <w:pPr>
        <w:ind w:firstLine="708"/>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 Movimento Negro </w:t>
      </w:r>
      <w:r>
        <w:rPr>
          <w:rFonts w:hint="default" w:eastAsia="SimSun" w:cs="Times New Roman"/>
          <w:sz w:val="24"/>
          <w:szCs w:val="24"/>
          <w:lang w:val="pt-BR"/>
        </w:rPr>
        <w:t>, é</w:t>
      </w:r>
      <w:r>
        <w:rPr>
          <w:rFonts w:hint="default" w:ascii="Times New Roman" w:hAnsi="Times New Roman" w:eastAsia="SimSun" w:cs="Times New Roman"/>
          <w:sz w:val="24"/>
          <w:szCs w:val="24"/>
        </w:rPr>
        <w:t xml:space="preserve"> o </w:t>
      </w:r>
      <w:r>
        <w:rPr>
          <w:rFonts w:hint="default" w:eastAsia="SimSun" w:cs="Times New Roman"/>
          <w:sz w:val="24"/>
          <w:szCs w:val="24"/>
          <w:lang w:val="pt-BR"/>
        </w:rPr>
        <w:t xml:space="preserve"> protesto </w:t>
      </w:r>
      <w:r>
        <w:rPr>
          <w:rFonts w:hint="default" w:ascii="Times New Roman" w:hAnsi="Times New Roman" w:eastAsia="SimSun" w:cs="Times New Roman"/>
          <w:sz w:val="24"/>
          <w:szCs w:val="24"/>
        </w:rPr>
        <w:t xml:space="preserve"> social </w:t>
      </w:r>
      <w:r>
        <w:rPr>
          <w:rFonts w:hint="default" w:eastAsia="SimSun" w:cs="Times New Roman"/>
          <w:sz w:val="24"/>
          <w:szCs w:val="24"/>
          <w:lang w:val="pt-BR"/>
        </w:rPr>
        <w:t>mais antigo Brasil</w:t>
      </w:r>
      <w:r>
        <w:rPr>
          <w:rFonts w:hint="default" w:ascii="Times New Roman" w:hAnsi="Times New Roman" w:eastAsia="SimSun" w:cs="Times New Roman"/>
          <w:sz w:val="24"/>
          <w:szCs w:val="24"/>
        </w:rPr>
        <w:t xml:space="preserve">, cujas origens remontam ao período escravocrata. Desde então, tem denunciado as violências e injustiças sofridas pelos africanos e </w:t>
      </w:r>
      <w:r>
        <w:rPr>
          <w:rFonts w:hint="default" w:eastAsia="SimSun" w:cs="Times New Roman"/>
          <w:sz w:val="24"/>
          <w:szCs w:val="24"/>
          <w:lang w:val="pt-BR"/>
        </w:rPr>
        <w:t xml:space="preserve"> </w:t>
      </w:r>
      <w:r>
        <w:rPr>
          <w:rFonts w:hint="default" w:ascii="Times New Roman" w:hAnsi="Times New Roman" w:eastAsia="SimSun" w:cs="Times New Roman"/>
          <w:sz w:val="24"/>
          <w:szCs w:val="24"/>
        </w:rPr>
        <w:t xml:space="preserve"> descendentes, vítimas do sequestro e da escravidão em território brasileiro</w:t>
      </w:r>
      <w:r>
        <w:rPr>
          <w:rFonts w:hint="default" w:eastAsia="SimSun" w:cs="Times New Roman"/>
          <w:sz w:val="24"/>
          <w:szCs w:val="24"/>
          <w:lang w:val="pt-BR"/>
        </w:rPr>
        <w:t xml:space="preserve"> (Gomes,2005)</w:t>
      </w:r>
      <w:r>
        <w:rPr>
          <w:rFonts w:hint="default" w:ascii="Times New Roman" w:hAnsi="Times New Roman" w:eastAsia="SimSun" w:cs="Times New Roman"/>
          <w:sz w:val="24"/>
          <w:szCs w:val="24"/>
        </w:rPr>
        <w:t>.</w:t>
      </w:r>
    </w:p>
    <w:p w14:paraId="287BC1E1">
      <w:pPr>
        <w:ind w:firstLine="708"/>
        <w:rPr>
          <w:rFonts w:hint="default" w:ascii="Times New Roman" w:hAnsi="Times New Roman" w:cs="Times New Roman"/>
          <w:color w:val="EE0000"/>
        </w:rPr>
      </w:pPr>
      <w:r>
        <w:rPr>
          <w:rFonts w:hint="default" w:ascii="Times New Roman" w:hAnsi="Times New Roman" w:eastAsia="SimSun" w:cs="Times New Roman"/>
          <w:sz w:val="24"/>
          <w:szCs w:val="24"/>
          <w:lang w:val="pt-BR"/>
        </w:rPr>
        <w:t>Contemporaneamente</w:t>
      </w:r>
      <w:r>
        <w:rPr>
          <w:rFonts w:hint="default" w:ascii="Times New Roman" w:hAnsi="Times New Roman" w:eastAsia="SimSun" w:cs="Times New Roman"/>
          <w:sz w:val="24"/>
          <w:szCs w:val="24"/>
        </w:rPr>
        <w:t>, fruto de lutas históricas, a população negra conquistou políticas públicas voltadas à redução dos efeitos da escravidão, como as cotas raciais implantadas inicialmente nas universidades</w:t>
      </w:r>
      <w:r>
        <w:rPr>
          <w:rFonts w:hint="default" w:ascii="Times New Roman" w:hAnsi="Times New Roman" w:eastAsia="SimSun" w:cs="Times New Roman"/>
          <w:sz w:val="24"/>
          <w:szCs w:val="24"/>
          <w:lang w:val="pt-BR"/>
        </w:rPr>
        <w:t xml:space="preserve"> mediante a Lei </w:t>
      </w:r>
      <w:r>
        <w:rPr>
          <w:rStyle w:val="13"/>
          <w:rFonts w:hint="default" w:ascii="Times New Roman" w:hAnsi="Times New Roman" w:eastAsia="SimSun" w:cs="Times New Roman"/>
          <w:b w:val="0"/>
          <w:bCs w:val="0"/>
          <w:sz w:val="24"/>
          <w:szCs w:val="24"/>
        </w:rPr>
        <w:t>nº 12.711/2012</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rPr>
        <w:t xml:space="preserve">e, </w:t>
      </w:r>
      <w:r>
        <w:rPr>
          <w:rFonts w:hint="default" w:ascii="Times New Roman" w:hAnsi="Times New Roman" w:eastAsia="SimSun" w:cs="Times New Roman"/>
          <w:sz w:val="24"/>
          <w:szCs w:val="24"/>
          <w:lang w:val="pt-BR"/>
        </w:rPr>
        <w:t xml:space="preserve">a posteriore, </w:t>
      </w:r>
      <w:r>
        <w:rPr>
          <w:rFonts w:hint="default" w:ascii="Times New Roman" w:hAnsi="Times New Roman" w:eastAsia="SimSun" w:cs="Times New Roman"/>
          <w:sz w:val="24"/>
          <w:szCs w:val="24"/>
        </w:rPr>
        <w:t>no mercado de trabalho</w:t>
      </w:r>
      <w:r>
        <w:rPr>
          <w:rFonts w:hint="default" w:ascii="Times New Roman" w:hAnsi="Times New Roman" w:eastAsia="SimSun" w:cs="Times New Roman"/>
          <w:sz w:val="24"/>
          <w:szCs w:val="24"/>
          <w:lang w:val="pt-BR"/>
        </w:rPr>
        <w:t xml:space="preserve"> media a lei nº12/990 do ano de 2014</w:t>
      </w:r>
      <w:r>
        <w:rPr>
          <w:rFonts w:hint="default" w:ascii="Times New Roman" w:hAnsi="Times New Roman" w:eastAsia="SimSun" w:cs="Times New Roman"/>
          <w:sz w:val="24"/>
          <w:szCs w:val="24"/>
        </w:rPr>
        <w:t>.</w:t>
      </w:r>
    </w:p>
    <w:p w14:paraId="599C37F3">
      <w:pPr>
        <w:rPr>
          <w:b/>
          <w:bCs/>
        </w:rPr>
      </w:pPr>
      <w:r>
        <w:rPr>
          <w:b/>
          <w:bCs/>
        </w:rPr>
        <w:t>2 BANCAS DE HETEROIDENTIFICAÇÃO COMO INSTRUMENTOS DE PREVENÇÃO ÀS FRAUDES</w:t>
      </w:r>
    </w:p>
    <w:p w14:paraId="591B3CA4">
      <w:pPr>
        <w:ind w:firstLine="360"/>
      </w:pPr>
      <w:bookmarkStart w:id="45" w:name="As_políticas_de_cotas_para_negros_e_negr"/>
      <w:bookmarkEnd w:id="45"/>
      <w:r>
        <w:t>As políticas de cotas para negros e negras, somadas aos recorrentes casos de denúncias de fraudes em processos seletivos na modalidade cor/etnia, levaram à criação das bancas de heteroidentificação. Esses órgãos têm a função de verificar se o candidato que optou pela cota étnico-racial atende, de fato, aos critérios estabelecidos, avaliando o enquadramento segundo os parâmetros étnicos definidos pelos examinadores da banca (Braga, 2021).</w:t>
      </w:r>
    </w:p>
    <w:p w14:paraId="04F257D8">
      <w:pPr>
        <w:ind w:firstLine="360"/>
      </w:pPr>
      <w:bookmarkStart w:id="46" w:name="A_partir_de_2004,_as_universidades_feder"/>
      <w:bookmarkEnd w:id="46"/>
      <w:r>
        <w:t>A partir de 2004, as universidades federais foram pioneiras na implementação de bancas de verificação para atestar ou não a autodeclaração de candidatos como negros, gerando intenso debate social e acadêmico. Inicialmente adotada pela Universidade de Brasília (UnB), a prática foi posteriormente incorporada pela Universidade Federal do Paraná (UFPR) e pela Universidade Federal do Maranhão (UFMA) (Santos, 2021).</w:t>
      </w:r>
    </w:p>
    <w:p w14:paraId="60209B09">
      <w:pPr>
        <w:ind w:firstLine="360"/>
      </w:pPr>
      <w:bookmarkStart w:id="47" w:name="Como_a_política_de_cotas_não_se_restring"/>
      <w:bookmarkEnd w:id="47"/>
      <w:r>
        <w:t>Como a política de cotas não se restringe apenas ao ingresso em universidades públicas, mas também se estende aos concursos públicos, diversas leis foram criadas para garantir a aplicação dessa modalidade de ação afirmativa, prevendo, ainda, sanções para aqueles que tentam burlá-la.</w:t>
      </w:r>
    </w:p>
    <w:p w14:paraId="0D24CBDE">
      <w:pPr>
        <w:spacing w:line="240" w:lineRule="auto"/>
        <w:ind w:left="2268"/>
        <w:rPr>
          <w:sz w:val="20"/>
          <w:szCs w:val="20"/>
        </w:rPr>
      </w:pPr>
      <w:bookmarkStart w:id="48" w:name="Art._1º_Os_membros_do_Ministério_Público"/>
      <w:bookmarkEnd w:id="48"/>
      <w:r>
        <w:rPr>
          <w:sz w:val="20"/>
          <w:szCs w:val="20"/>
        </w:rPr>
        <w:t xml:space="preserve">Art. 1º Os membros do Ministério Público brasileiro devem dar especial atenção aos casos de fraude nos sistemas de cotas para acesso às universidades e cargos públicos – nos termos das Leis ns.12.711/2012 e 12.990/2014, bem como da legislação estadual e municipal pertinentes –, atuando para reprimi-los, nos autos de procedimentos instaurados com essa finalidade, e preveni-los, especialmente pela cobrança, junto aos órgãos que realizam os vestibulares e concursos públicos, da previsão, nos respectivos editais, de mecanismos de fiscalização e controle, sobre os quais deve se dar ampla publicidade, a fim de permitir a participação da sociedade civil com vistas à correta implementação dessas ações afirmativas </w:t>
      </w:r>
      <w:bookmarkStart w:id="49" w:name="As_bancas_de_heteroidentificação_promove"/>
      <w:bookmarkEnd w:id="49"/>
      <w:r>
        <w:rPr>
          <w:sz w:val="20"/>
          <w:szCs w:val="20"/>
        </w:rPr>
        <w:t>(Brasil, 2016, p. 4-5).</w:t>
      </w:r>
    </w:p>
    <w:p w14:paraId="5B8EECDE">
      <w:pPr>
        <w:spacing w:line="240" w:lineRule="auto"/>
        <w:ind w:left="2124"/>
        <w:rPr>
          <w:sz w:val="20"/>
          <w:szCs w:val="20"/>
        </w:rPr>
      </w:pPr>
    </w:p>
    <w:p w14:paraId="57ADCD14">
      <w:pPr>
        <w:ind w:firstLine="708"/>
      </w:pPr>
      <w:r>
        <w:t>As bancas de heteroidentificação promovem uma análise criteriosa, a partir do olhar de avaliadores qualificados, do fenótipo do candidato em processos seletivos para ingresso em universidades, faculdades, escolas ou concursos públicos. Dessa forma, não desconsideram nem invalidam a autodeclaração do candidato, entretanto:</w:t>
      </w:r>
    </w:p>
    <w:p w14:paraId="43EC54D4">
      <w:pPr>
        <w:ind w:firstLine="708"/>
      </w:pPr>
    </w:p>
    <w:p w14:paraId="41A15268">
      <w:pPr>
        <w:spacing w:line="240" w:lineRule="auto"/>
        <w:ind w:left="2268"/>
        <w:rPr>
          <w:sz w:val="20"/>
          <w:szCs w:val="20"/>
        </w:rPr>
      </w:pPr>
      <w:bookmarkStart w:id="50" w:name="Enfatiza,_para_os_efeitos,_jurídicos_e_p"/>
      <w:bookmarkEnd w:id="50"/>
      <w:r>
        <w:rPr>
          <w:sz w:val="20"/>
          <w:szCs w:val="20"/>
        </w:rPr>
        <w:t>Enfatiza, para os efeitos, jurídicos e políticos, perquiridos de destinação das ações afirmativas qual ou quais daquelas (es) candidatas (os) apresenta uma leitura pública de pertencimento afro-brasileiro, negro (a), ressalvando que, em que pesem a deliciosa e a rica mistura racial do país e a grande miscigenação nacional, as pessoas pretas são facilmente identificáveis nas estatísticas das vítimas da discriminação racial, da violência policial e nas pesquisas sobre dados da desigualdade social em diferentes âmbitos da vida brasileira, principalmente na busca por emprego decente no mundo do trabalho (Braga, 2021, p. 8).</w:t>
      </w:r>
    </w:p>
    <w:p w14:paraId="15CD6D32">
      <w:pPr>
        <w:spacing w:line="240" w:lineRule="auto"/>
        <w:ind w:left="2268"/>
        <w:rPr>
          <w:sz w:val="20"/>
          <w:szCs w:val="20"/>
        </w:rPr>
      </w:pPr>
    </w:p>
    <w:p w14:paraId="64E326F6">
      <w:pPr>
        <w:ind w:firstLine="708"/>
      </w:pPr>
      <w:bookmarkStart w:id="51" w:name="Portanto,_a_simples_autodeclaração_como_"/>
      <w:bookmarkEnd w:id="51"/>
      <w:r>
        <w:t>Portanto, a simples autodeclaração como pardo ou preto não garante acesso automático às vagas de concursos públicos por meio das cotas étnico-raciais. Isso ocorre porque nem todos os autodeclarados negros enfrentam, de fato, os impactos da discriminação racial, uma vez que indivíduos pardos podem apresentar diferentes fenótipos, e a discriminação frequentemente se manifesta a partir da percepção alheia, e não da forma como a própria pessoa se reconhece (Telles e Lim, 1998).</w:t>
      </w:r>
    </w:p>
    <w:p w14:paraId="795A9AA2">
      <w:pPr>
        <w:ind w:firstLine="708"/>
      </w:pPr>
      <w:bookmarkStart w:id="52" w:name="É_importante_destacar_a_questão_da_moren"/>
      <w:bookmarkEnd w:id="52"/>
      <w:r>
        <w:t>É importante destacar a questão da morenidade, uma vez que, ao longo do processo de verificação da negritude dos candidatos às vagas em programas de cotas, surgem questionamentos sobre o direito de pessoas pardas acessarem os benefícios destinados a negros, considerando que o pardo não se enquadra na classificação de branco (Braga, 2021).</w:t>
      </w:r>
    </w:p>
    <w:p w14:paraId="07DAE0B0">
      <w:pPr>
        <w:ind w:firstLine="708"/>
      </w:pPr>
      <w:bookmarkStart w:id="53" w:name="Mesmo_que_constem_em_Leis_soberanas_e_no"/>
      <w:bookmarkEnd w:id="53"/>
      <w:r>
        <w:t>Mesmo que constem em Leis soberanas e no aparato jurídico-normativo e, principalmente, sejam descendentes da miscigenação brasileira, cabocla ou mulata (este termo entrou em desuso por causa d</w:t>
      </w:r>
      <w:r>
        <w:rPr>
          <w:rFonts w:hint="default"/>
          <w:lang w:val="pt-BR"/>
        </w:rPr>
        <w:t>o</w:t>
      </w:r>
      <w:r>
        <w:t xml:space="preserve"> viés pejorativo), na medida em que há um grupo de pardos mais próximos de características fenotípicas brancas (cor da pele, pelagem e demais traços físicos) que não são atingidos pelo racismo e nem configuram dinâmicas de desigualdades raciais no mundo do trabalho, no transporte público, nas abordagens policiais e nem nas projeções das mídias. </w:t>
      </w:r>
    </w:p>
    <w:p w14:paraId="1B3B4EED">
      <w:pPr>
        <w:ind w:firstLine="708"/>
      </w:pPr>
    </w:p>
    <w:p w14:paraId="62F3D7A0">
      <w:pPr>
        <w:spacing w:line="240" w:lineRule="auto"/>
        <w:ind w:left="2268"/>
        <w:rPr>
          <w:sz w:val="20"/>
          <w:szCs w:val="20"/>
        </w:rPr>
      </w:pPr>
      <w:r>
        <w:rPr>
          <w:sz w:val="20"/>
          <w:szCs w:val="20"/>
        </w:rPr>
        <w:t xml:space="preserve">Alguns grupos de pardos não carecem, assim, acessar políticas públicas destinadas a reparar o trauma da segregação racial os quais não sofrem, como os brancos são maioria entre as pessoas de nível socioeconômico mais elevado e no Brasil há uma forte endogamia de classe, os não brancos que atingem mobilidade social não têm muitas opções que não se casar com brancos. Entre eles, os pardos seriam os mais propensos a fazê-lo, uma vez que o fato de serem vistos como estética e culturalmente mais próximos dos brancos aumenta as suas chances de incorporação a uma elite que impõe a branquidade como padrão (Schwartzman, 2007, </w:t>
      </w:r>
      <w:r>
        <w:rPr>
          <w:i/>
          <w:iCs/>
          <w:sz w:val="20"/>
          <w:szCs w:val="20"/>
        </w:rPr>
        <w:t xml:space="preserve">apud </w:t>
      </w:r>
      <w:r>
        <w:rPr>
          <w:sz w:val="20"/>
          <w:szCs w:val="20"/>
        </w:rPr>
        <w:t>Daflon; Carvalhaes; Júnior, 2017, p. 31).</w:t>
      </w:r>
    </w:p>
    <w:p w14:paraId="455A95C6">
      <w:pPr>
        <w:spacing w:line="240" w:lineRule="auto"/>
        <w:ind w:left="2124"/>
        <w:rPr>
          <w:sz w:val="20"/>
          <w:szCs w:val="20"/>
        </w:rPr>
      </w:pPr>
    </w:p>
    <w:p w14:paraId="3FA3FD80">
      <w:pPr>
        <w:ind w:firstLine="708"/>
      </w:pPr>
      <w:bookmarkStart w:id="54" w:name="Pessoas_pardas,_quando_avaliadas_pelas_b"/>
      <w:bookmarkEnd w:id="54"/>
      <w:r>
        <w:t>Pessoas pardas, quando avaliadas pelas bancas de heteroidentificação, muitas vezes são percebidas como brancas, apesar de os editais garantirem sua participação plena nas etapas seletivas destinadas à categoria negro (preto/pardo). Embora não se enquadrem como brancas, os pardos frequentemente conseguem maior mobilidade social, conseguindo superar barreiras discriminatórias que uma parcela significativa da população preta de pele retinta enfrenta. Esse trânsito entre identidades raciais e sociais proporciona aos pardos oportunidades e possibilidades que não estão igualmente disponíveis para indivíduos de pele mais escura (Braga, 2021).</w:t>
      </w:r>
    </w:p>
    <w:p w14:paraId="36CD1168">
      <w:pPr>
        <w:ind w:firstLine="708"/>
      </w:pPr>
    </w:p>
    <w:p w14:paraId="039CC69A">
      <w:pPr>
        <w:rPr>
          <w:b/>
          <w:bCs/>
        </w:rPr>
      </w:pPr>
      <w:r>
        <w:rPr>
          <w:b/>
          <w:bCs/>
        </w:rPr>
        <w:t xml:space="preserve"> </w:t>
      </w:r>
      <w:bookmarkStart w:id="55" w:name="3-CONSIDERAÇÕES_FINAIS"/>
      <w:bookmarkEnd w:id="55"/>
      <w:r>
        <w:rPr>
          <w:b/>
          <w:bCs/>
        </w:rPr>
        <w:t>3 CONSIDERAÇÕES FINAIS</w:t>
      </w:r>
    </w:p>
    <w:p w14:paraId="307BA5C3">
      <w:pPr>
        <w:ind w:firstLine="708"/>
      </w:pPr>
      <w:bookmarkStart w:id="56" w:name="No_Brasil,_apesar_dos_avanços_significat"/>
      <w:bookmarkEnd w:id="56"/>
      <w:r>
        <w:t>No Brasil, apesar dos avanços significativos das políticas públicas e da atuação dos movimentos sociais, especialmente os antirracistas, bem como dos debates travados nos espaços acadêmicos, os indicadores de acesso limitado a direitos fundamentais, como trabalho e educação, para a população negra permanecem alarmantes. No que diz respeito às desigualdades, cabe destacar que o próprio poder público pode produzi-las, seja por meio das relações assimétricas de poder, seja pelo não reconhecimento de direitos, fenômeno que atravessa a história e persiste na contemporaneidade.</w:t>
      </w:r>
    </w:p>
    <w:p w14:paraId="1292FCF0">
      <w:pPr>
        <w:ind w:firstLine="708"/>
      </w:pPr>
      <w:bookmarkStart w:id="57" w:name="O_racismo_configura-se_como_um_sistema_e"/>
      <w:bookmarkEnd w:id="57"/>
      <w:r>
        <w:t>O racismo configura-se como um sistema estruturante, capaz de gerar comportamentos, práticas, crenças e preconceitos que fundamentam desigualdades entre grupos sociais com base na raça ou etnia. Ele também se manifesta institucionalmente, ao obstruir o acesso a bens, serviços e oportunidades, estando, muitas vezes, subjacente às normas que regem as ações das instituições. Por essa razão, o racismo é reconhecido como um determinante social da saúde, ao expor a população negra a situações de maior vulnerabilidade, adoecimento e mortalidade.</w:t>
      </w:r>
    </w:p>
    <w:p w14:paraId="15820BC1">
      <w:pPr>
        <w:ind w:firstLine="708"/>
      </w:pPr>
      <w:bookmarkStart w:id="58" w:name="Nesse_contexto,_ao_se_analisar_a_Lei_de_"/>
      <w:bookmarkEnd w:id="58"/>
      <w:r>
        <w:t>Nesse contexto, ao se analisar a Lei de Cotas como instrumento de reparação histórica e promoção da justiça cultural, surge o questionamento: em que medida a Lei nº 12.990/14 tem efetivamente cumprido esse papel? Especialmente no que tange ao acesso a cargos públicos, o racismo se apresenta como obstáculo significativo à participação de pretos e pardos em concursos. A Lei 12.990/14 foi criada com o objetivo de ampliar o acesso dessa população a empregos públicos, superando barreiras e resistências históricas.</w:t>
      </w:r>
    </w:p>
    <w:p w14:paraId="39099A8B">
      <w:pPr>
        <w:ind w:firstLine="708"/>
      </w:pPr>
      <w:bookmarkStart w:id="59" w:name="Portanto,_é_necessária_a_implementação_d"/>
      <w:bookmarkEnd w:id="59"/>
      <w:r>
        <w:t>Portanto, é necessária a implementação de medidas mais efetivas de aperfeiçoamento da Lei de Cotas, de modo que universidades e demais instituições compreendam que o Estado Democrático de Direito deve ser garantido na prática. Isso inclui maior rigor na fiscalização, investimentos no combate ao racismo, inclusive institucional, e ações concretas que assegurem a efetividade da normativa.</w:t>
      </w:r>
    </w:p>
    <w:p w14:paraId="407A9F83">
      <w:pPr>
        <w:ind w:firstLine="708"/>
      </w:pPr>
      <w:bookmarkStart w:id="60" w:name="Entre_as_políticas_públicas_voltadas_à_p"/>
      <w:bookmarkEnd w:id="60"/>
      <w:r>
        <w:t>Entre as políticas públicas voltadas à promoção da justiça social e da democratização racial, a Lei nº 12.990/14 busca gerar mudanças nos cargos e empregos públicos do Executivo Federal, promovendo igualdade de oportunidades entre brancos e negros e ampliando a diversidade nos quadros de servidores. No entanto, apesar dessa iniciativa, persistem obstáculos que dificultam a plena realização dos objetivos da população negra, evidenciando a necessidade de continuidade e fortalecimento dessas políticas.</w:t>
      </w:r>
    </w:p>
    <w:p w14:paraId="3B463656">
      <w:pPr>
        <w:ind w:firstLine="708"/>
      </w:pPr>
      <w:bookmarkStart w:id="61" w:name="Nesse_cenário,_surgem_as_bancas_de_heter"/>
      <w:bookmarkEnd w:id="61"/>
      <w:r>
        <w:t>Nesse cenário, surgem as bancas de heteroidentificação, destinadas a coibir fraudes que comprometem a efetividade da cota racial, garantindo que pessoas não negras não usufruam de benefícios conquistados historicamente pelo Movimento Negro em favor dos descendentes de escravizados.</w:t>
      </w:r>
    </w:p>
    <w:p w14:paraId="0F9F619A">
      <w:pPr>
        <w:ind w:firstLine="708"/>
      </w:pPr>
      <w:bookmarkStart w:id="62" w:name="O_movimento_negro_é_o_mais_antigo_movime"/>
      <w:bookmarkEnd w:id="62"/>
      <w:r>
        <w:t>O Movimento Negro é o mais antigo movimento social do Brasil, com origem nos primórdios da escravidão. Ao longo de séculos, denunciou os horrores cometidos contra os africanos sequestrados d</w:t>
      </w:r>
      <w:r>
        <w:rPr>
          <w:rFonts w:hint="default"/>
          <w:lang w:val="pt-BR"/>
        </w:rPr>
        <w:t>os</w:t>
      </w:r>
      <w:r>
        <w:t xml:space="preserve"> territórios de origem, submetidos à escravidão. Famílias foram separadas, povos dizimados, direitos à terra e à língua materna foram negados, e os negros não tiveram acesso às riquezas produzidas durante o crescimento econômico do país. Mulheres negras sofreram estupros sistemáticos, gerando a miscigenação forçada, e crianças nascidas desses atos eram tratadas como mercadoria no mercado de escravos.</w:t>
      </w:r>
    </w:p>
    <w:p w14:paraId="7BDEED4C">
      <w:pPr>
        <w:ind w:firstLine="708"/>
      </w:pPr>
      <w:bookmarkStart w:id="63" w:name="Com_a_assinatura_da_Lei_Áurea,_em_1888,_"/>
      <w:bookmarkEnd w:id="63"/>
      <w:r>
        <w:t>Com a assinatura da Lei Áurea, em 1888, a população negra foi libertada sem qualquer política de reparação histórica que lhes garantisse condições mínimas de vida digna. Muitos foram lançados à margem da sociedade, sem acesso à terra ou aos meios necessários para a subsistência.</w:t>
      </w:r>
      <w:bookmarkStart w:id="64" w:name="Diante_desse_histórico_de_negação_e_sofr"/>
      <w:bookmarkEnd w:id="64"/>
    </w:p>
    <w:p w14:paraId="24DC4EF2">
      <w:pPr>
        <w:ind w:firstLine="708"/>
      </w:pPr>
      <w:r>
        <w:t>Diante desse histórico de negação e sofrimento, surgiram as Ações Afirmativas, buscando reparar, ainda que parcialmente, os quase 400 anos de exploração da população negra no Brasil. Embora representem avanços significativos, essas políticas ainda enfrentam inúmeros desafios para promover justiça histórica, igualdade de oportunidades e valorização da diversidade cultural.</w:t>
      </w:r>
    </w:p>
    <w:p w14:paraId="497D5999">
      <w:pPr>
        <w:ind w:firstLine="708"/>
      </w:pPr>
    </w:p>
    <w:p w14:paraId="32CD704F">
      <w:pPr>
        <w:rPr>
          <w:b/>
          <w:bCs/>
        </w:rPr>
      </w:pPr>
      <w:r>
        <w:rPr>
          <w:b/>
          <w:bCs/>
        </w:rPr>
        <w:t>4 REFERÊNCIAS</w:t>
      </w:r>
    </w:p>
    <w:p w14:paraId="0E5A4ABD">
      <w:pPr>
        <w:spacing w:line="240" w:lineRule="auto"/>
      </w:pPr>
      <w:r>
        <w:t xml:space="preserve">ALMEIDA, S. </w:t>
      </w:r>
      <w:r>
        <w:rPr>
          <w:b/>
        </w:rPr>
        <w:t xml:space="preserve">Racismo Estrutural. </w:t>
      </w:r>
      <w:r>
        <w:t>São Paulo: Pólen, 2009. 162 p. (Feminismos Plurais). Disponível em: https://blogs.uninassau.edu.br/sites/blogs.uninassau.edu.br/ files/anexo/racismo_estrutural_feminismos_-_silvio_luiz_de_almeida.pdf. Acesso em: 31 mar. 2025.</w:t>
      </w:r>
    </w:p>
    <w:p w14:paraId="0B103AA3">
      <w:pPr>
        <w:spacing w:line="240" w:lineRule="auto"/>
      </w:pPr>
    </w:p>
    <w:p w14:paraId="32FBDD0B">
      <w:pPr>
        <w:spacing w:line="240" w:lineRule="auto"/>
      </w:pPr>
      <w:r>
        <w:t xml:space="preserve">AMARAL, C. S. </w:t>
      </w:r>
      <w:r>
        <w:rPr>
          <w:b/>
          <w:bCs/>
        </w:rPr>
        <w:t>O acesso do negro às instituições de ensino superior e a política de cotas</w:t>
      </w:r>
      <w:r>
        <w:t xml:space="preserve">: possibilidades e limites a partir do caso UENF, 2006. </w:t>
      </w:r>
    </w:p>
    <w:p w14:paraId="7B15F97B">
      <w:pPr>
        <w:spacing w:line="240" w:lineRule="auto"/>
      </w:pPr>
    </w:p>
    <w:p w14:paraId="035BC34B">
      <w:pPr>
        <w:spacing w:line="240" w:lineRule="auto"/>
      </w:pPr>
      <w:r>
        <w:t>AMARAL, S. C. de S</w:t>
      </w:r>
      <w:r>
        <w:rPr>
          <w:b/>
        </w:rPr>
        <w:t>.. Cotas Raciais e Sociais como Ação Afirmativa: abordagem sócio-jurídico e experiência da UENF</w:t>
      </w:r>
      <w:r>
        <w:t xml:space="preserve">. 1. ed. Campos dos Goytacazes: Brasil Multicultural, 2019. </w:t>
      </w:r>
    </w:p>
    <w:p w14:paraId="46E3DBAE">
      <w:pPr>
        <w:spacing w:line="240" w:lineRule="auto"/>
      </w:pPr>
    </w:p>
    <w:p w14:paraId="39872012">
      <w:pPr>
        <w:spacing w:line="240" w:lineRule="auto"/>
      </w:pPr>
      <w:r>
        <w:t xml:space="preserve">BOCK, K. Teorias do progresso, desenvolvimento e evolução. In: BOTTOMORE, Tom; NISBET, Robert (org.). </w:t>
      </w:r>
      <w:r>
        <w:rPr>
          <w:b/>
        </w:rPr>
        <w:t>História da análise sociológica</w:t>
      </w:r>
      <w:r>
        <w:t xml:space="preserve">. Rio de Janeiro: Zahar, 1980. p. 65-117. </w:t>
      </w:r>
    </w:p>
    <w:p w14:paraId="20BB8F64">
      <w:pPr>
        <w:spacing w:line="240" w:lineRule="auto"/>
      </w:pPr>
    </w:p>
    <w:p w14:paraId="0B068CA6">
      <w:pPr>
        <w:spacing w:line="240" w:lineRule="auto"/>
      </w:pPr>
      <w:r>
        <w:t xml:space="preserve">BOWEN, W. G.; BOK, D. C. </w:t>
      </w:r>
      <w:r>
        <w:rPr>
          <w:b/>
        </w:rPr>
        <w:t xml:space="preserve">O curso do rio: um estudo sobre a ação afirmativa no acesso à universidade. </w:t>
      </w:r>
      <w:r>
        <w:t xml:space="preserve">Trad.: RIBEIRO, Vera. Rio de Janeiro: Garamond, 2004.  </w:t>
      </w:r>
    </w:p>
    <w:p w14:paraId="55A6ECFE">
      <w:pPr>
        <w:spacing w:line="240" w:lineRule="auto"/>
      </w:pPr>
    </w:p>
    <w:p w14:paraId="74105643">
      <w:pPr>
        <w:spacing w:line="240" w:lineRule="auto"/>
      </w:pPr>
    </w:p>
    <w:p w14:paraId="6470E2C4">
      <w:pPr>
        <w:spacing w:line="240" w:lineRule="auto"/>
      </w:pPr>
      <w:r>
        <w:t xml:space="preserve">BRAGA, A. F. </w:t>
      </w:r>
      <w:r>
        <w:rPr>
          <w:b/>
        </w:rPr>
        <w:t xml:space="preserve">AS BANCAS DE HETEROIDENTIFICAÇÃO RACIAL: APONTAMENTOS A PARTIR DA EXPERIÊNCIA DA UFMG. </w:t>
      </w:r>
      <w:r>
        <w:t>Em Favor da</w:t>
      </w:r>
    </w:p>
    <w:p w14:paraId="12D77652">
      <w:pPr>
        <w:spacing w:line="240" w:lineRule="auto"/>
      </w:pPr>
      <w:r>
        <w:t xml:space="preserve">Igualdade Racial, Rio Branco –Acre, v. 4, n. 2, p. 03-17, ago. 2021. Disponível em: https://periodicos.ufac.br/ index.php/RFIR/article/view/4107/2792. Acesso em: 19 mar. 2025. </w:t>
      </w:r>
    </w:p>
    <w:p w14:paraId="6CE3B787">
      <w:pPr>
        <w:spacing w:line="240" w:lineRule="auto"/>
      </w:pPr>
    </w:p>
    <w:p w14:paraId="419C8A87">
      <w:pPr>
        <w:spacing w:line="240" w:lineRule="auto"/>
      </w:pPr>
      <w:r>
        <w:t xml:space="preserve">BRASIL. Conselho Nacional do Ministério Público. </w:t>
      </w:r>
      <w:r>
        <w:rPr>
          <w:b/>
        </w:rPr>
        <w:t xml:space="preserve">Recomendação nº 41, de 9 de agosto de 2016. Define parâmetros para a atuação dos membros do Ministério Público brasileiro para a correta implementação da política de cotas étnico raciais em vestibulares e concursos públicos. </w:t>
      </w:r>
      <w:r>
        <w:t>Brasília. Disponível em: https://</w:t>
      </w:r>
      <w:r>
        <w:fldChar w:fldCharType="begin"/>
      </w:r>
      <w:r>
        <w:instrText xml:space="preserve"> HYPERLINK "http://www.cnmp.mp.br/" </w:instrText>
      </w:r>
      <w:r>
        <w:fldChar w:fldCharType="separate"/>
      </w:r>
      <w:r>
        <w:rPr>
          <w:rStyle w:val="15"/>
        </w:rPr>
        <w:t>www.cnmp.mp.br/</w:t>
      </w:r>
      <w:r>
        <w:rPr>
          <w:rStyle w:val="15"/>
        </w:rPr>
        <w:fldChar w:fldCharType="end"/>
      </w:r>
      <w:r>
        <w:t xml:space="preserve"> portal/images/Normas/Recomendacoes/RECOMENDAO_41.pdf. Acesso em: 20 mar. 2025. </w:t>
      </w:r>
    </w:p>
    <w:p w14:paraId="74576180"/>
    <w:p w14:paraId="12BA3215">
      <w:r>
        <w:t xml:space="preserve">CASHMORE, E. </w:t>
      </w:r>
      <w:r>
        <w:rPr>
          <w:b/>
          <w:bCs/>
        </w:rPr>
        <w:t>Dicionário de relações étnicas e raciais.</w:t>
      </w:r>
      <w:r>
        <w:t xml:space="preserve"> São Paulo: </w:t>
      </w:r>
      <w:r>
        <w:rPr>
          <w:bCs/>
        </w:rPr>
        <w:t>Selo Negro,</w:t>
      </w:r>
      <w:r>
        <w:t xml:space="preserve"> 2000. </w:t>
      </w:r>
    </w:p>
    <w:p w14:paraId="097C524D">
      <w:pPr>
        <w:spacing w:line="240" w:lineRule="auto"/>
      </w:pPr>
    </w:p>
    <w:p w14:paraId="01BED034">
      <w:pPr>
        <w:spacing w:line="240" w:lineRule="auto"/>
      </w:pPr>
      <w:r>
        <w:t>DAFLON, V. T.; CARVALHAES, F.; JÚNIOR, J. F. Sentindo na Pele: Percepções de Discriminação Cotidiana de Pretos e Pardos no Brasil. Dados-</w:t>
      </w:r>
      <w:r>
        <w:rPr>
          <w:b/>
        </w:rPr>
        <w:t>Revista de Ciências Sociais, Rio de Janeiro</w:t>
      </w:r>
      <w:r>
        <w:t xml:space="preserve">, Vol. 60, n.2, p.292-330, 2007. Disponível em: </w:t>
      </w:r>
      <w:r>
        <w:fldChar w:fldCharType="begin"/>
      </w:r>
      <w:r>
        <w:instrText xml:space="preserve"> HYPERLINK "http://www/" </w:instrText>
      </w:r>
      <w:r>
        <w:fldChar w:fldCharType="separate"/>
      </w:r>
      <w:r>
        <w:rPr>
          <w:rStyle w:val="15"/>
        </w:rPr>
        <w:t>http://www.</w:t>
      </w:r>
      <w:r>
        <w:rPr>
          <w:rStyle w:val="15"/>
        </w:rPr>
        <w:fldChar w:fldCharType="end"/>
      </w:r>
      <w:r>
        <w:t xml:space="preserve"> </w:t>
      </w:r>
    </w:p>
    <w:p w14:paraId="5B4A2251">
      <w:pPr>
        <w:spacing w:line="240" w:lineRule="auto"/>
      </w:pPr>
      <w:r>
        <w:t xml:space="preserve">scielo.br/pdf/dados/v60n2/0011-5258-dados-60-2-0293.pdf. Acesso em: 25 Março 2025. </w:t>
      </w:r>
    </w:p>
    <w:p w14:paraId="72C459E8">
      <w:pPr>
        <w:spacing w:line="240" w:lineRule="auto"/>
      </w:pPr>
    </w:p>
    <w:p w14:paraId="46135744">
      <w:pPr>
        <w:spacing w:line="240" w:lineRule="auto"/>
      </w:pPr>
      <w:r>
        <w:t>DELGADO, J. S.; BASSO, A. P. DEMOCRACIA E NEOCONTRATUALISMO DE JOHN RAWLS JUSTAPOSTAS AS PERSPECTIVAS DOS CONTRATUALISTAS</w:t>
      </w:r>
    </w:p>
    <w:p w14:paraId="122D4545">
      <w:pPr>
        <w:spacing w:line="240" w:lineRule="auto"/>
      </w:pPr>
      <w:r>
        <w:t xml:space="preserve">MODERNOS HOBBES, LOCKE E ROUSSEAU. </w:t>
      </w:r>
      <w:r>
        <w:rPr>
          <w:b/>
        </w:rPr>
        <w:t xml:space="preserve">Interfaces Científicas </w:t>
      </w:r>
      <w:r>
        <w:t xml:space="preserve">- Direito, [S.L.], v. 9, n. 2, p. 29-45, 8 abr. 2023. Universidade Tiradentes. </w:t>
      </w:r>
      <w:r>
        <w:fldChar w:fldCharType="begin"/>
      </w:r>
      <w:r>
        <w:instrText xml:space="preserve"> HYPERLINK "http://dx.doi.org/10.17564/2316-381x.2023v9n2p29-45" </w:instrText>
      </w:r>
      <w:r>
        <w:fldChar w:fldCharType="separate"/>
      </w:r>
      <w:r>
        <w:rPr>
          <w:rStyle w:val="15"/>
          <w:color w:val="auto"/>
          <w:u w:val="none"/>
        </w:rPr>
        <w:t>http://dx.doi.org/10.17564/2316-381x.2023v9n2p29-45.</w:t>
      </w:r>
      <w:r>
        <w:rPr>
          <w:rStyle w:val="15"/>
          <w:color w:val="auto"/>
          <w:u w:val="none"/>
        </w:rPr>
        <w:fldChar w:fldCharType="end"/>
      </w:r>
      <w:r>
        <w:t xml:space="preserve"> Disponível em: https://periodicos.set.edu.br/direito/article/view/11338/5253. Acesso em: 25 mar. 2025. </w:t>
      </w:r>
    </w:p>
    <w:p w14:paraId="40E2B57A">
      <w:pPr>
        <w:spacing w:line="240" w:lineRule="auto"/>
      </w:pPr>
    </w:p>
    <w:p w14:paraId="6DC71000">
      <w:pPr>
        <w:spacing w:line="240" w:lineRule="auto"/>
      </w:pPr>
      <w:r>
        <w:t xml:space="preserve">DUTRA, D. J. V.; ROHL, M. O Direito em uma teoria da justiça de Rawls. </w:t>
      </w:r>
      <w:r>
        <w:rPr>
          <w:b/>
        </w:rPr>
        <w:t>Revista Dissertatio de Filosofia</w:t>
      </w:r>
      <w:r>
        <w:t>, v. 34, p 63-89, 1 dez. 2011. Disponível em: Acesso em 18 de</w:t>
      </w:r>
    </w:p>
    <w:p w14:paraId="73D818D8">
      <w:pPr>
        <w:spacing w:line="240" w:lineRule="auto"/>
      </w:pPr>
      <w:r>
        <w:t xml:space="preserve">Março. 2025. </w:t>
      </w:r>
    </w:p>
    <w:p w14:paraId="3C25CD94">
      <w:pPr>
        <w:spacing w:line="240" w:lineRule="auto"/>
      </w:pPr>
    </w:p>
    <w:p w14:paraId="443E1E17">
      <w:pPr>
        <w:spacing w:line="240" w:lineRule="auto"/>
      </w:pPr>
      <w:r>
        <w:t>FERNANDES, R. R. D.; SANTOS, V. S.; JACOB, A.; DIAS, R. R. Desafios à reserva</w:t>
      </w:r>
    </w:p>
    <w:p w14:paraId="2CE608D7">
      <w:pPr>
        <w:spacing w:line="240" w:lineRule="auto"/>
      </w:pPr>
      <w:r>
        <w:t xml:space="preserve">de vagas para negros em concursos públicos para docentes em instituições federais de ensino. </w:t>
      </w:r>
      <w:r>
        <w:rPr>
          <w:b/>
        </w:rPr>
        <w:t xml:space="preserve">Educação &amp; Sociedade, </w:t>
      </w:r>
      <w:r>
        <w:t xml:space="preserve">v. 42, 2021. </w:t>
      </w:r>
    </w:p>
    <w:p w14:paraId="2134EA3F">
      <w:pPr>
        <w:spacing w:line="240" w:lineRule="auto"/>
      </w:pPr>
    </w:p>
    <w:p w14:paraId="0FEDE4D1">
      <w:pPr>
        <w:spacing w:line="240" w:lineRule="auto"/>
      </w:pPr>
      <w:r>
        <w:t xml:space="preserve">FLÁVIO, D. </w:t>
      </w:r>
      <w:r>
        <w:rPr>
          <w:b/>
        </w:rPr>
        <w:t xml:space="preserve">Lei nº 12.990/2014, de 26 de maio de 2024. Medida Cautelar na Ação Direta de Inconstitucionalidade 7.654 </w:t>
      </w:r>
      <w:r>
        <w:t>Distrito Federal. Brasília, DF, p. 01-09.</w:t>
      </w:r>
    </w:p>
    <w:p w14:paraId="76AB99DB">
      <w:pPr>
        <w:spacing w:line="240" w:lineRule="auto"/>
      </w:pPr>
      <w:r>
        <w:t>Disponível em: https://</w:t>
      </w:r>
      <w:r>
        <w:fldChar w:fldCharType="begin"/>
      </w:r>
      <w:r>
        <w:instrText xml:space="preserve"> HYPERLINK "http://www.conjur.com.br/wp-content/uploads/2024/05/ADI-7654-" </w:instrText>
      </w:r>
      <w:r>
        <w:fldChar w:fldCharType="separate"/>
      </w:r>
      <w:r>
        <w:rPr>
          <w:rStyle w:val="15"/>
          <w:color w:val="auto"/>
          <w:u w:val="none"/>
        </w:rPr>
        <w:t>www.conjur.com.br/wp-content/uploads/2024/05/ADI-7654-</w:t>
      </w:r>
      <w:r>
        <w:rPr>
          <w:rStyle w:val="15"/>
          <w:color w:val="auto"/>
          <w:u w:val="none"/>
        </w:rPr>
        <w:fldChar w:fldCharType="end"/>
      </w:r>
      <w:r>
        <w:t xml:space="preserve"> MCassinado.pdf. Acesso em: 18 mar. 2025.</w:t>
      </w:r>
    </w:p>
    <w:p w14:paraId="1A465208">
      <w:pPr>
        <w:spacing w:line="240" w:lineRule="auto"/>
      </w:pPr>
    </w:p>
    <w:p w14:paraId="74105E6D">
      <w:pPr>
        <w:spacing w:line="240" w:lineRule="auto"/>
      </w:pPr>
      <w:r>
        <w:t xml:space="preserve">FRANCELINO, R. E. O SISTEMA DAS COTAS NAS UNIVERSIDADES PÚBLICAS SOB A ÓTICA DE JOHN RAWLS. </w:t>
      </w:r>
      <w:r>
        <w:rPr>
          <w:b/>
        </w:rPr>
        <w:t xml:space="preserve">V Congresso Nacional da Fepodi, </w:t>
      </w:r>
      <w:r>
        <w:t xml:space="preserve">Campo Grande - Ms, p. 1299-1309, 20 abr. 2017. Disponível em: https://site.conpedi.org.br/ publicacoes/696vp84u/bloco- unico/2BzWpUmV2ZLq6QeU.pdf. Acesso em: 25 mar. 2025. </w:t>
      </w:r>
    </w:p>
    <w:p w14:paraId="22174D7F">
      <w:pPr>
        <w:spacing w:line="240" w:lineRule="auto"/>
      </w:pPr>
    </w:p>
    <w:p w14:paraId="2452E005">
      <w:pPr>
        <w:spacing w:line="240" w:lineRule="auto"/>
      </w:pPr>
      <w:r>
        <w:t xml:space="preserve">HERINGER, R. Ação afirmativa e promoção da igualdade racial no Brasil: o desafio da prática. In: PAIVA, Ângela Randolpho (Org.). </w:t>
      </w:r>
      <w:r>
        <w:rPr>
          <w:b/>
        </w:rPr>
        <w:t xml:space="preserve">Ação afirmativa na universidade: reflexão sobre experiências concretas Brasil-Estados Unidos. </w:t>
      </w:r>
      <w:r>
        <w:t xml:space="preserve">Rio de Janeiro: PUC- Rio, 2004. p. 55-86. </w:t>
      </w:r>
    </w:p>
    <w:p w14:paraId="16D6D606">
      <w:pPr>
        <w:spacing w:line="240" w:lineRule="auto"/>
      </w:pPr>
    </w:p>
    <w:p w14:paraId="76DB7AFE">
      <w:pPr>
        <w:spacing w:line="240" w:lineRule="auto"/>
      </w:pPr>
    </w:p>
    <w:p w14:paraId="4505565A">
      <w:pPr>
        <w:spacing w:line="240" w:lineRule="auto"/>
      </w:pPr>
      <w:r>
        <w:t>MAIA, K. S.; ZAMORA, M. H. N.. O Brasil e a lógica racial: do branqueamento à produção de subjetividade do racismo</w:t>
      </w:r>
      <w:r>
        <w:rPr>
          <w:b/>
          <w:bCs/>
        </w:rPr>
        <w:t>. Psicol. clin., Rio de Janeiro</w:t>
      </w:r>
      <w:r>
        <w:t>, v. 30, n. 2, p. 265- 286, 2018. Disponível em. Acesso em: 09 Março de 2025.</w:t>
      </w:r>
    </w:p>
    <w:p w14:paraId="2A66E373">
      <w:pPr>
        <w:spacing w:line="240" w:lineRule="auto"/>
      </w:pPr>
    </w:p>
    <w:p w14:paraId="061A02E8">
      <w:pPr>
        <w:spacing w:line="240" w:lineRule="auto"/>
      </w:pPr>
      <w:r>
        <w:t xml:space="preserve"> MANZANO, F. Ex-policial Derek Chauvin é condenado a 22 anos e meio de prisão pela morte de George Floyd. </w:t>
      </w:r>
      <w:r>
        <w:rPr>
          <w:b/>
          <w:bCs/>
        </w:rPr>
        <w:t>G1, São Paulo</w:t>
      </w:r>
      <w:r>
        <w:t xml:space="preserve">, 25 jun. 2021. Disponível em: https://g1.globo. com/mundo/noticia/2021/06/25/ex-policial-derek-chauvin-esentenciado-amais-de-20- anos-de-prisao-pela-morte-de-george-floyd.ghtml. Acesso em: 18 Mar. 2025 14 </w:t>
      </w:r>
    </w:p>
    <w:p w14:paraId="0364EC3D">
      <w:pPr>
        <w:spacing w:line="240" w:lineRule="auto"/>
      </w:pPr>
    </w:p>
    <w:p w14:paraId="6FEDAC17">
      <w:pPr>
        <w:spacing w:line="240" w:lineRule="auto"/>
      </w:pPr>
      <w:r>
        <w:t xml:space="preserve">MOEHLECKE, S, Ação afirmativa: História e debates no Brasil. </w:t>
      </w:r>
      <w:r>
        <w:rPr>
          <w:b/>
          <w:bCs/>
        </w:rPr>
        <w:t>Cadernos de Pesquisa</w:t>
      </w:r>
      <w:r>
        <w:t xml:space="preserve">, n. 117, p. 197–217, 2002. Disponível em: https://doi.org/10.1590/S0100- 15742002000300011. Acesso em: 25 Março. 2025. PEREIRA, D. M. A Face Negra do Brasil Multicultural. Disponível em: http://www. dominiopublico.gov.br/download/texto/mre000073.pdf#:~:text=O%20Brasil%20tem%2 0 a%20maior,negra%20maior%20que%20a%20brasileira.. Acesso em: 18 ago. 2025. </w:t>
      </w:r>
    </w:p>
    <w:p w14:paraId="0F746C21">
      <w:pPr>
        <w:spacing w:line="240" w:lineRule="auto"/>
      </w:pPr>
    </w:p>
    <w:p w14:paraId="778E9B72">
      <w:pPr>
        <w:spacing w:line="240" w:lineRule="auto"/>
      </w:pPr>
      <w:r>
        <w:t xml:space="preserve"> PEREIRA, D. M. </w:t>
      </w:r>
      <w:r>
        <w:rPr>
          <w:b/>
          <w:bCs/>
        </w:rPr>
        <w:t>A Face Negra do Brasil Multicultural</w:t>
      </w:r>
      <w:r>
        <w:t xml:space="preserve">. Disponível em: http://www. dominiopublico.gov.br/download/texto/mre000073.pdf#:~:text=O%20Brasil%20tem%2 0 a%20maior,negra%20maior%20que%20a%20brasileira.. Acesso em: 18 ago. 2025. </w:t>
      </w:r>
    </w:p>
    <w:p w14:paraId="364C6D87">
      <w:pPr>
        <w:spacing w:line="240" w:lineRule="auto"/>
      </w:pPr>
    </w:p>
    <w:p w14:paraId="5A7938EC">
      <w:pPr>
        <w:spacing w:line="240" w:lineRule="auto"/>
      </w:pPr>
      <w:r>
        <w:t xml:space="preserve">PINHEIRO, R. G. A teoria da justiça de John Rawls e a constitucionalidade das ações </w:t>
      </w:r>
    </w:p>
    <w:p w14:paraId="41212336">
      <w:pPr>
        <w:spacing w:line="240" w:lineRule="auto"/>
      </w:pPr>
      <w:r>
        <w:t xml:space="preserve">afirmativas no Brasil. </w:t>
      </w:r>
      <w:r>
        <w:rPr>
          <w:b/>
          <w:bCs/>
        </w:rPr>
        <w:t>Revista CEJ</w:t>
      </w:r>
      <w:r>
        <w:t xml:space="preserve">, v. 17, n. 59, 2 jul. 2013. Disponível em: Acesso em 18 Março. 2025. </w:t>
      </w:r>
    </w:p>
    <w:p w14:paraId="0B51C7CA">
      <w:pPr>
        <w:spacing w:line="240" w:lineRule="auto"/>
      </w:pPr>
    </w:p>
    <w:p w14:paraId="15ABECC1">
      <w:pPr>
        <w:spacing w:line="240" w:lineRule="auto"/>
      </w:pPr>
      <w:r>
        <w:t xml:space="preserve">RAWLS, J. </w:t>
      </w:r>
      <w:r>
        <w:rPr>
          <w:b/>
          <w:bCs/>
        </w:rPr>
        <w:t>Uma Teoria da Justiça</w:t>
      </w:r>
      <w:r>
        <w:t>. Trad. Jussara Simões. 3. ed. São Paulo: Martins Fontes, 2008.</w:t>
      </w:r>
    </w:p>
    <w:p w14:paraId="467AA9BC">
      <w:pPr>
        <w:spacing w:line="240" w:lineRule="auto"/>
      </w:pPr>
      <w:r>
        <w:t xml:space="preserve"> </w:t>
      </w:r>
    </w:p>
    <w:p w14:paraId="0A222436">
      <w:pPr>
        <w:spacing w:line="240" w:lineRule="auto"/>
      </w:pPr>
      <w:r>
        <w:t xml:space="preserve">RIBEIRO, D. A estratégia do Estado brasileiro foi fingir que não havia racismo. </w:t>
      </w:r>
      <w:r>
        <w:rPr>
          <w:b/>
          <w:bCs/>
        </w:rPr>
        <w:t>El País,</w:t>
      </w:r>
      <w:r>
        <w:t xml:space="preserve"> 29 mar. 2022. Disponível em: https://elpais.com/cultura/2022-03-29/djamilaribeiro-filosofa-la-estrategia-del-estado-brasileno-fue-fingir-que-no-habia-racismo.html. Acesso em: 30 set. 2025. </w:t>
      </w:r>
    </w:p>
    <w:p w14:paraId="2C92FBD7">
      <w:pPr>
        <w:spacing w:line="240" w:lineRule="auto"/>
      </w:pPr>
    </w:p>
    <w:p w14:paraId="0EC61A83">
      <w:pPr>
        <w:spacing w:line="240" w:lineRule="auto"/>
      </w:pPr>
      <w:r>
        <w:t xml:space="preserve">SANTOS, S. P. Os “intrusos” e os “outros” oxigenando a universidade: por uma relação articulada entre raça e classe nas Ações Afirmativas. Simbiótica. </w:t>
      </w:r>
      <w:r>
        <w:rPr>
          <w:b/>
          <w:bCs/>
        </w:rPr>
        <w:t>Revista Eletrônica</w:t>
      </w:r>
      <w:r>
        <w:t>, 15 v. 2, n. 1, p. 106–126, 2015. Disponível em: https://periodicos.ufes.br/ simbiotica/article/view/10329. Acesso em: 19 Março. 2025.</w:t>
      </w:r>
    </w:p>
    <w:p w14:paraId="6E938636">
      <w:pPr>
        <w:spacing w:line="240" w:lineRule="auto"/>
      </w:pPr>
    </w:p>
    <w:p w14:paraId="04E914AD">
      <w:pPr>
        <w:spacing w:line="240" w:lineRule="auto"/>
      </w:pPr>
      <w:r>
        <w:t xml:space="preserve"> SANTOS, H. L. P. C. dos et al. Necropolítica e reflexões acerca da população negra no contexto da pandemia da COVID-19 no Brasil: uma revisão bibliográfica. </w:t>
      </w:r>
      <w:r>
        <w:rPr>
          <w:b/>
          <w:bCs/>
        </w:rPr>
        <w:t xml:space="preserve">Ciência &amp; Saúde Coletiva </w:t>
      </w:r>
      <w:r>
        <w:t xml:space="preserve">[online]. v. 25, suppl 2, 2020 pp. 4211-4224. Disponível em: .Acesso em: 01 Março. 2025. </w:t>
      </w:r>
    </w:p>
    <w:p w14:paraId="456FC429">
      <w:pPr>
        <w:spacing w:line="240" w:lineRule="auto"/>
      </w:pPr>
    </w:p>
    <w:p w14:paraId="0FF94691">
      <w:pPr>
        <w:spacing w:line="240" w:lineRule="auto"/>
      </w:pPr>
      <w:r>
        <w:t xml:space="preserve">SCHOLZ, R. O valor é o homem. </w:t>
      </w:r>
      <w:r>
        <w:rPr>
          <w:b/>
          <w:bCs/>
        </w:rPr>
        <w:t>Revistas Novos Estudos, São Paulo</w:t>
      </w:r>
      <w:r>
        <w:t xml:space="preserve">, n. 45, p. 15-36, jul. 1996. </w:t>
      </w:r>
    </w:p>
    <w:p w14:paraId="091DF21E">
      <w:pPr>
        <w:spacing w:line="240" w:lineRule="auto"/>
      </w:pPr>
    </w:p>
    <w:p w14:paraId="621A8125">
      <w:pPr>
        <w:spacing w:line="240" w:lineRule="auto"/>
      </w:pPr>
      <w:r>
        <w:t xml:space="preserve">SCHUCMAN, Lia Vainer. </w:t>
      </w:r>
      <w:r>
        <w:rPr>
          <w:b/>
          <w:bCs/>
        </w:rPr>
        <w:t>Famílias interraciais: tensões entre cor e amor.</w:t>
      </w:r>
      <w:r>
        <w:t xml:space="preserve"> Salvador: UFBA, 2018. </w:t>
      </w:r>
    </w:p>
    <w:p w14:paraId="4F01EB69">
      <w:pPr>
        <w:spacing w:line="240" w:lineRule="auto"/>
      </w:pPr>
    </w:p>
    <w:p w14:paraId="076B20CF">
      <w:pPr>
        <w:spacing w:line="240" w:lineRule="auto"/>
      </w:pPr>
      <w:r>
        <w:t xml:space="preserve">SILVA, L. F. M. A ação afirmativa e cotas para afro-descendentes: algumas considerações sócio-jurídicas. In: SANTOS, Renato Emerson dos e LOBATO, Fátima. Ações afirmativas: políticas públicas contra as desigualdades raciais. Rio de Janeiro: </w:t>
      </w:r>
      <w:r>
        <w:rPr>
          <w:b/>
          <w:bCs/>
        </w:rPr>
        <w:t>DP&amp;A</w:t>
      </w:r>
      <w:r>
        <w:t xml:space="preserve">, p.59-73, 2003. </w:t>
      </w:r>
    </w:p>
    <w:p w14:paraId="7AC47871">
      <w:pPr>
        <w:spacing w:line="240" w:lineRule="auto"/>
      </w:pPr>
    </w:p>
    <w:p w14:paraId="40C43A24">
      <w:pPr>
        <w:spacing w:line="240" w:lineRule="auto"/>
      </w:pPr>
      <w:r>
        <w:t xml:space="preserve">SPITZ, J. John Rawls et la question de la justice sociale. </w:t>
      </w:r>
      <w:r>
        <w:rPr>
          <w:b/>
          <w:bCs/>
        </w:rPr>
        <w:t>Études,</w:t>
      </w:r>
      <w:r>
        <w:t xml:space="preserve"> v. 414, n. 1, p. 55-65, 2011.Disponível em: https://www.cairn.info/revue-etudes-2011-1-page-55. htm. Acesso em: 25 Março 2025. </w:t>
      </w:r>
    </w:p>
    <w:p w14:paraId="5B84C5D0">
      <w:pPr>
        <w:spacing w:line="240" w:lineRule="auto"/>
      </w:pPr>
    </w:p>
    <w:p w14:paraId="24E2594E">
      <w:pPr>
        <w:spacing w:line="240" w:lineRule="auto"/>
      </w:pPr>
      <w:r>
        <w:t xml:space="preserve">TELLES, E.; LIM, N. (1998), “Does it Matter Who Answers the Race Question? Racial Classification and Income Inequality in Brazil”. </w:t>
      </w:r>
      <w:r>
        <w:rPr>
          <w:b/>
          <w:bCs/>
        </w:rPr>
        <w:t>Demography</w:t>
      </w:r>
      <w:r>
        <w:t xml:space="preserve">, v. 5, n. 4, p. 465-474. Disponível em: https://link.springer.com/article/10.2307/3004014. Acesso em: 25 Março 2025. </w:t>
      </w:r>
    </w:p>
    <w:p w14:paraId="600BCDA1">
      <w:pPr>
        <w:spacing w:line="240" w:lineRule="auto"/>
      </w:pPr>
    </w:p>
    <w:p w14:paraId="6E72FEE1">
      <w:pPr>
        <w:spacing w:line="240" w:lineRule="auto"/>
      </w:pPr>
      <w:r>
        <w:t xml:space="preserve">WERNECK, J. Racismo institucional e saúde da população negra. </w:t>
      </w:r>
      <w:r>
        <w:rPr>
          <w:b/>
          <w:bCs/>
        </w:rPr>
        <w:t>Saúde e Sociedade, São Paulo</w:t>
      </w:r>
      <w:r>
        <w:t>, v. 25, n. 3, p. 535-549, 2016. DOI: 10.1590/S0104-129020162610. Disponível em: https://www.scielo.br/j/sausoc/a/bJdS7R46GV7PB3wV54qW7vm/. Acesso em: 30 set. 2025.</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Segoe UI Variable Display Semibold">
    <w:panose1 w:val="00000000000000000000"/>
    <w:charset w:val="00"/>
    <w:family w:val="auto"/>
    <w:pitch w:val="default"/>
    <w:sig w:usb0="A00002FF" w:usb1="0000000B" w:usb2="00000000" w:usb3="00000000" w:csb0="2000019F" w:csb1="00000000"/>
  </w:font>
  <w:font w:name="Segoe UI Variable Display Semilight">
    <w:panose1 w:val="00000000000000000000"/>
    <w:charset w:val="00"/>
    <w:family w:val="auto"/>
    <w:pitch w:val="default"/>
    <w:sig w:usb0="A00002FF" w:usb1="0000000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Variable Text Semilight">
    <w:panose1 w:val="00000000000000000000"/>
    <w:charset w:val="00"/>
    <w:family w:val="auto"/>
    <w:pitch w:val="default"/>
    <w:sig w:usb0="A00002FF" w:usb1="0000000B" w:usb2="00000000" w:usb3="00000000" w:csb0="2000019F" w:csb1="00000000"/>
  </w:font>
  <w:font w:name="Tempus Sans ITC">
    <w:panose1 w:val="04020404030D07020202"/>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360" w:lineRule="auto"/>
      </w:pPr>
      <w:r>
        <w:separator/>
      </w:r>
    </w:p>
  </w:footnote>
  <w:footnote w:type="continuationSeparator" w:id="9">
    <w:p>
      <w:pPr>
        <w:spacing w:before="0" w:after="0" w:line="360" w:lineRule="auto"/>
      </w:pPr>
      <w:r>
        <w:continuationSeparator/>
      </w:r>
    </w:p>
  </w:footnote>
  <w:footnote w:id="0">
    <w:p w14:paraId="64D1BF23">
      <w:pPr>
        <w:pStyle w:val="18"/>
        <w:rPr>
          <w:sz w:val="20"/>
          <w:szCs w:val="20"/>
        </w:rPr>
      </w:pPr>
      <w:r>
        <w:rPr>
          <w:rStyle w:val="14"/>
          <w:sz w:val="20"/>
          <w:szCs w:val="20"/>
        </w:rPr>
        <w:footnoteRef/>
      </w:r>
      <w:r>
        <w:rPr>
          <w:sz w:val="20"/>
          <w:szCs w:val="20"/>
        </w:rPr>
        <w:t xml:space="preserve"> Mestre em Cognição e Linguagem pela Universidade Estadual do Norte Fluminense Darcy Ribeiro - UENF, salvadordesouzafreitas@gmail.com</w:t>
      </w:r>
    </w:p>
    <w:p w14:paraId="21CB3B37">
      <w:pPr>
        <w:pStyle w:val="20"/>
      </w:pPr>
    </w:p>
  </w:footnote>
  <w:footnote w:id="1">
    <w:p w14:paraId="2EDDE6E7">
      <w:pPr>
        <w:pStyle w:val="18"/>
        <w:rPr>
          <w:sz w:val="20"/>
          <w:szCs w:val="20"/>
        </w:rPr>
      </w:pPr>
      <w:r>
        <w:rPr>
          <w:rStyle w:val="14"/>
          <w:sz w:val="20"/>
          <w:szCs w:val="20"/>
        </w:rPr>
        <w:footnoteRef/>
      </w:r>
      <w:r>
        <w:rPr>
          <w:sz w:val="20"/>
          <w:szCs w:val="20"/>
        </w:rPr>
        <w:t xml:space="preserve"> Engenheiro Eletricista pela Universidade Salgado de Oliveira - UNIVERSO, geraldolima4@hotmail.com</w:t>
      </w:r>
    </w:p>
    <w:p w14:paraId="2FB7804D">
      <w:pPr>
        <w:pStyle w:val="20"/>
      </w:pPr>
    </w:p>
  </w:footnote>
  <w:footnote w:id="2">
    <w:p w14:paraId="100599D0">
      <w:pPr>
        <w:pStyle w:val="18"/>
        <w:rPr>
          <w:sz w:val="20"/>
          <w:szCs w:val="20"/>
        </w:rPr>
      </w:pPr>
      <w:r>
        <w:rPr>
          <w:rStyle w:val="14"/>
          <w:sz w:val="20"/>
          <w:szCs w:val="20"/>
        </w:rPr>
        <w:footnoteRef/>
      </w:r>
      <w:r>
        <w:rPr>
          <w:sz w:val="20"/>
          <w:szCs w:val="20"/>
        </w:rPr>
        <w:t xml:space="preserve"> Doutora em Cognição e Linguagem pela Universidade Estadual do Norte Fluminense Darcy Ribeiro - UENF, Professora Associada da UENF, gabriela.silva@uenf.br</w:t>
      </w:r>
    </w:p>
    <w:p w14:paraId="15027F84">
      <w:pPr>
        <w:pStyle w:val="20"/>
      </w:pPr>
    </w:p>
  </w:footnote>
  <w:footnote w:id="3">
    <w:p w14:paraId="25974998">
      <w:pPr>
        <w:pStyle w:val="18"/>
        <w:rPr>
          <w:sz w:val="20"/>
          <w:szCs w:val="20"/>
        </w:rPr>
      </w:pPr>
      <w:r>
        <w:rPr>
          <w:rStyle w:val="14"/>
          <w:sz w:val="20"/>
          <w:szCs w:val="20"/>
        </w:rPr>
        <w:footnoteRef/>
      </w:r>
      <w:r>
        <w:rPr>
          <w:sz w:val="20"/>
          <w:szCs w:val="20"/>
        </w:rPr>
        <w:t xml:space="preserve"> Doutora em Ciências Sociais e Jurídicas pela Universidade Federal Fluminense - UFF, Professora Associada da UENF, shirlena@uenf.br</w:t>
      </w:r>
    </w:p>
    <w:p w14:paraId="520625B3">
      <w:pPr>
        <w:pStyle w:val="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8"/>
    <w:footnote w:id="9"/>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20"/>
    <w:rsid w:val="00041049"/>
    <w:rsid w:val="0005341B"/>
    <w:rsid w:val="000967CB"/>
    <w:rsid w:val="00187B7E"/>
    <w:rsid w:val="001A5A12"/>
    <w:rsid w:val="002F2FF7"/>
    <w:rsid w:val="00380D20"/>
    <w:rsid w:val="003B4EF0"/>
    <w:rsid w:val="004D50CD"/>
    <w:rsid w:val="004F461A"/>
    <w:rsid w:val="0050636A"/>
    <w:rsid w:val="00576295"/>
    <w:rsid w:val="005D4D4E"/>
    <w:rsid w:val="005D5D3A"/>
    <w:rsid w:val="005E33E3"/>
    <w:rsid w:val="0060070E"/>
    <w:rsid w:val="007F54C2"/>
    <w:rsid w:val="008163C1"/>
    <w:rsid w:val="00855E60"/>
    <w:rsid w:val="00972C9E"/>
    <w:rsid w:val="00972E2B"/>
    <w:rsid w:val="009B18AC"/>
    <w:rsid w:val="00B56ADF"/>
    <w:rsid w:val="00CC6EDE"/>
    <w:rsid w:val="00D06FBC"/>
    <w:rsid w:val="00D33B5D"/>
    <w:rsid w:val="00D47A66"/>
    <w:rsid w:val="00D842D3"/>
    <w:rsid w:val="00E1424D"/>
    <w:rsid w:val="00E26D6C"/>
    <w:rsid w:val="00E27ECB"/>
    <w:rsid w:val="00E66F0D"/>
    <w:rsid w:val="00E739FA"/>
    <w:rsid w:val="00E808F7"/>
    <w:rsid w:val="00EC67C2"/>
    <w:rsid w:val="56E228A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360" w:lineRule="auto"/>
      <w:jc w:val="both"/>
    </w:pPr>
    <w:rPr>
      <w:rFonts w:ascii="Times New Roman" w:hAnsi="Times New Roman" w:eastAsiaTheme="minorHAnsi" w:cstheme="minorBidi"/>
      <w:kern w:val="2"/>
      <w:sz w:val="24"/>
      <w:szCs w:val="24"/>
      <w:lang w:val="pt-BR" w:eastAsia="en-US" w:bidi="ar-SA"/>
      <w14:ligatures w14:val="standardContextual"/>
    </w:rPr>
  </w:style>
  <w:style w:type="paragraph" w:styleId="2">
    <w:name w:val="heading 1"/>
    <w:basedOn w:val="1"/>
    <w:next w:val="1"/>
    <w:link w:val="21"/>
    <w:qFormat/>
    <w:uiPriority w:val="9"/>
    <w:pPr>
      <w:keepNext/>
      <w:keepLines/>
      <w:jc w:val="left"/>
      <w:outlineLvl w:val="0"/>
    </w:pPr>
    <w:rPr>
      <w:rFonts w:eastAsiaTheme="majorEastAsia" w:cstheme="majorBidi"/>
      <w:b/>
      <w:caps/>
      <w:szCs w:val="40"/>
    </w:rPr>
  </w:style>
  <w:style w:type="paragraph" w:styleId="3">
    <w:name w:val="heading 2"/>
    <w:basedOn w:val="1"/>
    <w:next w:val="1"/>
    <w:link w:val="22"/>
    <w:unhideWhenUsed/>
    <w:qFormat/>
    <w:uiPriority w:val="9"/>
    <w:pPr>
      <w:keepNext/>
      <w:keepLines/>
      <w:jc w:val="left"/>
      <w:outlineLvl w:val="1"/>
    </w:pPr>
    <w:rPr>
      <w:rFonts w:eastAsiaTheme="majorEastAsia" w:cstheme="majorBidi"/>
      <w:b/>
      <w:szCs w:val="32"/>
    </w:rPr>
  </w:style>
  <w:style w:type="paragraph" w:styleId="4">
    <w:name w:val="heading 3"/>
    <w:basedOn w:val="1"/>
    <w:next w:val="1"/>
    <w:link w:val="23"/>
    <w:unhideWhenUsed/>
    <w:qFormat/>
    <w:uiPriority w:val="9"/>
    <w:pPr>
      <w:keepNext/>
      <w:keepLines/>
      <w:jc w:val="left"/>
      <w:outlineLvl w:val="2"/>
    </w:pPr>
    <w:rPr>
      <w:rFonts w:eastAsiaTheme="majorEastAsia" w:cstheme="majorBidi"/>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otnote reference"/>
    <w:basedOn w:val="11"/>
    <w:semiHidden/>
    <w:unhideWhenUsed/>
    <w:uiPriority w:val="99"/>
    <w:rPr>
      <w:vertAlign w:val="superscript"/>
    </w:rPr>
  </w:style>
  <w:style w:type="character" w:styleId="15">
    <w:name w:val="Hyperlink"/>
    <w:basedOn w:val="11"/>
    <w:unhideWhenUsed/>
    <w:uiPriority w:val="99"/>
    <w:rPr>
      <w:color w:val="467886" w:themeColor="hyperlink"/>
      <w:u w:val="single"/>
      <w14:textFill>
        <w14:solidFill>
          <w14:schemeClr w14:val="hlink"/>
        </w14:solidFill>
      </w14:textFill>
    </w:rPr>
  </w:style>
  <w:style w:type="paragraph" w:styleId="16">
    <w:name w:val="Title"/>
    <w:basedOn w:val="1"/>
    <w:next w:val="1"/>
    <w:link w:val="30"/>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7">
    <w:name w:val="header"/>
    <w:basedOn w:val="1"/>
    <w:link w:val="41"/>
    <w:unhideWhenUsed/>
    <w:uiPriority w:val="99"/>
    <w:pPr>
      <w:tabs>
        <w:tab w:val="center" w:pos="4252"/>
        <w:tab w:val="right" w:pos="8504"/>
      </w:tabs>
      <w:spacing w:line="240" w:lineRule="auto"/>
    </w:pPr>
  </w:style>
  <w:style w:type="paragraph" w:styleId="18">
    <w:name w:val="footer"/>
    <w:basedOn w:val="1"/>
    <w:link w:val="42"/>
    <w:unhideWhenUsed/>
    <w:uiPriority w:val="99"/>
    <w:pPr>
      <w:tabs>
        <w:tab w:val="center" w:pos="4252"/>
        <w:tab w:val="right" w:pos="8504"/>
      </w:tabs>
      <w:spacing w:line="240" w:lineRule="auto"/>
    </w:pPr>
  </w:style>
  <w:style w:type="paragraph" w:styleId="19">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footnote text"/>
    <w:basedOn w:val="1"/>
    <w:link w:val="43"/>
    <w:semiHidden/>
    <w:unhideWhenUsed/>
    <w:uiPriority w:val="99"/>
    <w:pPr>
      <w:spacing w:line="240" w:lineRule="auto"/>
    </w:pPr>
    <w:rPr>
      <w:sz w:val="20"/>
      <w:szCs w:val="20"/>
    </w:rPr>
  </w:style>
  <w:style w:type="character" w:customStyle="1" w:styleId="21">
    <w:name w:val="Título 1 Char"/>
    <w:basedOn w:val="11"/>
    <w:link w:val="2"/>
    <w:uiPriority w:val="9"/>
    <w:rPr>
      <w:rFonts w:ascii="Times New Roman" w:hAnsi="Times New Roman" w:eastAsiaTheme="majorEastAsia" w:cstheme="majorBidi"/>
      <w:b/>
      <w:caps/>
      <w:szCs w:val="40"/>
    </w:rPr>
  </w:style>
  <w:style w:type="character" w:customStyle="1" w:styleId="22">
    <w:name w:val="Título 2 Char"/>
    <w:basedOn w:val="11"/>
    <w:link w:val="3"/>
    <w:uiPriority w:val="9"/>
    <w:rPr>
      <w:rFonts w:ascii="Times New Roman" w:hAnsi="Times New Roman" w:eastAsiaTheme="majorEastAsia" w:cstheme="majorBidi"/>
      <w:b/>
      <w:szCs w:val="32"/>
    </w:rPr>
  </w:style>
  <w:style w:type="character" w:customStyle="1" w:styleId="23">
    <w:name w:val="Título 3 Char"/>
    <w:basedOn w:val="11"/>
    <w:link w:val="4"/>
    <w:uiPriority w:val="9"/>
    <w:rPr>
      <w:rFonts w:ascii="Times New Roman" w:hAnsi="Times New Roman" w:eastAsiaTheme="majorEastAsia" w:cstheme="majorBidi"/>
      <w:szCs w:val="28"/>
    </w:rPr>
  </w:style>
  <w:style w:type="character" w:customStyle="1" w:styleId="24">
    <w:name w:val="Título 4 Char"/>
    <w:basedOn w:val="11"/>
    <w:link w:val="5"/>
    <w:semiHidden/>
    <w:uiPriority w:val="9"/>
    <w:rPr>
      <w:rFonts w:eastAsiaTheme="majorEastAsia" w:cstheme="majorBidi"/>
      <w:i/>
      <w:iCs/>
      <w:color w:val="104862" w:themeColor="accent1" w:themeShade="BF"/>
    </w:rPr>
  </w:style>
  <w:style w:type="character" w:customStyle="1" w:styleId="25">
    <w:name w:val="Título 5 Char"/>
    <w:basedOn w:val="11"/>
    <w:link w:val="6"/>
    <w:semiHidden/>
    <w:uiPriority w:val="9"/>
    <w:rPr>
      <w:rFonts w:eastAsiaTheme="majorEastAsia" w:cstheme="majorBidi"/>
      <w:color w:val="104862" w:themeColor="accent1" w:themeShade="BF"/>
    </w:rPr>
  </w:style>
  <w:style w:type="character" w:customStyle="1" w:styleId="26">
    <w:name w:val="Título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Título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ítulo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Título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ítulo Char"/>
    <w:basedOn w:val="11"/>
    <w:link w:val="16"/>
    <w:uiPriority w:val="10"/>
    <w:rPr>
      <w:rFonts w:asciiTheme="majorHAnsi" w:hAnsiTheme="majorHAnsi" w:eastAsiaTheme="majorEastAsia" w:cstheme="majorBidi"/>
      <w:spacing w:val="-10"/>
      <w:kern w:val="28"/>
      <w:sz w:val="56"/>
      <w:szCs w:val="56"/>
    </w:rPr>
  </w:style>
  <w:style w:type="character" w:customStyle="1" w:styleId="31">
    <w:name w:val="Subtítulo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Citação Ch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Citação Intensa Char"/>
    <w:basedOn w:val="11"/>
    <w:link w:val="36"/>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paragraph" w:customStyle="1" w:styleId="39">
    <w:name w:val="Estilo1"/>
    <w:basedOn w:val="3"/>
    <w:uiPriority w:val="0"/>
    <w:rPr>
      <w:b w:val="0"/>
    </w:rPr>
  </w:style>
  <w:style w:type="character" w:customStyle="1" w:styleId="40">
    <w:name w:val="Unresolved Mention"/>
    <w:basedOn w:val="11"/>
    <w:semiHidden/>
    <w:unhideWhenUsed/>
    <w:uiPriority w:val="99"/>
    <w:rPr>
      <w:color w:val="605E5C"/>
      <w:shd w:val="clear" w:color="auto" w:fill="E1DFDD"/>
    </w:rPr>
  </w:style>
  <w:style w:type="character" w:customStyle="1" w:styleId="41">
    <w:name w:val="Cabeçalho Char"/>
    <w:basedOn w:val="11"/>
    <w:link w:val="17"/>
    <w:uiPriority w:val="99"/>
    <w:rPr>
      <w:rFonts w:ascii="Times New Roman" w:hAnsi="Times New Roman"/>
    </w:rPr>
  </w:style>
  <w:style w:type="character" w:customStyle="1" w:styleId="42">
    <w:name w:val="Rodapé Char"/>
    <w:basedOn w:val="11"/>
    <w:link w:val="18"/>
    <w:uiPriority w:val="99"/>
    <w:rPr>
      <w:rFonts w:ascii="Times New Roman" w:hAnsi="Times New Roman"/>
    </w:rPr>
  </w:style>
  <w:style w:type="character" w:customStyle="1" w:styleId="43">
    <w:name w:val="Texto de nota de rodapé Char"/>
    <w:basedOn w:val="11"/>
    <w:link w:val="20"/>
    <w:semiHidden/>
    <w:uiPriority w:val="99"/>
    <w:rPr>
      <w:rFonts w:ascii="Times New Roman" w:hAnsi="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8377-24C5-4E15-8625-D61CD6C45CC4}">
  <ds:schemaRefs/>
</ds:datastoreItem>
</file>

<file path=docProps/app.xml><?xml version="1.0" encoding="utf-8"?>
<Properties xmlns="http://schemas.openxmlformats.org/officeDocument/2006/extended-properties" xmlns:vt="http://schemas.openxmlformats.org/officeDocument/2006/docPropsVTypes">
  <Template>Normal</Template>
  <Pages>15</Pages>
  <Words>5826</Words>
  <Characters>32863</Characters>
  <Lines>1060</Lines>
  <Paragraphs>425</Paragraphs>
  <TotalTime>16</TotalTime>
  <ScaleCrop>false</ScaleCrop>
  <LinksUpToDate>false</LinksUpToDate>
  <CharactersWithSpaces>38264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2025-10-21T05:05:00Z</dcterms:created>
  <dc:creator>GINFO</dc:creator>
  <cp:lastModifiedBy>Isabela Baptista Moraes Arruda</cp:lastModifiedBy>
  <dcterms:modified xsi:type="dcterms:W3CDTF">2025-10-21T22:12:08Z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E7D1C0C978A842EC9B25EE4E733E7ABF_13</vt:lpwstr>
  </property>
</Properties>
</file>