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397F" w14:textId="1570566D" w:rsidR="000414E8" w:rsidRPr="00AD66B1" w:rsidRDefault="000414E8" w:rsidP="004739E0">
      <w:pPr>
        <w:shd w:val="clear" w:color="auto" w:fill="FFFFFF"/>
        <w:spacing w:line="360" w:lineRule="auto"/>
        <w:ind w:left="357"/>
        <w:rPr>
          <w:rFonts w:ascii="Arial" w:hAnsi="Arial" w:cs="Arial"/>
          <w:color w:val="212529"/>
          <w:sz w:val="18"/>
          <w:szCs w:val="18"/>
        </w:rPr>
      </w:pPr>
    </w:p>
    <w:p w14:paraId="6C185EA6" w14:textId="77777777" w:rsidR="005A314C" w:rsidRPr="00AD66B1" w:rsidRDefault="005A314C" w:rsidP="004739E0">
      <w:pPr>
        <w:shd w:val="clear" w:color="auto" w:fill="FFFFFF"/>
        <w:spacing w:line="360" w:lineRule="auto"/>
        <w:ind w:left="357"/>
        <w:rPr>
          <w:rFonts w:ascii="Arial" w:hAnsi="Arial" w:cs="Arial"/>
          <w:color w:val="212529"/>
          <w:sz w:val="18"/>
          <w:szCs w:val="18"/>
        </w:rPr>
      </w:pPr>
    </w:p>
    <w:p w14:paraId="22F2BC48" w14:textId="77777777" w:rsidR="005A314C" w:rsidRPr="00AD66B1" w:rsidRDefault="005A314C" w:rsidP="004739E0">
      <w:pPr>
        <w:shd w:val="clear" w:color="auto" w:fill="FFFFFF"/>
        <w:spacing w:line="360" w:lineRule="auto"/>
        <w:ind w:left="357"/>
        <w:rPr>
          <w:rFonts w:ascii="Arial" w:hAnsi="Arial" w:cs="Arial"/>
          <w:color w:val="212529"/>
          <w:sz w:val="18"/>
          <w:szCs w:val="18"/>
        </w:rPr>
      </w:pPr>
    </w:p>
    <w:p w14:paraId="0CE11D2B" w14:textId="77777777" w:rsidR="005A314C" w:rsidRPr="00AD66B1" w:rsidRDefault="005A314C" w:rsidP="004739E0">
      <w:pPr>
        <w:shd w:val="clear" w:color="auto" w:fill="FFFFFF"/>
        <w:spacing w:line="360" w:lineRule="auto"/>
        <w:ind w:left="357"/>
        <w:rPr>
          <w:rFonts w:ascii="Arial" w:hAnsi="Arial" w:cs="Arial"/>
          <w:color w:val="212529"/>
          <w:sz w:val="18"/>
          <w:szCs w:val="18"/>
        </w:rPr>
      </w:pPr>
    </w:p>
    <w:p w14:paraId="02FCEB94" w14:textId="77777777" w:rsidR="000414E8" w:rsidRPr="00AD66B1" w:rsidRDefault="000414E8" w:rsidP="00136A83">
      <w:pPr>
        <w:pStyle w:val="IDpaper-Title"/>
        <w:widowControl/>
        <w:spacing w:line="360" w:lineRule="auto"/>
        <w:ind w:left="0"/>
        <w:rPr>
          <w:rFonts w:cs="Arial"/>
          <w:sz w:val="18"/>
          <w:lang w:val="pt-BR"/>
        </w:rPr>
      </w:pPr>
    </w:p>
    <w:p w14:paraId="59D514A8" w14:textId="77777777" w:rsidR="008F64A2" w:rsidRPr="00CC1B73" w:rsidRDefault="00EC33AE" w:rsidP="008F64A2">
      <w:pPr>
        <w:spacing w:after="160" w:line="278" w:lineRule="auto"/>
        <w:jc w:val="center"/>
        <w:rPr>
          <w:rFonts w:ascii="Arial" w:hAnsi="Arial" w:cs="Arial"/>
        </w:rPr>
      </w:pPr>
      <w:bookmarkStart w:id="0" w:name="_Hlk120915664"/>
      <w:r w:rsidRPr="00AD66B1">
        <w:rPr>
          <w:rFonts w:ascii="Arial" w:hAnsi="Arial" w:cs="Arial"/>
          <w:b/>
          <w:bCs/>
        </w:rPr>
        <w:t>Eixo Temático:</w:t>
      </w:r>
      <w:r w:rsidRPr="00AD66B1">
        <w:rPr>
          <w:rFonts w:ascii="Arial" w:hAnsi="Arial" w:cs="Arial"/>
        </w:rPr>
        <w:t xml:space="preserve"> </w:t>
      </w:r>
      <w:r w:rsidR="008F64A2" w:rsidRPr="00CC1B73">
        <w:rPr>
          <w:rFonts w:ascii="Arial" w:hAnsi="Arial" w:cs="Arial"/>
          <w:b/>
          <w:bCs/>
        </w:rPr>
        <w:t>GT5 – Propostas de instrumentos para diagnóstico, metodologias e ferramentas de gestão pública</w:t>
      </w:r>
    </w:p>
    <w:bookmarkEnd w:id="0"/>
    <w:p w14:paraId="4A51AD2D" w14:textId="77777777" w:rsidR="005E648F" w:rsidRPr="00AD66B1" w:rsidRDefault="005E648F" w:rsidP="004739E0">
      <w:pPr>
        <w:pStyle w:val="IDpaper-Title"/>
        <w:widowControl/>
        <w:spacing w:line="360" w:lineRule="auto"/>
        <w:ind w:left="0"/>
        <w:jc w:val="center"/>
        <w:rPr>
          <w:rFonts w:cs="Arial"/>
          <w:sz w:val="28"/>
          <w:szCs w:val="32"/>
          <w:lang w:val="pt-BR"/>
        </w:rPr>
      </w:pPr>
    </w:p>
    <w:p w14:paraId="69136B15" w14:textId="68CD7072" w:rsidR="00321E57" w:rsidRPr="00AD66B1" w:rsidRDefault="00321E57" w:rsidP="00321E57">
      <w:pPr>
        <w:jc w:val="center"/>
        <w:rPr>
          <w:rFonts w:ascii="Arial" w:hAnsi="Arial" w:cs="Arial"/>
          <w:b/>
          <w:bCs/>
          <w:sz w:val="28"/>
          <w:szCs w:val="28"/>
        </w:rPr>
      </w:pPr>
      <w:r w:rsidRPr="00AD66B1">
        <w:rPr>
          <w:rFonts w:ascii="Arial" w:hAnsi="Arial" w:cs="Arial"/>
          <w:b/>
          <w:bCs/>
          <w:sz w:val="28"/>
          <w:szCs w:val="28"/>
        </w:rPr>
        <w:t xml:space="preserve">Um Olhar sobre o Desenvolvimento dos </w:t>
      </w:r>
      <w:r w:rsidR="00FC0F3D">
        <w:rPr>
          <w:rFonts w:ascii="Arial" w:hAnsi="Arial" w:cs="Arial"/>
          <w:b/>
          <w:bCs/>
          <w:sz w:val="28"/>
          <w:szCs w:val="28"/>
        </w:rPr>
        <w:t>M</w:t>
      </w:r>
      <w:r w:rsidRPr="00AD66B1">
        <w:rPr>
          <w:rFonts w:ascii="Arial" w:hAnsi="Arial" w:cs="Arial"/>
          <w:b/>
          <w:bCs/>
          <w:sz w:val="28"/>
          <w:szCs w:val="28"/>
        </w:rPr>
        <w:t xml:space="preserve">unicípios </w:t>
      </w:r>
      <w:r w:rsidR="00FC0F3D">
        <w:rPr>
          <w:rFonts w:ascii="Arial" w:hAnsi="Arial" w:cs="Arial"/>
          <w:b/>
          <w:bCs/>
          <w:sz w:val="28"/>
          <w:szCs w:val="28"/>
        </w:rPr>
        <w:t>P</w:t>
      </w:r>
      <w:r w:rsidRPr="00AD66B1">
        <w:rPr>
          <w:rFonts w:ascii="Arial" w:hAnsi="Arial" w:cs="Arial"/>
          <w:b/>
          <w:bCs/>
          <w:sz w:val="28"/>
          <w:szCs w:val="28"/>
        </w:rPr>
        <w:t>etrorrentistas do Litoral Sul Capixaba – o que os indicadores socioeconômicos mostram</w:t>
      </w:r>
    </w:p>
    <w:p w14:paraId="44F6E2B3" w14:textId="77777777" w:rsidR="00B12650" w:rsidRPr="00AD66B1" w:rsidRDefault="00B12650" w:rsidP="004739E0">
      <w:pPr>
        <w:pStyle w:val="IDpaper-TitleEnglish"/>
        <w:widowControl/>
        <w:spacing w:after="0" w:line="360" w:lineRule="auto"/>
        <w:ind w:left="0"/>
        <w:jc w:val="center"/>
        <w:rPr>
          <w:rFonts w:cs="Arial"/>
          <w:szCs w:val="24"/>
          <w:lang w:val="pt-BR"/>
        </w:rPr>
      </w:pPr>
    </w:p>
    <w:p w14:paraId="23FAB3B6" w14:textId="0AB6FCBB" w:rsidR="00F526A1" w:rsidRPr="007629A3" w:rsidRDefault="00F526A1" w:rsidP="00F526A1">
      <w:pPr>
        <w:pStyle w:val="Corpo"/>
        <w:spacing w:after="0" w:line="240" w:lineRule="auto"/>
        <w:jc w:val="center"/>
        <w:rPr>
          <w:rStyle w:val="Nenhum"/>
          <w:i/>
          <w:iCs/>
        </w:rPr>
      </w:pPr>
      <w:r w:rsidRPr="007629A3">
        <w:rPr>
          <w:rStyle w:val="Nenhum"/>
          <w:i/>
          <w:iCs/>
        </w:rPr>
        <w:t xml:space="preserve">A Look </w:t>
      </w:r>
      <w:proofErr w:type="spellStart"/>
      <w:r w:rsidRPr="007629A3">
        <w:rPr>
          <w:rStyle w:val="Nenhum"/>
          <w:i/>
          <w:iCs/>
        </w:rPr>
        <w:t>at</w:t>
      </w:r>
      <w:proofErr w:type="spellEnd"/>
      <w:r w:rsidRPr="007629A3">
        <w:rPr>
          <w:rStyle w:val="Nenhum"/>
          <w:i/>
          <w:iCs/>
        </w:rPr>
        <w:t xml:space="preserve"> </w:t>
      </w:r>
      <w:proofErr w:type="spellStart"/>
      <w:r w:rsidRPr="007629A3">
        <w:rPr>
          <w:rStyle w:val="Nenhum"/>
          <w:i/>
          <w:iCs/>
        </w:rPr>
        <w:t>the</w:t>
      </w:r>
      <w:proofErr w:type="spellEnd"/>
      <w:r w:rsidRPr="007629A3">
        <w:rPr>
          <w:rStyle w:val="Nenhum"/>
          <w:i/>
          <w:iCs/>
        </w:rPr>
        <w:t xml:space="preserve"> </w:t>
      </w:r>
      <w:proofErr w:type="spellStart"/>
      <w:r w:rsidRPr="007629A3">
        <w:rPr>
          <w:rStyle w:val="Nenhum"/>
          <w:i/>
          <w:iCs/>
        </w:rPr>
        <w:t>Development</w:t>
      </w:r>
      <w:proofErr w:type="spellEnd"/>
      <w:r w:rsidRPr="007629A3">
        <w:rPr>
          <w:rStyle w:val="Nenhum"/>
          <w:i/>
          <w:iCs/>
        </w:rPr>
        <w:t xml:space="preserve"> </w:t>
      </w:r>
      <w:proofErr w:type="spellStart"/>
      <w:r w:rsidRPr="007629A3">
        <w:rPr>
          <w:rStyle w:val="Nenhum"/>
          <w:i/>
          <w:iCs/>
        </w:rPr>
        <w:t>of</w:t>
      </w:r>
      <w:proofErr w:type="spellEnd"/>
      <w:r w:rsidRPr="007629A3">
        <w:rPr>
          <w:rStyle w:val="Nenhum"/>
          <w:i/>
          <w:iCs/>
        </w:rPr>
        <w:t xml:space="preserve"> </w:t>
      </w:r>
      <w:proofErr w:type="spellStart"/>
      <w:r w:rsidRPr="007629A3">
        <w:rPr>
          <w:rStyle w:val="Nenhum"/>
          <w:i/>
          <w:iCs/>
        </w:rPr>
        <w:t>Petro</w:t>
      </w:r>
      <w:r w:rsidR="00FC0F3D">
        <w:rPr>
          <w:rStyle w:val="Nenhum"/>
          <w:i/>
          <w:iCs/>
        </w:rPr>
        <w:t>r</w:t>
      </w:r>
      <w:r w:rsidRPr="007629A3">
        <w:rPr>
          <w:rStyle w:val="Nenhum"/>
          <w:i/>
          <w:iCs/>
        </w:rPr>
        <w:t>entist</w:t>
      </w:r>
      <w:proofErr w:type="spellEnd"/>
      <w:r w:rsidRPr="007629A3">
        <w:rPr>
          <w:rStyle w:val="Nenhum"/>
          <w:i/>
          <w:iCs/>
        </w:rPr>
        <w:t xml:space="preserve"> </w:t>
      </w:r>
      <w:proofErr w:type="spellStart"/>
      <w:r w:rsidRPr="007629A3">
        <w:rPr>
          <w:rStyle w:val="Nenhum"/>
          <w:i/>
          <w:iCs/>
        </w:rPr>
        <w:t>Municipalities</w:t>
      </w:r>
      <w:proofErr w:type="spellEnd"/>
      <w:r w:rsidRPr="007629A3">
        <w:rPr>
          <w:rStyle w:val="Nenhum"/>
          <w:i/>
          <w:iCs/>
        </w:rPr>
        <w:t xml:space="preserve"> </w:t>
      </w:r>
      <w:proofErr w:type="spellStart"/>
      <w:r w:rsidRPr="007629A3">
        <w:rPr>
          <w:rStyle w:val="Nenhum"/>
          <w:i/>
          <w:iCs/>
        </w:rPr>
        <w:t>on</w:t>
      </w:r>
      <w:proofErr w:type="spellEnd"/>
      <w:r w:rsidRPr="007629A3">
        <w:rPr>
          <w:rStyle w:val="Nenhum"/>
          <w:i/>
          <w:iCs/>
        </w:rPr>
        <w:t xml:space="preserve"> </w:t>
      </w:r>
      <w:proofErr w:type="spellStart"/>
      <w:r w:rsidRPr="007629A3">
        <w:rPr>
          <w:rStyle w:val="Nenhum"/>
          <w:i/>
          <w:iCs/>
        </w:rPr>
        <w:t>the</w:t>
      </w:r>
      <w:proofErr w:type="spellEnd"/>
      <w:r w:rsidRPr="007629A3">
        <w:rPr>
          <w:rStyle w:val="Nenhum"/>
          <w:i/>
          <w:iCs/>
        </w:rPr>
        <w:t xml:space="preserve"> Southern Coast </w:t>
      </w:r>
      <w:proofErr w:type="spellStart"/>
      <w:r w:rsidRPr="007629A3">
        <w:rPr>
          <w:rStyle w:val="Nenhum"/>
          <w:i/>
          <w:iCs/>
        </w:rPr>
        <w:t>of</w:t>
      </w:r>
      <w:proofErr w:type="spellEnd"/>
      <w:r w:rsidRPr="007629A3">
        <w:rPr>
          <w:rStyle w:val="Nenhum"/>
          <w:i/>
          <w:iCs/>
        </w:rPr>
        <w:t xml:space="preserve"> Espírito Santo – </w:t>
      </w:r>
      <w:proofErr w:type="spellStart"/>
      <w:r w:rsidR="00FC0F3D">
        <w:rPr>
          <w:rStyle w:val="Nenhum"/>
          <w:i/>
          <w:iCs/>
        </w:rPr>
        <w:t>w</w:t>
      </w:r>
      <w:r w:rsidRPr="007629A3">
        <w:rPr>
          <w:rStyle w:val="Nenhum"/>
          <w:i/>
          <w:iCs/>
        </w:rPr>
        <w:t>hat</w:t>
      </w:r>
      <w:proofErr w:type="spellEnd"/>
      <w:r w:rsidRPr="007629A3">
        <w:rPr>
          <w:rStyle w:val="Nenhum"/>
          <w:i/>
          <w:iCs/>
        </w:rPr>
        <w:t xml:space="preserve"> </w:t>
      </w:r>
      <w:proofErr w:type="spellStart"/>
      <w:r w:rsidRPr="007629A3">
        <w:rPr>
          <w:rStyle w:val="Nenhum"/>
          <w:i/>
          <w:iCs/>
        </w:rPr>
        <w:t>the</w:t>
      </w:r>
      <w:proofErr w:type="spellEnd"/>
      <w:r w:rsidRPr="007629A3">
        <w:rPr>
          <w:rStyle w:val="Nenhum"/>
          <w:i/>
          <w:iCs/>
        </w:rPr>
        <w:t xml:space="preserve"> </w:t>
      </w:r>
      <w:proofErr w:type="spellStart"/>
      <w:r w:rsidR="00EA7EBC">
        <w:rPr>
          <w:rStyle w:val="Nenhum"/>
          <w:i/>
          <w:iCs/>
        </w:rPr>
        <w:t>s</w:t>
      </w:r>
      <w:r w:rsidRPr="007629A3">
        <w:rPr>
          <w:rStyle w:val="Nenhum"/>
          <w:i/>
          <w:iCs/>
        </w:rPr>
        <w:t>ocioeconomic</w:t>
      </w:r>
      <w:proofErr w:type="spellEnd"/>
      <w:r w:rsidRPr="007629A3">
        <w:rPr>
          <w:rStyle w:val="Nenhum"/>
          <w:i/>
          <w:iCs/>
        </w:rPr>
        <w:t xml:space="preserve"> </w:t>
      </w:r>
      <w:proofErr w:type="spellStart"/>
      <w:r w:rsidR="00EA7EBC">
        <w:rPr>
          <w:rStyle w:val="Nenhum"/>
          <w:i/>
          <w:iCs/>
        </w:rPr>
        <w:t>i</w:t>
      </w:r>
      <w:r w:rsidRPr="007629A3">
        <w:rPr>
          <w:rStyle w:val="Nenhum"/>
          <w:i/>
          <w:iCs/>
        </w:rPr>
        <w:t>ndicators</w:t>
      </w:r>
      <w:proofErr w:type="spellEnd"/>
      <w:r w:rsidRPr="007629A3">
        <w:rPr>
          <w:rStyle w:val="Nenhum"/>
          <w:i/>
          <w:iCs/>
        </w:rPr>
        <w:t xml:space="preserve"> </w:t>
      </w:r>
      <w:r w:rsidR="00EA7EBC">
        <w:rPr>
          <w:rStyle w:val="Nenhum"/>
          <w:i/>
          <w:iCs/>
        </w:rPr>
        <w:t>s</w:t>
      </w:r>
      <w:r w:rsidRPr="007629A3">
        <w:rPr>
          <w:rStyle w:val="Nenhum"/>
          <w:i/>
          <w:iCs/>
        </w:rPr>
        <w:t>how</w:t>
      </w:r>
    </w:p>
    <w:p w14:paraId="0A0E87EE" w14:textId="77777777" w:rsidR="00091A0A" w:rsidRPr="00AD66B1" w:rsidRDefault="00091A0A" w:rsidP="00091A0A">
      <w:pPr>
        <w:pStyle w:val="IDpaper-Title"/>
        <w:widowControl/>
        <w:spacing w:line="360" w:lineRule="auto"/>
        <w:ind w:left="0"/>
        <w:jc w:val="center"/>
        <w:rPr>
          <w:rFonts w:cs="Arial"/>
          <w:b w:val="0"/>
          <w:bCs/>
          <w:i/>
          <w:iCs/>
          <w:szCs w:val="28"/>
          <w:lang w:val="pt-BR"/>
        </w:rPr>
      </w:pPr>
    </w:p>
    <w:p w14:paraId="6A467ECA" w14:textId="0B2E4B61" w:rsidR="00D12011" w:rsidRPr="00AD66B1" w:rsidRDefault="00D12011" w:rsidP="00091A0A">
      <w:pPr>
        <w:pStyle w:val="IDpaper-Title"/>
        <w:widowControl/>
        <w:spacing w:line="360" w:lineRule="auto"/>
        <w:ind w:left="0"/>
        <w:jc w:val="right"/>
        <w:rPr>
          <w:rFonts w:cs="Arial"/>
          <w:b w:val="0"/>
          <w:bCs/>
          <w:i/>
          <w:iCs/>
          <w:szCs w:val="28"/>
          <w:lang w:val="pt-BR"/>
        </w:rPr>
      </w:pPr>
      <w:r w:rsidRPr="00AD66B1">
        <w:rPr>
          <w:rFonts w:cs="Arial"/>
          <w:b w:val="0"/>
          <w:bCs/>
          <w:color w:val="000000" w:themeColor="text1"/>
          <w:sz w:val="18"/>
          <w:szCs w:val="18"/>
          <w:lang w:val="pt-BR"/>
        </w:rPr>
        <w:t>A</w:t>
      </w:r>
      <w:r w:rsidR="00267125" w:rsidRPr="00AD66B1">
        <w:rPr>
          <w:rFonts w:cs="Arial"/>
          <w:b w:val="0"/>
          <w:bCs/>
          <w:color w:val="000000" w:themeColor="text1"/>
          <w:sz w:val="18"/>
          <w:szCs w:val="18"/>
          <w:lang w:val="pt-BR"/>
        </w:rPr>
        <w:t>urimar de Paula Viana</w:t>
      </w:r>
      <w:r w:rsidRPr="00AD66B1">
        <w:rPr>
          <w:rStyle w:val="Refdenotaderodap"/>
          <w:rFonts w:cs="Arial"/>
          <w:b w:val="0"/>
          <w:bCs/>
          <w:color w:val="000000" w:themeColor="text1"/>
          <w:sz w:val="18"/>
          <w:szCs w:val="18"/>
          <w:lang w:val="pt-BR"/>
        </w:rPr>
        <w:footnoteReference w:id="1"/>
      </w:r>
    </w:p>
    <w:p w14:paraId="1DCA367A" w14:textId="1AD6D38E" w:rsidR="00D12011" w:rsidRPr="00761C2F" w:rsidRDefault="00267125" w:rsidP="00761C2F">
      <w:pPr>
        <w:widowControl w:val="0"/>
        <w:shd w:val="clear" w:color="auto" w:fill="FFFFFF"/>
        <w:tabs>
          <w:tab w:val="left" w:pos="709"/>
          <w:tab w:val="left" w:pos="3119"/>
          <w:tab w:val="left" w:pos="5812"/>
        </w:tabs>
        <w:spacing w:line="276" w:lineRule="auto"/>
        <w:jc w:val="right"/>
        <w:outlineLvl w:val="0"/>
        <w:rPr>
          <w:rFonts w:ascii="Arial" w:hAnsi="Arial" w:cs="Arial"/>
          <w:color w:val="000000" w:themeColor="text1"/>
          <w:sz w:val="18"/>
          <w:szCs w:val="18"/>
        </w:rPr>
      </w:pPr>
      <w:r w:rsidRPr="00AD66B1">
        <w:rPr>
          <w:rFonts w:ascii="Arial" w:hAnsi="Arial" w:cs="Arial"/>
          <w:color w:val="000000" w:themeColor="text1"/>
          <w:sz w:val="18"/>
          <w:szCs w:val="18"/>
        </w:rPr>
        <w:t>Romeu Silva e Neto</w:t>
      </w:r>
      <w:r w:rsidR="00D12011" w:rsidRPr="00AD66B1">
        <w:rPr>
          <w:rStyle w:val="Refdenotaderodap"/>
          <w:rFonts w:ascii="Arial" w:hAnsi="Arial" w:cs="Arial"/>
          <w:color w:val="000000" w:themeColor="text1"/>
          <w:sz w:val="18"/>
          <w:szCs w:val="18"/>
        </w:rPr>
        <w:footnoteReference w:id="2"/>
      </w:r>
    </w:p>
    <w:p w14:paraId="1B53831B" w14:textId="53908E43" w:rsidR="00506622" w:rsidRPr="00AD66B1" w:rsidRDefault="00506622"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48E0BCE3" w14:textId="3D4EA0C9" w:rsidR="00506622" w:rsidRPr="00AD66B1" w:rsidRDefault="00506622" w:rsidP="002C1AE7">
      <w:pPr>
        <w:autoSpaceDE w:val="0"/>
        <w:autoSpaceDN w:val="0"/>
        <w:adjustRightInd w:val="0"/>
        <w:jc w:val="both"/>
        <w:rPr>
          <w:rFonts w:ascii="Arial" w:hAnsi="Arial" w:cs="Arial"/>
          <w:b/>
          <w:sz w:val="20"/>
          <w:szCs w:val="20"/>
        </w:rPr>
      </w:pPr>
      <w:r w:rsidRPr="00AD66B1">
        <w:rPr>
          <w:rFonts w:ascii="Arial" w:hAnsi="Arial" w:cs="Arial"/>
          <w:b/>
          <w:sz w:val="20"/>
          <w:szCs w:val="20"/>
        </w:rPr>
        <w:t>RESUMO</w:t>
      </w:r>
      <w:r w:rsidR="00622DC2" w:rsidRPr="00AD66B1">
        <w:rPr>
          <w:rFonts w:ascii="Arial" w:hAnsi="Arial" w:cs="Arial"/>
          <w:b/>
          <w:sz w:val="20"/>
          <w:szCs w:val="20"/>
        </w:rPr>
        <w:t xml:space="preserve"> </w:t>
      </w:r>
    </w:p>
    <w:p w14:paraId="06B5398B" w14:textId="5FB21987" w:rsidR="004853B1" w:rsidRPr="0058379E" w:rsidRDefault="004853B1" w:rsidP="004853B1">
      <w:pPr>
        <w:pStyle w:val="Corpo"/>
        <w:spacing w:after="0" w:line="240" w:lineRule="auto"/>
        <w:jc w:val="both"/>
        <w:rPr>
          <w:sz w:val="20"/>
          <w:szCs w:val="20"/>
        </w:rPr>
      </w:pPr>
      <w:r w:rsidRPr="0058379E">
        <w:rPr>
          <w:sz w:val="20"/>
          <w:szCs w:val="20"/>
        </w:rPr>
        <w:t>O estudo aborda o desenvolvimento de municípios petrorrentistas da região Litoral Sul Capixaba</w:t>
      </w:r>
      <w:r>
        <w:rPr>
          <w:sz w:val="20"/>
          <w:szCs w:val="20"/>
        </w:rPr>
        <w:t>, com carência de estudos sobre a relação da abundância de rendas petrolíferas e impactos no desenvolvimento municipal</w:t>
      </w:r>
      <w:r w:rsidRPr="0058379E">
        <w:rPr>
          <w:sz w:val="20"/>
          <w:szCs w:val="20"/>
        </w:rPr>
        <w:t>. Buscou-se mostrar o desenvolvimento de Itapemirim, Marataízes e Presidente Kennedy, por meio de indicadores de desenvolvimento</w:t>
      </w:r>
      <w:r>
        <w:rPr>
          <w:sz w:val="20"/>
          <w:szCs w:val="20"/>
        </w:rPr>
        <w:t xml:space="preserve"> socioeconômico. O estudo foi qualitativo e quantitativo, com abordagem exploratória, com uso de dados secundários. Traçou-se um perfil</w:t>
      </w:r>
      <w:r w:rsidRPr="0058379E">
        <w:rPr>
          <w:sz w:val="20"/>
          <w:szCs w:val="20"/>
        </w:rPr>
        <w:t xml:space="preserve"> socioeconômic</w:t>
      </w:r>
      <w:r>
        <w:rPr>
          <w:sz w:val="20"/>
          <w:szCs w:val="20"/>
        </w:rPr>
        <w:t>o</w:t>
      </w:r>
      <w:r w:rsidRPr="0058379E">
        <w:rPr>
          <w:sz w:val="20"/>
          <w:szCs w:val="20"/>
        </w:rPr>
        <w:t xml:space="preserve"> dos</w:t>
      </w:r>
      <w:r>
        <w:rPr>
          <w:sz w:val="20"/>
          <w:szCs w:val="20"/>
        </w:rPr>
        <w:t xml:space="preserve"> três</w:t>
      </w:r>
      <w:r w:rsidRPr="0058379E">
        <w:rPr>
          <w:sz w:val="20"/>
          <w:szCs w:val="20"/>
        </w:rPr>
        <w:t xml:space="preserve"> municípios, </w:t>
      </w:r>
      <w:r>
        <w:rPr>
          <w:sz w:val="20"/>
          <w:szCs w:val="20"/>
        </w:rPr>
        <w:t xml:space="preserve">fez-se um </w:t>
      </w:r>
      <w:r w:rsidRPr="0058379E">
        <w:rPr>
          <w:sz w:val="20"/>
          <w:szCs w:val="20"/>
        </w:rPr>
        <w:t>levantamento de rendas petrolíferas</w:t>
      </w:r>
      <w:r>
        <w:rPr>
          <w:sz w:val="20"/>
          <w:szCs w:val="20"/>
        </w:rPr>
        <w:t xml:space="preserve"> e utilizou-se indicadores multidimensionais, no período de 2013 a 2023, prioritariamente.</w:t>
      </w:r>
      <w:r w:rsidRPr="00CC658D">
        <w:rPr>
          <w:sz w:val="20"/>
          <w:szCs w:val="20"/>
        </w:rPr>
        <w:t xml:space="preserve"> </w:t>
      </w:r>
      <w:r>
        <w:rPr>
          <w:sz w:val="20"/>
          <w:szCs w:val="20"/>
        </w:rPr>
        <w:t xml:space="preserve">Os indicadores utilizados mostraram-se complementares e suplementares, permitindo uma visão mais sólida da situação socioeconômica e ambiental de cada município. </w:t>
      </w:r>
      <w:r w:rsidRPr="0058379E">
        <w:rPr>
          <w:sz w:val="20"/>
          <w:szCs w:val="20"/>
        </w:rPr>
        <w:t>Os resultados evidenciaram</w:t>
      </w:r>
      <w:r>
        <w:rPr>
          <w:sz w:val="20"/>
          <w:szCs w:val="20"/>
        </w:rPr>
        <w:t xml:space="preserve"> elevado recebimento de rendas petrolíferas</w:t>
      </w:r>
      <w:r w:rsidRPr="0058379E">
        <w:rPr>
          <w:sz w:val="20"/>
          <w:szCs w:val="20"/>
        </w:rPr>
        <w:t>,</w:t>
      </w:r>
      <w:r>
        <w:rPr>
          <w:sz w:val="20"/>
          <w:szCs w:val="20"/>
        </w:rPr>
        <w:t xml:space="preserve"> tanto por ano, quanto no total do período pesquisado, com </w:t>
      </w:r>
      <w:r w:rsidRPr="0058379E">
        <w:rPr>
          <w:sz w:val="20"/>
          <w:szCs w:val="20"/>
        </w:rPr>
        <w:t>elevad</w:t>
      </w:r>
      <w:r>
        <w:rPr>
          <w:sz w:val="20"/>
          <w:szCs w:val="20"/>
        </w:rPr>
        <w:t xml:space="preserve">a importância </w:t>
      </w:r>
      <w:r w:rsidRPr="0058379E">
        <w:rPr>
          <w:sz w:val="20"/>
          <w:szCs w:val="20"/>
        </w:rPr>
        <w:t>na receita dos municípios petrorrentistas</w:t>
      </w:r>
      <w:r>
        <w:rPr>
          <w:sz w:val="20"/>
          <w:szCs w:val="20"/>
        </w:rPr>
        <w:t>.</w:t>
      </w:r>
      <w:r w:rsidRPr="0058379E">
        <w:rPr>
          <w:sz w:val="20"/>
          <w:szCs w:val="20"/>
        </w:rPr>
        <w:t xml:space="preserve"> </w:t>
      </w:r>
      <w:r>
        <w:rPr>
          <w:sz w:val="20"/>
          <w:szCs w:val="20"/>
        </w:rPr>
        <w:t xml:space="preserve">Os municípios apresentaram elevado PIB </w:t>
      </w:r>
      <w:r w:rsidRPr="00997E3A">
        <w:rPr>
          <w:i/>
          <w:iCs/>
          <w:sz w:val="20"/>
          <w:szCs w:val="20"/>
        </w:rPr>
        <w:t>per capita</w:t>
      </w:r>
      <w:r>
        <w:rPr>
          <w:sz w:val="20"/>
          <w:szCs w:val="20"/>
        </w:rPr>
        <w:t xml:space="preserve">, porém, elevado percentual de pessoas na linha da pobreza. </w:t>
      </w:r>
      <w:r w:rsidRPr="0058379E">
        <w:rPr>
          <w:sz w:val="20"/>
          <w:szCs w:val="20"/>
        </w:rPr>
        <w:t xml:space="preserve">Não foi possível visualizar </w:t>
      </w:r>
      <w:r>
        <w:rPr>
          <w:sz w:val="20"/>
          <w:szCs w:val="20"/>
        </w:rPr>
        <w:t xml:space="preserve">resultados satisfatórios nos </w:t>
      </w:r>
      <w:r w:rsidRPr="0058379E">
        <w:rPr>
          <w:sz w:val="20"/>
          <w:szCs w:val="20"/>
        </w:rPr>
        <w:t xml:space="preserve">indicadores </w:t>
      </w:r>
      <w:r>
        <w:rPr>
          <w:sz w:val="20"/>
          <w:szCs w:val="20"/>
        </w:rPr>
        <w:t>socioeconômicos condizentes com</w:t>
      </w:r>
      <w:r w:rsidR="00FC0F3D">
        <w:rPr>
          <w:sz w:val="20"/>
          <w:szCs w:val="20"/>
        </w:rPr>
        <w:t xml:space="preserve"> a</w:t>
      </w:r>
      <w:r>
        <w:rPr>
          <w:sz w:val="20"/>
          <w:szCs w:val="20"/>
        </w:rPr>
        <w:t xml:space="preserve"> riqueza das rendas petrolíferas recebidas. Pôde-se notar</w:t>
      </w:r>
      <w:r w:rsidRPr="0058379E">
        <w:rPr>
          <w:sz w:val="20"/>
          <w:szCs w:val="20"/>
        </w:rPr>
        <w:t xml:space="preserve"> ausência de uso de recursos</w:t>
      </w:r>
      <w:r>
        <w:rPr>
          <w:sz w:val="20"/>
          <w:szCs w:val="20"/>
        </w:rPr>
        <w:t xml:space="preserve"> para melhoria de condições de vida e redução das desigualdades sociais e de investimentos em saneamento, </w:t>
      </w:r>
      <w:r w:rsidRPr="0058379E">
        <w:rPr>
          <w:sz w:val="20"/>
          <w:szCs w:val="20"/>
        </w:rPr>
        <w:t>saúde</w:t>
      </w:r>
      <w:r>
        <w:rPr>
          <w:sz w:val="20"/>
          <w:szCs w:val="20"/>
        </w:rPr>
        <w:t xml:space="preserve"> e geração de empregos. </w:t>
      </w:r>
    </w:p>
    <w:p w14:paraId="55645A40" w14:textId="77777777" w:rsidR="00506622" w:rsidRPr="00AD66B1" w:rsidRDefault="00506622" w:rsidP="00367676">
      <w:pPr>
        <w:autoSpaceDE w:val="0"/>
        <w:autoSpaceDN w:val="0"/>
        <w:adjustRightInd w:val="0"/>
        <w:jc w:val="both"/>
        <w:rPr>
          <w:rFonts w:ascii="Arial" w:hAnsi="Arial" w:cs="Arial"/>
          <w:b/>
          <w:sz w:val="18"/>
          <w:szCs w:val="18"/>
        </w:rPr>
      </w:pPr>
    </w:p>
    <w:p w14:paraId="4A0ACA9D" w14:textId="77777777" w:rsidR="004853B1" w:rsidRPr="0058379E" w:rsidRDefault="00506622" w:rsidP="002C1AE7">
      <w:pPr>
        <w:pStyle w:val="Corpo"/>
        <w:widowControl w:val="0"/>
        <w:spacing w:after="0" w:line="240" w:lineRule="auto"/>
        <w:jc w:val="both"/>
        <w:rPr>
          <w:sz w:val="20"/>
          <w:szCs w:val="20"/>
        </w:rPr>
      </w:pPr>
      <w:r w:rsidRPr="00AD66B1">
        <w:rPr>
          <w:rFonts w:cs="Arial"/>
          <w:b/>
          <w:sz w:val="20"/>
          <w:szCs w:val="20"/>
        </w:rPr>
        <w:t xml:space="preserve">PALAVRAS-CHAVE: </w:t>
      </w:r>
      <w:r w:rsidR="004853B1">
        <w:rPr>
          <w:rStyle w:val="Nenhum"/>
          <w:sz w:val="20"/>
          <w:szCs w:val="20"/>
        </w:rPr>
        <w:t>R</w:t>
      </w:r>
      <w:r w:rsidR="004853B1" w:rsidRPr="0058379E">
        <w:rPr>
          <w:rStyle w:val="Nenhum"/>
          <w:sz w:val="20"/>
          <w:szCs w:val="20"/>
        </w:rPr>
        <w:t xml:space="preserve">endas </w:t>
      </w:r>
      <w:r w:rsidR="004853B1">
        <w:rPr>
          <w:rStyle w:val="Nenhum"/>
          <w:sz w:val="20"/>
          <w:szCs w:val="20"/>
        </w:rPr>
        <w:t>P</w:t>
      </w:r>
      <w:r w:rsidR="004853B1" w:rsidRPr="0058379E">
        <w:rPr>
          <w:rStyle w:val="Nenhum"/>
          <w:sz w:val="20"/>
          <w:szCs w:val="20"/>
        </w:rPr>
        <w:t xml:space="preserve">etrolíferas; </w:t>
      </w:r>
      <w:r w:rsidR="004853B1">
        <w:rPr>
          <w:rStyle w:val="Nenhum"/>
          <w:sz w:val="20"/>
          <w:szCs w:val="20"/>
        </w:rPr>
        <w:t>M</w:t>
      </w:r>
      <w:r w:rsidR="004853B1" w:rsidRPr="0058379E">
        <w:rPr>
          <w:rStyle w:val="Nenhum"/>
          <w:sz w:val="20"/>
          <w:szCs w:val="20"/>
        </w:rPr>
        <w:t xml:space="preserve">unicípio </w:t>
      </w:r>
      <w:proofErr w:type="spellStart"/>
      <w:r w:rsidR="004853B1">
        <w:rPr>
          <w:rStyle w:val="Nenhum"/>
          <w:sz w:val="20"/>
          <w:szCs w:val="20"/>
        </w:rPr>
        <w:t>P</w:t>
      </w:r>
      <w:r w:rsidR="004853B1" w:rsidRPr="0058379E">
        <w:rPr>
          <w:rStyle w:val="Nenhum"/>
          <w:sz w:val="20"/>
          <w:szCs w:val="20"/>
        </w:rPr>
        <w:t>etrorrentista</w:t>
      </w:r>
      <w:proofErr w:type="spellEnd"/>
      <w:r w:rsidR="004853B1" w:rsidRPr="0058379E">
        <w:rPr>
          <w:rStyle w:val="Nenhum"/>
          <w:sz w:val="20"/>
          <w:szCs w:val="20"/>
        </w:rPr>
        <w:t xml:space="preserve">; </w:t>
      </w:r>
      <w:r w:rsidR="004853B1">
        <w:rPr>
          <w:rStyle w:val="Nenhum"/>
          <w:sz w:val="20"/>
          <w:szCs w:val="20"/>
        </w:rPr>
        <w:t>D</w:t>
      </w:r>
      <w:r w:rsidR="004853B1" w:rsidRPr="0058379E">
        <w:rPr>
          <w:rStyle w:val="Nenhum"/>
          <w:sz w:val="20"/>
          <w:szCs w:val="20"/>
        </w:rPr>
        <w:t xml:space="preserve">esenvolvimento </w:t>
      </w:r>
      <w:r w:rsidR="004853B1">
        <w:rPr>
          <w:rStyle w:val="Nenhum"/>
          <w:sz w:val="20"/>
          <w:szCs w:val="20"/>
        </w:rPr>
        <w:t>S</w:t>
      </w:r>
      <w:r w:rsidR="004853B1" w:rsidRPr="0058379E">
        <w:rPr>
          <w:rStyle w:val="Nenhum"/>
          <w:sz w:val="20"/>
          <w:szCs w:val="20"/>
        </w:rPr>
        <w:t>ocioeconômico</w:t>
      </w:r>
      <w:r w:rsidR="004853B1">
        <w:rPr>
          <w:rStyle w:val="Nenhum"/>
          <w:sz w:val="20"/>
          <w:szCs w:val="20"/>
        </w:rPr>
        <w:t>; Indicadores</w:t>
      </w:r>
      <w:r w:rsidR="004853B1" w:rsidRPr="0058379E">
        <w:rPr>
          <w:rStyle w:val="Nenhum"/>
          <w:sz w:val="20"/>
          <w:szCs w:val="20"/>
        </w:rPr>
        <w:t>.</w:t>
      </w:r>
    </w:p>
    <w:p w14:paraId="565FD1C1" w14:textId="5CA6DEC1" w:rsidR="00235886" w:rsidRPr="00AD66B1" w:rsidRDefault="00235886" w:rsidP="00367676">
      <w:pPr>
        <w:pStyle w:val="IDpaper-Title"/>
        <w:widowControl/>
        <w:ind w:left="0"/>
        <w:rPr>
          <w:rFonts w:cs="Arial"/>
          <w:b w:val="0"/>
          <w:bCs/>
          <w:sz w:val="22"/>
          <w:lang w:val="pt-BR"/>
        </w:rPr>
      </w:pPr>
    </w:p>
    <w:p w14:paraId="57586BC3" w14:textId="699DBFC8" w:rsidR="00235886" w:rsidRPr="00AD66B1" w:rsidRDefault="00B8206A" w:rsidP="002C1AE7">
      <w:pPr>
        <w:pStyle w:val="IDpaper-Title"/>
        <w:ind w:left="0"/>
        <w:jc w:val="both"/>
        <w:rPr>
          <w:rFonts w:cs="Arial"/>
          <w:b w:val="0"/>
          <w:i/>
          <w:iCs/>
          <w:kern w:val="0"/>
          <w:sz w:val="20"/>
          <w:lang w:val="pt-BR" w:eastAsia="pt-BR"/>
        </w:rPr>
      </w:pPr>
      <w:r w:rsidRPr="00AD66B1">
        <w:rPr>
          <w:rFonts w:cs="Arial"/>
          <w:bCs/>
          <w:i/>
          <w:iCs/>
          <w:kern w:val="0"/>
          <w:sz w:val="20"/>
          <w:lang w:val="pt-BR" w:eastAsia="pt-BR"/>
        </w:rPr>
        <w:t xml:space="preserve">ABSTRACT </w:t>
      </w:r>
    </w:p>
    <w:p w14:paraId="12A2D037" w14:textId="77777777" w:rsidR="00761C2F" w:rsidRDefault="00761C2F" w:rsidP="00761C2F">
      <w:pPr>
        <w:pStyle w:val="CorpoA"/>
        <w:jc w:val="both"/>
        <w:rPr>
          <w:i/>
          <w:iCs/>
          <w:sz w:val="20"/>
          <w:szCs w:val="20"/>
        </w:rPr>
      </w:pPr>
      <w:r>
        <w:rPr>
          <w:i/>
          <w:iCs/>
          <w:sz w:val="20"/>
          <w:szCs w:val="20"/>
        </w:rPr>
        <w:t xml:space="preserve">This study examines the development of oil-reliant municipalities on the Southern Coast of Espírito Santo, where research on the relationship between abundant oil revenues and their impact on municipal development is scarce. The study aimed to illustrate the development of Itapemirim, Marataízes, and Presidente Kennedy through socioeconomic  indicators. The study employed both qualitative and </w:t>
      </w:r>
      <w:r>
        <w:rPr>
          <w:i/>
          <w:iCs/>
          <w:sz w:val="20"/>
          <w:szCs w:val="20"/>
        </w:rPr>
        <w:lastRenderedPageBreak/>
        <w:t>quantitative methods, adopting an exploratory approach and utilizing secondary data. A socioeconomic profile of the three municipalities was developed, a survey of oil revenues was conducted, and multidimensional indicators were used for the period 2013 to 2023. The indicators used proved to be complementary and supplementary, enabling a more robust understanding of the socioeconomic and environmental situation in each municipality. The results revealed high oil revenue receipts, both annually and throughout the entire period studied, with significant importance to the revenue of oil-reliant municipalities. The municipalities had high GDP per capita, but a high percentage of people living in the poverty line. It was not possible to observe satisfactory results in socioeconomic indicators consistent with the wealth received from oil revenues. It was noted that resources were not used to improve living conditions and reduce social inequalities, nor were there investments in sanitation, health, and job creation.</w:t>
      </w:r>
    </w:p>
    <w:p w14:paraId="692D2A61" w14:textId="77777777" w:rsidR="00235886" w:rsidRPr="00AD66B1" w:rsidRDefault="00235886" w:rsidP="00235886">
      <w:pPr>
        <w:pStyle w:val="IDpaper-Title"/>
        <w:spacing w:line="276" w:lineRule="auto"/>
        <w:ind w:left="0"/>
        <w:jc w:val="both"/>
        <w:rPr>
          <w:rFonts w:cs="Arial"/>
          <w:b w:val="0"/>
          <w:i/>
          <w:iCs/>
          <w:kern w:val="0"/>
          <w:sz w:val="20"/>
          <w:lang w:val="pt-BR" w:eastAsia="pt-BR"/>
        </w:rPr>
      </w:pPr>
    </w:p>
    <w:p w14:paraId="070DD8C2" w14:textId="216CB235" w:rsidR="004853B1" w:rsidRPr="0058379E" w:rsidRDefault="00235886" w:rsidP="002C1AE7">
      <w:pPr>
        <w:pStyle w:val="Corpo"/>
        <w:spacing w:after="0" w:line="240" w:lineRule="auto"/>
        <w:jc w:val="both"/>
        <w:rPr>
          <w:rStyle w:val="Hyperlink0"/>
          <w:sz w:val="20"/>
          <w:szCs w:val="20"/>
        </w:rPr>
      </w:pPr>
      <w:r w:rsidRPr="00AD66B1">
        <w:rPr>
          <w:rFonts w:cs="Arial"/>
          <w:bCs/>
          <w:i/>
          <w:iCs/>
          <w:sz w:val="20"/>
        </w:rPr>
        <w:t>KEYWORDS:</w:t>
      </w:r>
      <w:r w:rsidRPr="00AD66B1">
        <w:rPr>
          <w:rFonts w:cs="Arial"/>
          <w:i/>
          <w:iCs/>
          <w:sz w:val="20"/>
        </w:rPr>
        <w:t xml:space="preserve"> </w:t>
      </w:r>
      <w:proofErr w:type="spellStart"/>
      <w:r w:rsidR="004853B1" w:rsidRPr="004853B1">
        <w:rPr>
          <w:rFonts w:cs="Arial"/>
          <w:sz w:val="20"/>
        </w:rPr>
        <w:t>O</w:t>
      </w:r>
      <w:r w:rsidR="004853B1" w:rsidRPr="004853B1">
        <w:rPr>
          <w:rStyle w:val="Nenhum"/>
          <w:sz w:val="20"/>
          <w:szCs w:val="20"/>
        </w:rPr>
        <w:t>il</w:t>
      </w:r>
      <w:proofErr w:type="spellEnd"/>
      <w:r w:rsidR="004853B1" w:rsidRPr="004853B1">
        <w:rPr>
          <w:rStyle w:val="Nenhum"/>
          <w:sz w:val="20"/>
          <w:szCs w:val="20"/>
        </w:rPr>
        <w:t xml:space="preserve"> </w:t>
      </w:r>
      <w:proofErr w:type="spellStart"/>
      <w:r w:rsidR="004853B1" w:rsidRPr="004853B1">
        <w:rPr>
          <w:rStyle w:val="Nenhum"/>
          <w:sz w:val="20"/>
          <w:szCs w:val="20"/>
        </w:rPr>
        <w:t>Revenues</w:t>
      </w:r>
      <w:proofErr w:type="spellEnd"/>
      <w:r w:rsidR="004853B1" w:rsidRPr="004853B1">
        <w:rPr>
          <w:rStyle w:val="Nenhum"/>
          <w:sz w:val="20"/>
          <w:szCs w:val="20"/>
        </w:rPr>
        <w:t xml:space="preserve">; </w:t>
      </w:r>
      <w:proofErr w:type="spellStart"/>
      <w:r w:rsidR="004853B1" w:rsidRPr="004853B1">
        <w:rPr>
          <w:rStyle w:val="Nenhum"/>
          <w:sz w:val="20"/>
          <w:szCs w:val="20"/>
        </w:rPr>
        <w:t>Petrorentist</w:t>
      </w:r>
      <w:proofErr w:type="spellEnd"/>
      <w:r w:rsidR="004853B1" w:rsidRPr="004853B1">
        <w:rPr>
          <w:rStyle w:val="Nenhum"/>
          <w:sz w:val="20"/>
          <w:szCs w:val="20"/>
        </w:rPr>
        <w:t xml:space="preserve"> </w:t>
      </w:r>
      <w:proofErr w:type="spellStart"/>
      <w:r w:rsidR="004853B1" w:rsidRPr="004853B1">
        <w:rPr>
          <w:rStyle w:val="Nenhum"/>
          <w:sz w:val="20"/>
          <w:szCs w:val="20"/>
        </w:rPr>
        <w:t>Municipality</w:t>
      </w:r>
      <w:proofErr w:type="spellEnd"/>
      <w:r w:rsidR="004853B1" w:rsidRPr="004853B1">
        <w:rPr>
          <w:rStyle w:val="Nenhum"/>
          <w:sz w:val="20"/>
          <w:szCs w:val="20"/>
        </w:rPr>
        <w:t xml:space="preserve">; </w:t>
      </w:r>
      <w:proofErr w:type="spellStart"/>
      <w:r w:rsidR="004853B1" w:rsidRPr="004853B1">
        <w:rPr>
          <w:rStyle w:val="Nenhum"/>
          <w:sz w:val="20"/>
          <w:szCs w:val="20"/>
        </w:rPr>
        <w:t>Socioeconomic</w:t>
      </w:r>
      <w:proofErr w:type="spellEnd"/>
      <w:r w:rsidR="004853B1" w:rsidRPr="004853B1">
        <w:rPr>
          <w:rStyle w:val="Nenhum"/>
          <w:sz w:val="20"/>
          <w:szCs w:val="20"/>
        </w:rPr>
        <w:t xml:space="preserve"> </w:t>
      </w:r>
      <w:proofErr w:type="spellStart"/>
      <w:r w:rsidR="004853B1" w:rsidRPr="004853B1">
        <w:rPr>
          <w:rStyle w:val="Nenhum"/>
          <w:sz w:val="20"/>
          <w:szCs w:val="20"/>
        </w:rPr>
        <w:t>Development</w:t>
      </w:r>
      <w:proofErr w:type="spellEnd"/>
      <w:r w:rsidR="004853B1" w:rsidRPr="004853B1">
        <w:rPr>
          <w:rStyle w:val="Nenhum"/>
          <w:sz w:val="20"/>
          <w:szCs w:val="20"/>
        </w:rPr>
        <w:t>;</w:t>
      </w:r>
      <w:r w:rsidR="004853B1">
        <w:rPr>
          <w:rStyle w:val="Nenhum"/>
          <w:sz w:val="20"/>
          <w:szCs w:val="20"/>
        </w:rPr>
        <w:t xml:space="preserve"> </w:t>
      </w:r>
      <w:proofErr w:type="spellStart"/>
      <w:r w:rsidR="004853B1">
        <w:rPr>
          <w:rStyle w:val="Nenhum"/>
          <w:sz w:val="20"/>
          <w:szCs w:val="20"/>
        </w:rPr>
        <w:t>Indicators</w:t>
      </w:r>
      <w:proofErr w:type="spellEnd"/>
      <w:r w:rsidR="004853B1">
        <w:rPr>
          <w:rStyle w:val="Nenhum"/>
          <w:sz w:val="20"/>
          <w:szCs w:val="20"/>
        </w:rPr>
        <w:t>.</w:t>
      </w:r>
    </w:p>
    <w:p w14:paraId="56D6B338" w14:textId="77777777" w:rsidR="00235886" w:rsidRPr="002C1AE7" w:rsidRDefault="00235886" w:rsidP="00E7060E">
      <w:pPr>
        <w:pStyle w:val="IDpaper-Title"/>
        <w:widowControl/>
        <w:spacing w:line="360" w:lineRule="auto"/>
        <w:ind w:left="0"/>
        <w:jc w:val="both"/>
        <w:rPr>
          <w:rFonts w:cs="Arial"/>
          <w:b w:val="0"/>
          <w:kern w:val="0"/>
          <w:szCs w:val="24"/>
          <w:lang w:val="pt-BR" w:eastAsia="pt-BR"/>
        </w:rPr>
      </w:pPr>
    </w:p>
    <w:p w14:paraId="7CDE480F" w14:textId="671AD9C0" w:rsidR="00235886" w:rsidRPr="00AD66B1" w:rsidRDefault="00235886" w:rsidP="00E7060E">
      <w:pPr>
        <w:pStyle w:val="IDpaper-Title"/>
        <w:widowControl/>
        <w:ind w:left="0"/>
        <w:rPr>
          <w:rFonts w:cs="Arial"/>
          <w:b w:val="0"/>
          <w:color w:val="FF0000"/>
          <w:sz w:val="18"/>
          <w:szCs w:val="18"/>
          <w:lang w:val="pt-BR"/>
        </w:rPr>
      </w:pPr>
      <w:r w:rsidRPr="00AD66B1">
        <w:rPr>
          <w:rFonts w:cs="Arial"/>
          <w:bCs/>
          <w:szCs w:val="24"/>
          <w:lang w:val="pt-BR"/>
        </w:rPr>
        <w:t xml:space="preserve">1 </w:t>
      </w:r>
      <w:r w:rsidR="00E91324" w:rsidRPr="00AD66B1">
        <w:rPr>
          <w:rFonts w:cs="Arial"/>
          <w:bCs/>
          <w:szCs w:val="24"/>
          <w:lang w:val="pt-BR"/>
        </w:rPr>
        <w:t>INTRODUÇÃO</w:t>
      </w:r>
    </w:p>
    <w:p w14:paraId="1D059964" w14:textId="77777777" w:rsidR="008C4A3C" w:rsidRDefault="008C4A3C" w:rsidP="00E7060E">
      <w:pPr>
        <w:pStyle w:val="IDpaper-Text"/>
        <w:widowControl/>
        <w:spacing w:after="0" w:line="360" w:lineRule="auto"/>
        <w:ind w:firstLine="851"/>
        <w:jc w:val="both"/>
        <w:rPr>
          <w:rFonts w:cs="Arial"/>
          <w:kern w:val="0"/>
          <w:sz w:val="24"/>
          <w:szCs w:val="24"/>
          <w:lang w:val="pt-BR" w:eastAsia="pt-BR"/>
        </w:rPr>
      </w:pPr>
    </w:p>
    <w:p w14:paraId="135D0C33" w14:textId="3287C10B" w:rsidR="00796AE8" w:rsidRPr="00AD66B1" w:rsidRDefault="00796AE8" w:rsidP="00E7060E">
      <w:pPr>
        <w:pStyle w:val="IDpaper-Text"/>
        <w:widowControl/>
        <w:spacing w:after="0" w:line="360" w:lineRule="auto"/>
        <w:ind w:firstLine="851"/>
        <w:jc w:val="both"/>
        <w:rPr>
          <w:rFonts w:cs="Arial"/>
          <w:kern w:val="0"/>
          <w:sz w:val="24"/>
          <w:szCs w:val="24"/>
          <w:lang w:val="pt-BR" w:eastAsia="pt-BR"/>
        </w:rPr>
      </w:pPr>
      <w:r w:rsidRPr="00AD66B1">
        <w:rPr>
          <w:rFonts w:cs="Arial"/>
          <w:kern w:val="0"/>
          <w:sz w:val="24"/>
          <w:szCs w:val="24"/>
          <w:lang w:val="pt-BR" w:eastAsia="pt-BR"/>
        </w:rPr>
        <w:t xml:space="preserve">A distribuição de </w:t>
      </w:r>
      <w:r w:rsidRPr="00AD66B1">
        <w:rPr>
          <w:rFonts w:cs="Arial"/>
          <w:i/>
          <w:iCs/>
          <w:kern w:val="0"/>
          <w:sz w:val="24"/>
          <w:szCs w:val="24"/>
          <w:lang w:val="pt-BR" w:eastAsia="pt-BR"/>
        </w:rPr>
        <w:t>royalties</w:t>
      </w:r>
      <w:r w:rsidRPr="00AD66B1">
        <w:rPr>
          <w:rFonts w:cs="Arial"/>
          <w:kern w:val="0"/>
          <w:sz w:val="24"/>
          <w:szCs w:val="24"/>
          <w:lang w:val="pt-BR" w:eastAsia="pt-BR"/>
        </w:rPr>
        <w:t xml:space="preserve"> e participações especiais devido à exploração de petróleo vigente no Brasil atualmente te</w:t>
      </w:r>
      <w:r w:rsidR="006C3A94">
        <w:rPr>
          <w:rFonts w:cs="Arial"/>
          <w:kern w:val="0"/>
          <w:sz w:val="24"/>
          <w:szCs w:val="24"/>
          <w:lang w:val="pt-BR" w:eastAsia="pt-BR"/>
        </w:rPr>
        <w:t>m</w:t>
      </w:r>
      <w:r w:rsidRPr="00AD66B1">
        <w:rPr>
          <w:rFonts w:cs="Arial"/>
          <w:kern w:val="0"/>
          <w:sz w:val="24"/>
          <w:szCs w:val="24"/>
          <w:lang w:val="pt-BR" w:eastAsia="pt-BR"/>
        </w:rPr>
        <w:t xml:space="preserve"> o município como protagonista e ocorre de forma assimétrica, com municípios confrontantes com campos produtores recebendo maior parcela. </w:t>
      </w:r>
      <w:r w:rsidR="006C3A94">
        <w:rPr>
          <w:rFonts w:cs="Arial"/>
          <w:kern w:val="0"/>
          <w:sz w:val="24"/>
          <w:szCs w:val="24"/>
          <w:lang w:val="pt-BR" w:eastAsia="pt-BR"/>
        </w:rPr>
        <w:t>Isso</w:t>
      </w:r>
      <w:r w:rsidRPr="00AD66B1">
        <w:rPr>
          <w:rFonts w:cs="Arial"/>
          <w:kern w:val="0"/>
          <w:sz w:val="24"/>
          <w:szCs w:val="24"/>
          <w:lang w:val="pt-BR" w:eastAsia="pt-BR"/>
        </w:rPr>
        <w:t xml:space="preserve"> faz com que esses municípios recebam elevados montantes de rendas petrolíferas, sendo chamados de petrorrentistas.</w:t>
      </w:r>
    </w:p>
    <w:p w14:paraId="4F841A88" w14:textId="565E4472" w:rsidR="00AF789A" w:rsidRPr="00AD66B1" w:rsidRDefault="00AF789A" w:rsidP="00AF789A">
      <w:pPr>
        <w:pStyle w:val="IDpaper-Text"/>
        <w:widowControl/>
        <w:spacing w:after="0" w:line="360" w:lineRule="auto"/>
        <w:ind w:firstLine="851"/>
        <w:jc w:val="both"/>
        <w:rPr>
          <w:rFonts w:cs="Arial"/>
          <w:kern w:val="0"/>
          <w:sz w:val="24"/>
          <w:szCs w:val="24"/>
          <w:lang w:val="pt-BR" w:eastAsia="pt-BR"/>
        </w:rPr>
      </w:pPr>
      <w:r w:rsidRPr="00AD66B1">
        <w:rPr>
          <w:rFonts w:cs="Arial"/>
          <w:kern w:val="0"/>
          <w:sz w:val="24"/>
          <w:szCs w:val="24"/>
          <w:lang w:val="pt-BR" w:eastAsia="pt-BR"/>
        </w:rPr>
        <w:t xml:space="preserve">O </w:t>
      </w:r>
      <w:proofErr w:type="spellStart"/>
      <w:r w:rsidRPr="00AD66B1">
        <w:rPr>
          <w:rFonts w:cs="Arial"/>
          <w:kern w:val="0"/>
          <w:sz w:val="24"/>
          <w:szCs w:val="24"/>
          <w:lang w:val="pt-BR" w:eastAsia="pt-BR"/>
        </w:rPr>
        <w:t>petrorrentismo</w:t>
      </w:r>
      <w:proofErr w:type="spellEnd"/>
      <w:r w:rsidRPr="00AD66B1">
        <w:rPr>
          <w:rFonts w:cs="Arial"/>
          <w:kern w:val="0"/>
          <w:sz w:val="24"/>
          <w:szCs w:val="24"/>
          <w:lang w:val="pt-BR" w:eastAsia="pt-BR"/>
        </w:rPr>
        <w:t xml:space="preserve"> representa uma bonança anual aos cofres públicos municipais, com uma receita que pode permitir investimento em obras, transporte, preservação ambiental, saneamento; enfim, ações e medidas que busquem evitar ou reduzir desigualdades sociais e oferecer elevada qualidade de vida aos seus habitantes, por meio de um desenvolvimento sustentável.</w:t>
      </w:r>
    </w:p>
    <w:p w14:paraId="17F7ED09" w14:textId="586FB0FA" w:rsidR="006C3A94" w:rsidRDefault="006C3A94" w:rsidP="006C3A94">
      <w:pPr>
        <w:pStyle w:val="IDpaper-Text"/>
        <w:widowControl/>
        <w:spacing w:after="0" w:line="360" w:lineRule="auto"/>
        <w:ind w:firstLine="851"/>
        <w:jc w:val="both"/>
        <w:rPr>
          <w:rStyle w:val="Nenhum"/>
          <w:sz w:val="24"/>
          <w:szCs w:val="24"/>
          <w:lang w:val="pt-BR"/>
        </w:rPr>
      </w:pPr>
      <w:r w:rsidRPr="00AD66B1">
        <w:rPr>
          <w:rFonts w:cs="Arial"/>
          <w:kern w:val="0"/>
          <w:sz w:val="24"/>
          <w:szCs w:val="24"/>
          <w:lang w:val="pt-BR" w:eastAsia="pt-BR"/>
        </w:rPr>
        <w:t xml:space="preserve">Há uma vasta discussão sobre </w:t>
      </w:r>
      <w:r w:rsidRPr="00AD66B1">
        <w:rPr>
          <w:rStyle w:val="Nenhum"/>
          <w:sz w:val="24"/>
          <w:szCs w:val="24"/>
          <w:lang w:val="pt-BR"/>
        </w:rPr>
        <w:t xml:space="preserve">a bonança de rendas petrolíferas ser benção ou maldição para os municípios. Para Serra (2011), Cruz e Ribeiro (2009), Silva (2017), </w:t>
      </w:r>
      <w:proofErr w:type="spellStart"/>
      <w:r w:rsidRPr="00AD66B1">
        <w:rPr>
          <w:rStyle w:val="Nenhum"/>
          <w:sz w:val="24"/>
          <w:szCs w:val="24"/>
          <w:lang w:val="pt-BR"/>
        </w:rPr>
        <w:t>Lumbreras</w:t>
      </w:r>
      <w:proofErr w:type="spellEnd"/>
      <w:r w:rsidRPr="00AD66B1">
        <w:rPr>
          <w:rStyle w:val="Nenhum"/>
          <w:sz w:val="24"/>
          <w:szCs w:val="24"/>
          <w:lang w:val="pt-BR"/>
        </w:rPr>
        <w:t xml:space="preserve"> e Piquet (2020), Rodrigues (2022) poderia ser considerado uma benção por </w:t>
      </w:r>
      <w:r>
        <w:rPr>
          <w:rStyle w:val="Nenhum"/>
          <w:sz w:val="24"/>
          <w:szCs w:val="24"/>
          <w:lang w:val="pt-BR"/>
        </w:rPr>
        <w:t xml:space="preserve">constituir um recurso financeiro farto, que poderia ser utilizado para promover um alto desenvolvimento social e econômico, principalmente com medidas estruturantes e estruturais, uma oferta de serviços e infraestrutura para todos os seus habitantes e oportunidades para gerações futuras. Porém, segundo os autores, se forem mantidos os baixos níveis de desenvolvimento econômico e social, se os recursos não forem utilizados para redução das desigualdades sociais e em investimentos públicos em setores estruturantes, se o resultado for uma “preguiça fiscal”, e até mesmo uma estagnação com relação às atividades industriais e geração de empregos, os recursos de </w:t>
      </w:r>
      <w:r w:rsidRPr="00E7060E">
        <w:rPr>
          <w:rStyle w:val="Nenhum"/>
          <w:i/>
          <w:iCs/>
          <w:sz w:val="24"/>
          <w:szCs w:val="24"/>
          <w:lang w:val="pt-BR"/>
        </w:rPr>
        <w:t>royalties</w:t>
      </w:r>
      <w:r>
        <w:rPr>
          <w:rStyle w:val="Nenhum"/>
          <w:sz w:val="24"/>
          <w:szCs w:val="24"/>
          <w:lang w:val="pt-BR"/>
        </w:rPr>
        <w:t xml:space="preserve"> e participações especiais podem ser vistos como uma maldição.</w:t>
      </w:r>
    </w:p>
    <w:p w14:paraId="0EFC771E" w14:textId="7A2503E8" w:rsidR="00BA340F" w:rsidRPr="00AD66B1" w:rsidRDefault="00BA340F" w:rsidP="00BA340F">
      <w:pPr>
        <w:pStyle w:val="IDpaper-Text"/>
        <w:widowControl/>
        <w:spacing w:after="0" w:line="360" w:lineRule="auto"/>
        <w:ind w:firstLine="851"/>
        <w:jc w:val="both"/>
        <w:rPr>
          <w:rFonts w:cs="Arial"/>
          <w:kern w:val="0"/>
          <w:sz w:val="24"/>
          <w:szCs w:val="24"/>
          <w:lang w:val="pt-BR" w:eastAsia="pt-BR"/>
        </w:rPr>
      </w:pPr>
      <w:r w:rsidRPr="00AD66B1">
        <w:rPr>
          <w:rFonts w:cs="Arial"/>
          <w:kern w:val="0"/>
          <w:sz w:val="24"/>
          <w:szCs w:val="24"/>
          <w:lang w:val="pt-BR" w:eastAsia="pt-BR"/>
        </w:rPr>
        <w:lastRenderedPageBreak/>
        <w:t xml:space="preserve">Uma importante Bacia </w:t>
      </w:r>
      <w:r w:rsidRPr="00AD66B1">
        <w:rPr>
          <w:rFonts w:cs="Arial"/>
          <w:i/>
          <w:iCs/>
          <w:kern w:val="0"/>
          <w:sz w:val="24"/>
          <w:szCs w:val="24"/>
          <w:lang w:val="pt-BR" w:eastAsia="pt-BR"/>
        </w:rPr>
        <w:t>offshore</w:t>
      </w:r>
      <w:r w:rsidRPr="00AD66B1">
        <w:rPr>
          <w:rFonts w:cs="Arial"/>
          <w:kern w:val="0"/>
          <w:sz w:val="24"/>
          <w:szCs w:val="24"/>
          <w:lang w:val="pt-BR" w:eastAsia="pt-BR"/>
        </w:rPr>
        <w:t xml:space="preserve"> de exploração de petróleo é a Bacia de Campos, localizada próxima aos Estados do Rio de Janeiro e Espírito Santo. Sua expressiva produção impacta a Região Litoral Sul Capixaba</w:t>
      </w:r>
      <w:r w:rsidR="00AF4F61" w:rsidRPr="00AD66B1">
        <w:rPr>
          <w:rFonts w:cs="Arial"/>
          <w:kern w:val="0"/>
          <w:sz w:val="24"/>
          <w:szCs w:val="24"/>
          <w:lang w:val="pt-BR" w:eastAsia="pt-BR"/>
        </w:rPr>
        <w:t>, composta por oito municípios,</w:t>
      </w:r>
      <w:r w:rsidRPr="00AD66B1">
        <w:rPr>
          <w:rFonts w:cs="Arial"/>
          <w:kern w:val="0"/>
          <w:sz w:val="24"/>
          <w:szCs w:val="24"/>
          <w:lang w:val="pt-BR" w:eastAsia="pt-BR"/>
        </w:rPr>
        <w:t xml:space="preserve"> com </w:t>
      </w:r>
      <w:r w:rsidR="004074CB" w:rsidRPr="00AD66B1">
        <w:rPr>
          <w:rFonts w:cs="Arial"/>
          <w:kern w:val="0"/>
          <w:sz w:val="24"/>
          <w:szCs w:val="24"/>
          <w:lang w:val="pt-BR" w:eastAsia="pt-BR"/>
        </w:rPr>
        <w:t>significativo recebimento de rendas petrolíferas. Em 2024, a região recebeu aproximadamente 600 milhões de reais (</w:t>
      </w:r>
      <w:proofErr w:type="spellStart"/>
      <w:r w:rsidR="004074CB" w:rsidRPr="00AD66B1">
        <w:rPr>
          <w:rFonts w:cs="Arial"/>
          <w:kern w:val="0"/>
          <w:sz w:val="24"/>
          <w:szCs w:val="24"/>
          <w:lang w:val="pt-BR" w:eastAsia="pt-BR"/>
        </w:rPr>
        <w:t>InfoRoyalties</w:t>
      </w:r>
      <w:proofErr w:type="spellEnd"/>
      <w:r w:rsidR="004074CB" w:rsidRPr="00AD66B1">
        <w:rPr>
          <w:rFonts w:cs="Arial"/>
          <w:kern w:val="0"/>
          <w:sz w:val="24"/>
          <w:szCs w:val="24"/>
          <w:lang w:val="pt-BR" w:eastAsia="pt-BR"/>
        </w:rPr>
        <w:t>, 2025), sendo que capitaneiam o recebimento</w:t>
      </w:r>
      <w:r w:rsidR="0006190C" w:rsidRPr="00AD66B1">
        <w:rPr>
          <w:rFonts w:cs="Arial"/>
          <w:kern w:val="0"/>
          <w:sz w:val="24"/>
          <w:szCs w:val="24"/>
          <w:lang w:val="pt-BR" w:eastAsia="pt-BR"/>
        </w:rPr>
        <w:t>,</w:t>
      </w:r>
      <w:r w:rsidR="004074CB" w:rsidRPr="00AD66B1">
        <w:rPr>
          <w:rFonts w:cs="Arial"/>
          <w:kern w:val="0"/>
          <w:sz w:val="24"/>
          <w:szCs w:val="24"/>
          <w:lang w:val="pt-BR" w:eastAsia="pt-BR"/>
        </w:rPr>
        <w:t xml:space="preserve"> os municípios confrontantes Itapemirim, Marataízes e Presidente Kennedy. Os três municípios juntos receberam 536 milhões</w:t>
      </w:r>
      <w:r w:rsidR="0028651C" w:rsidRPr="00AD66B1">
        <w:rPr>
          <w:rFonts w:cs="Arial"/>
          <w:kern w:val="0"/>
          <w:sz w:val="24"/>
          <w:szCs w:val="24"/>
          <w:lang w:val="pt-BR" w:eastAsia="pt-BR"/>
        </w:rPr>
        <w:t>, ou seja 90% do valor recebido pela Região Litoral Sul Capixaba.</w:t>
      </w:r>
      <w:r w:rsidR="0006190C" w:rsidRPr="00AD66B1">
        <w:rPr>
          <w:rFonts w:cs="Arial"/>
          <w:kern w:val="0"/>
          <w:sz w:val="24"/>
          <w:szCs w:val="24"/>
          <w:lang w:val="pt-BR" w:eastAsia="pt-BR"/>
        </w:rPr>
        <w:t xml:space="preserve"> Portanto, estes municípios podem ser </w:t>
      </w:r>
      <w:r w:rsidR="00AF4F61" w:rsidRPr="00AD66B1">
        <w:rPr>
          <w:rFonts w:cs="Arial"/>
          <w:kern w:val="0"/>
          <w:sz w:val="24"/>
          <w:szCs w:val="24"/>
          <w:lang w:val="pt-BR" w:eastAsia="pt-BR"/>
        </w:rPr>
        <w:t>considerados</w:t>
      </w:r>
      <w:r w:rsidR="0006190C" w:rsidRPr="00AD66B1">
        <w:rPr>
          <w:rFonts w:cs="Arial"/>
          <w:kern w:val="0"/>
          <w:sz w:val="24"/>
          <w:szCs w:val="24"/>
          <w:lang w:val="pt-BR" w:eastAsia="pt-BR"/>
        </w:rPr>
        <w:t xml:space="preserve"> petrorrentistas.</w:t>
      </w:r>
    </w:p>
    <w:p w14:paraId="49D25F1E" w14:textId="00F206C6" w:rsidR="006C3A94" w:rsidRDefault="006C3A94" w:rsidP="00DA280D">
      <w:pPr>
        <w:pStyle w:val="IDpaper-Text"/>
        <w:widowControl/>
        <w:spacing w:after="0" w:line="360" w:lineRule="auto"/>
        <w:ind w:firstLine="851"/>
        <w:jc w:val="both"/>
        <w:rPr>
          <w:rStyle w:val="Nenhum"/>
          <w:sz w:val="24"/>
          <w:szCs w:val="24"/>
          <w:lang w:val="pt-BR"/>
        </w:rPr>
      </w:pPr>
      <w:r>
        <w:rPr>
          <w:rStyle w:val="Nenhum"/>
          <w:sz w:val="24"/>
          <w:szCs w:val="24"/>
          <w:lang w:val="pt-BR"/>
        </w:rPr>
        <w:t xml:space="preserve">Considerando que desde os anos 2000, esses três municípios vêm recebendo elevados montantes de rendas petrolíferas, há de se esperar que apresentem </w:t>
      </w:r>
      <w:r w:rsidR="007D1BF9">
        <w:rPr>
          <w:rStyle w:val="Nenhum"/>
          <w:sz w:val="24"/>
          <w:szCs w:val="24"/>
          <w:lang w:val="pt-BR"/>
        </w:rPr>
        <w:t>resultados positivos relevantes no seu desenvolvimento econômico e social, que seus indicadores de saúde e educação sejam bons ou ótimos. Passados mais de 20 anos, o que os indicadores socioeconômicos revelam sobre esses municípios?</w:t>
      </w:r>
    </w:p>
    <w:p w14:paraId="0ED58A09" w14:textId="08FBE639" w:rsidR="007D1BF9" w:rsidRDefault="007D1BF9" w:rsidP="00DA280D">
      <w:pPr>
        <w:pStyle w:val="IDpaper-Text"/>
        <w:widowControl/>
        <w:spacing w:after="0" w:line="360" w:lineRule="auto"/>
        <w:ind w:firstLine="851"/>
        <w:jc w:val="both"/>
        <w:rPr>
          <w:rStyle w:val="Nenhum"/>
          <w:sz w:val="24"/>
          <w:szCs w:val="24"/>
          <w:lang w:val="pt-BR"/>
        </w:rPr>
      </w:pPr>
      <w:r>
        <w:rPr>
          <w:rStyle w:val="Nenhum"/>
          <w:sz w:val="24"/>
          <w:szCs w:val="24"/>
          <w:lang w:val="pt-BR"/>
        </w:rPr>
        <w:t>Assim, em razão da importância do recurso financeiro para o desenvolvimento</w:t>
      </w:r>
      <w:r w:rsidR="0094706C">
        <w:rPr>
          <w:rStyle w:val="Nenhum"/>
          <w:sz w:val="24"/>
          <w:szCs w:val="24"/>
          <w:lang w:val="pt-BR"/>
        </w:rPr>
        <w:t xml:space="preserve"> de um local e da </w:t>
      </w:r>
      <w:r w:rsidR="00274CBD">
        <w:rPr>
          <w:rStyle w:val="Nenhum"/>
          <w:sz w:val="24"/>
          <w:szCs w:val="24"/>
          <w:lang w:val="pt-BR"/>
        </w:rPr>
        <w:t>fartura</w:t>
      </w:r>
      <w:r w:rsidR="0094706C">
        <w:rPr>
          <w:rStyle w:val="Nenhum"/>
          <w:sz w:val="24"/>
          <w:szCs w:val="24"/>
          <w:lang w:val="pt-BR"/>
        </w:rPr>
        <w:t xml:space="preserve"> de </w:t>
      </w:r>
      <w:r w:rsidR="00274CBD">
        <w:rPr>
          <w:rStyle w:val="Nenhum"/>
          <w:sz w:val="24"/>
          <w:szCs w:val="24"/>
          <w:lang w:val="pt-BR"/>
        </w:rPr>
        <w:t>rendas petrolíferas</w:t>
      </w:r>
      <w:r w:rsidR="0094706C">
        <w:rPr>
          <w:rStyle w:val="Nenhum"/>
          <w:sz w:val="24"/>
          <w:szCs w:val="24"/>
          <w:lang w:val="pt-BR"/>
        </w:rPr>
        <w:t xml:space="preserve"> que Itapemirim, Marataízes e Presidente Kennedy recebem ano após ano, é importante trazer questionamentos e ponderações à tona</w:t>
      </w:r>
      <w:r w:rsidR="00274CBD">
        <w:rPr>
          <w:rStyle w:val="Nenhum"/>
          <w:sz w:val="24"/>
          <w:szCs w:val="24"/>
          <w:lang w:val="pt-BR"/>
        </w:rPr>
        <w:t>, com relação à sua utilização</w:t>
      </w:r>
      <w:r w:rsidR="0094706C">
        <w:rPr>
          <w:rStyle w:val="Nenhum"/>
          <w:sz w:val="24"/>
          <w:szCs w:val="24"/>
          <w:lang w:val="pt-BR"/>
        </w:rPr>
        <w:t xml:space="preserve">. É pertinente pesquisar sobre o desenvolvimento socioeconômico desses municípios e discutir se os resultados traduzem positivamente a utilização </w:t>
      </w:r>
      <w:r w:rsidR="00274CBD">
        <w:rPr>
          <w:rStyle w:val="Nenhum"/>
          <w:sz w:val="24"/>
          <w:szCs w:val="24"/>
          <w:lang w:val="pt-BR"/>
        </w:rPr>
        <w:t>dos abundantes recursos. É interessante pesquisar se há população em situação de pobreza ou extrema pobreza, onde se tem muita riqueza.</w:t>
      </w:r>
    </w:p>
    <w:p w14:paraId="4C1DFE3C" w14:textId="4395817B" w:rsidR="00DA280D" w:rsidRPr="000F54D6" w:rsidRDefault="00DA280D" w:rsidP="00DA280D">
      <w:pPr>
        <w:pStyle w:val="Corpo"/>
        <w:widowControl w:val="0"/>
        <w:spacing w:after="0" w:line="360" w:lineRule="auto"/>
        <w:ind w:right="9" w:firstLine="715"/>
        <w:jc w:val="both"/>
        <w:rPr>
          <w:rStyle w:val="Hyperlink0"/>
        </w:rPr>
      </w:pPr>
      <w:r>
        <w:rPr>
          <w:rStyle w:val="Hyperlink0"/>
        </w:rPr>
        <w:t>Este estudo</w:t>
      </w:r>
      <w:r w:rsidRPr="000F54D6">
        <w:rPr>
          <w:rStyle w:val="Hyperlink0"/>
        </w:rPr>
        <w:t xml:space="preserve"> justifica-se ainda por </w:t>
      </w:r>
      <w:r>
        <w:rPr>
          <w:rStyle w:val="Hyperlink0"/>
        </w:rPr>
        <w:t>suprir falta de</w:t>
      </w:r>
      <w:r w:rsidRPr="000F54D6">
        <w:rPr>
          <w:rStyle w:val="Hyperlink0"/>
        </w:rPr>
        <w:t xml:space="preserve"> estudo</w:t>
      </w:r>
      <w:r>
        <w:rPr>
          <w:rStyle w:val="Hyperlink0"/>
        </w:rPr>
        <w:t>s sobre</w:t>
      </w:r>
      <w:r w:rsidRPr="000F54D6">
        <w:rPr>
          <w:rStyle w:val="Hyperlink0"/>
        </w:rPr>
        <w:t xml:space="preserve"> rendas petrolíferas </w:t>
      </w:r>
      <w:r>
        <w:rPr>
          <w:rStyle w:val="Hyperlink0"/>
        </w:rPr>
        <w:t>dos municípios do Estado do Espírito Santo e, mais especificamente, d</w:t>
      </w:r>
      <w:r w:rsidRPr="000F54D6">
        <w:rPr>
          <w:rStyle w:val="Hyperlink0"/>
        </w:rPr>
        <w:t xml:space="preserve">a região Litoral Sul Capixaba. Ao </w:t>
      </w:r>
      <w:r>
        <w:rPr>
          <w:rStyle w:val="Hyperlink0"/>
        </w:rPr>
        <w:t>fazer levantamento bibliográfico s</w:t>
      </w:r>
      <w:r w:rsidRPr="000F54D6">
        <w:rPr>
          <w:rStyle w:val="Hyperlink0"/>
        </w:rPr>
        <w:t xml:space="preserve">obre o tema, foram </w:t>
      </w:r>
      <w:r w:rsidR="00BB14E2" w:rsidRPr="000F54D6">
        <w:rPr>
          <w:rStyle w:val="Hyperlink0"/>
        </w:rPr>
        <w:t>encontrados</w:t>
      </w:r>
      <w:r w:rsidRPr="000F54D6">
        <w:rPr>
          <w:rStyle w:val="Hyperlink0"/>
        </w:rPr>
        <w:t xml:space="preserve"> muit</w:t>
      </w:r>
      <w:r>
        <w:rPr>
          <w:rStyle w:val="Hyperlink0"/>
        </w:rPr>
        <w:t>os estudos</w:t>
      </w:r>
      <w:r w:rsidRPr="000F54D6">
        <w:rPr>
          <w:rStyle w:val="Hyperlink0"/>
        </w:rPr>
        <w:t xml:space="preserve"> re</w:t>
      </w:r>
      <w:r>
        <w:rPr>
          <w:rStyle w:val="Hyperlink0"/>
        </w:rPr>
        <w:t>ferentes</w:t>
      </w:r>
      <w:r w:rsidRPr="000F54D6">
        <w:rPr>
          <w:rStyle w:val="Hyperlink0"/>
        </w:rPr>
        <w:t xml:space="preserve"> </w:t>
      </w:r>
      <w:r>
        <w:rPr>
          <w:rStyle w:val="Hyperlink0"/>
        </w:rPr>
        <w:t>aos municípios da</w:t>
      </w:r>
      <w:r w:rsidRPr="000F54D6">
        <w:rPr>
          <w:rStyle w:val="Hyperlink0"/>
        </w:rPr>
        <w:t xml:space="preserve"> região Norte Fluminense, mas escassos </w:t>
      </w:r>
      <w:r w:rsidR="00BB14E2">
        <w:rPr>
          <w:rStyle w:val="Hyperlink0"/>
        </w:rPr>
        <w:t>trabalhos</w:t>
      </w:r>
      <w:r w:rsidRPr="000F54D6">
        <w:rPr>
          <w:rStyle w:val="Hyperlink0"/>
        </w:rPr>
        <w:t xml:space="preserve"> sobre municípios petrorrentistas d</w:t>
      </w:r>
      <w:r>
        <w:rPr>
          <w:rStyle w:val="Hyperlink0"/>
        </w:rPr>
        <w:t>a</w:t>
      </w:r>
      <w:r w:rsidRPr="000F54D6">
        <w:rPr>
          <w:rStyle w:val="Hyperlink0"/>
        </w:rPr>
        <w:t xml:space="preserve"> Região Litoral Sul Capixaba.</w:t>
      </w:r>
    </w:p>
    <w:p w14:paraId="5174B981" w14:textId="6B866B5D" w:rsidR="00BC00C3" w:rsidRPr="00AD66B1" w:rsidRDefault="00BB14E2" w:rsidP="00DA280D">
      <w:pPr>
        <w:pStyle w:val="Corpo"/>
        <w:spacing w:after="0" w:line="360" w:lineRule="auto"/>
        <w:ind w:firstLine="851"/>
        <w:jc w:val="both"/>
        <w:rPr>
          <w:rStyle w:val="Nenhum"/>
        </w:rPr>
      </w:pPr>
      <w:r>
        <w:rPr>
          <w:rStyle w:val="Nenhum"/>
        </w:rPr>
        <w:t>Nessa perspectiva, o</w:t>
      </w:r>
      <w:r w:rsidR="00BC00C3" w:rsidRPr="00AD66B1">
        <w:rPr>
          <w:rStyle w:val="Nenhum"/>
        </w:rPr>
        <w:t xml:space="preserve"> </w:t>
      </w:r>
      <w:r>
        <w:rPr>
          <w:rStyle w:val="Nenhum"/>
        </w:rPr>
        <w:t>o</w:t>
      </w:r>
      <w:r w:rsidR="00BC00C3" w:rsidRPr="00AD66B1">
        <w:rPr>
          <w:rStyle w:val="Nenhum"/>
        </w:rPr>
        <w:t xml:space="preserve">bjetivo do </w:t>
      </w:r>
      <w:r>
        <w:rPr>
          <w:rStyle w:val="Nenhum"/>
        </w:rPr>
        <w:t>presente artigo</w:t>
      </w:r>
      <w:r w:rsidR="00BC00C3" w:rsidRPr="00AD66B1">
        <w:rPr>
          <w:rStyle w:val="Nenhum"/>
        </w:rPr>
        <w:t xml:space="preserve"> </w:t>
      </w:r>
      <w:r>
        <w:rPr>
          <w:rStyle w:val="Nenhum"/>
        </w:rPr>
        <w:t>é</w:t>
      </w:r>
      <w:r w:rsidR="00BC00C3" w:rsidRPr="00AD66B1">
        <w:rPr>
          <w:rStyle w:val="Nenhum"/>
        </w:rPr>
        <w:t xml:space="preserve"> mostrar o desenvolvimento dos municípios petrorrentistas da Região Litoral Sul Capixaba, por meio de indicadores </w:t>
      </w:r>
      <w:r w:rsidR="006C3A94">
        <w:rPr>
          <w:rStyle w:val="Nenhum"/>
        </w:rPr>
        <w:t xml:space="preserve">de desenvolvimento </w:t>
      </w:r>
      <w:r w:rsidR="00BC00C3" w:rsidRPr="00AD66B1">
        <w:rPr>
          <w:rStyle w:val="Nenhum"/>
        </w:rPr>
        <w:t>socioeconômico.</w:t>
      </w:r>
      <w:r w:rsidR="009C5AD2">
        <w:rPr>
          <w:rStyle w:val="Nenhum"/>
        </w:rPr>
        <w:t xml:space="preserve"> Será apresentado um perfil socioeconômico de cada município, assim como indicadores multidimensionais </w:t>
      </w:r>
      <w:r w:rsidR="009C5AD2">
        <w:rPr>
          <w:rStyle w:val="Nenhum"/>
        </w:rPr>
        <w:lastRenderedPageBreak/>
        <w:t>retratando desenvolvimento nas áreas de saúde, educação, emprego e renda, vulnerabilidade social, sustentabilidade.</w:t>
      </w:r>
    </w:p>
    <w:p w14:paraId="6847D370" w14:textId="77777777" w:rsidR="00235886" w:rsidRPr="00AD66B1" w:rsidRDefault="00235886" w:rsidP="00493B2D">
      <w:pPr>
        <w:pStyle w:val="IDpaper-Text"/>
        <w:widowControl/>
        <w:spacing w:after="0" w:line="360" w:lineRule="auto"/>
        <w:ind w:firstLine="851"/>
        <w:jc w:val="both"/>
        <w:rPr>
          <w:rFonts w:cs="Arial"/>
          <w:sz w:val="22"/>
          <w:lang w:val="pt-BR"/>
        </w:rPr>
      </w:pPr>
    </w:p>
    <w:p w14:paraId="26874C73" w14:textId="10D7B66B" w:rsidR="00235886" w:rsidRPr="00AD66B1" w:rsidRDefault="00235886" w:rsidP="00493B2D">
      <w:pPr>
        <w:rPr>
          <w:rFonts w:ascii="Arial" w:hAnsi="Arial" w:cs="Arial"/>
          <w:b/>
        </w:rPr>
      </w:pPr>
      <w:r w:rsidRPr="00AD66B1">
        <w:rPr>
          <w:rFonts w:ascii="Arial" w:hAnsi="Arial" w:cs="Arial"/>
          <w:b/>
        </w:rPr>
        <w:t xml:space="preserve">2 </w:t>
      </w:r>
      <w:r w:rsidR="00E91324" w:rsidRPr="00AD66B1">
        <w:rPr>
          <w:rFonts w:ascii="Arial" w:hAnsi="Arial" w:cs="Arial"/>
          <w:b/>
        </w:rPr>
        <w:t>METODOLOGIA</w:t>
      </w:r>
      <w:r w:rsidRPr="00AD66B1">
        <w:rPr>
          <w:rFonts w:ascii="Arial" w:hAnsi="Arial" w:cs="Arial"/>
          <w:b/>
        </w:rPr>
        <w:t xml:space="preserve"> </w:t>
      </w:r>
    </w:p>
    <w:p w14:paraId="7D463DA5" w14:textId="77777777" w:rsidR="004950C8" w:rsidRPr="00AD66B1" w:rsidRDefault="004950C8" w:rsidP="00493B2D">
      <w:pPr>
        <w:spacing w:line="360" w:lineRule="auto"/>
        <w:rPr>
          <w:rFonts w:ascii="Arial" w:hAnsi="Arial" w:cs="Arial"/>
          <w:b/>
        </w:rPr>
      </w:pPr>
    </w:p>
    <w:p w14:paraId="2CAD9580" w14:textId="214DBEF4" w:rsidR="00722280" w:rsidRPr="00AD66B1" w:rsidRDefault="004950C8" w:rsidP="008C4A3C">
      <w:pPr>
        <w:pStyle w:val="Corpo"/>
        <w:spacing w:after="0" w:line="360" w:lineRule="auto"/>
        <w:ind w:firstLine="851"/>
        <w:jc w:val="both"/>
        <w:rPr>
          <w:rStyle w:val="Hyperlink0"/>
        </w:rPr>
      </w:pPr>
      <w:r w:rsidRPr="00AD66B1">
        <w:rPr>
          <w:rFonts w:cs="Arial"/>
          <w:bCs/>
        </w:rPr>
        <w:t xml:space="preserve">Trata-se de um estudo qualitativo e quantitativo, com abordagem exploratória </w:t>
      </w:r>
      <w:r w:rsidR="00722280" w:rsidRPr="00AD66B1">
        <w:rPr>
          <w:rFonts w:cs="Arial"/>
          <w:bCs/>
        </w:rPr>
        <w:t>com uso de</w:t>
      </w:r>
      <w:r w:rsidRPr="00AD66B1">
        <w:rPr>
          <w:rFonts w:cs="Arial"/>
          <w:bCs/>
        </w:rPr>
        <w:t xml:space="preserve"> indicadores socioeconômicos</w:t>
      </w:r>
      <w:r w:rsidR="00722280" w:rsidRPr="00AD66B1">
        <w:rPr>
          <w:rFonts w:cs="Arial"/>
          <w:bCs/>
        </w:rPr>
        <w:t xml:space="preserve">. Os indicadores pesquisados foram o </w:t>
      </w:r>
      <w:r w:rsidR="00722280" w:rsidRPr="00AD66B1">
        <w:rPr>
          <w:rStyle w:val="Hyperlink0"/>
        </w:rPr>
        <w:t>Índice de Desenvolvimento Municipal</w:t>
      </w:r>
      <w:r w:rsidR="00722280" w:rsidRPr="00AD66B1">
        <w:rPr>
          <w:rStyle w:val="Refdenotaderodap"/>
        </w:rPr>
        <w:footnoteReference w:id="3"/>
      </w:r>
      <w:r w:rsidR="00722280" w:rsidRPr="00AD66B1">
        <w:rPr>
          <w:rStyle w:val="Hyperlink0"/>
        </w:rPr>
        <w:t xml:space="preserve"> (IFDM) da Federação das Indústrias do Estado do Rio de Janeiro (FIRJAN); o Índice de Desenvolvimento Sustentável das Cidades (IDSC)</w:t>
      </w:r>
      <w:r w:rsidR="00125327" w:rsidRPr="00AD66B1">
        <w:rPr>
          <w:rStyle w:val="Hyperlink0"/>
        </w:rPr>
        <w:t xml:space="preserve"> do Instituto Cidades Sustentáveis</w:t>
      </w:r>
      <w:r w:rsidR="00722280" w:rsidRPr="00AD66B1">
        <w:rPr>
          <w:rStyle w:val="Hyperlink0"/>
        </w:rPr>
        <w:t xml:space="preserve">; </w:t>
      </w:r>
      <w:r w:rsidR="00125327" w:rsidRPr="00AD66B1">
        <w:rPr>
          <w:rStyle w:val="Hyperlink0"/>
        </w:rPr>
        <w:t>o Índice de Progresso Social (IPS) do IPS Brasil; e o Índice de Efetividade da Gestão Municipal</w:t>
      </w:r>
      <w:r w:rsidR="00AE5480" w:rsidRPr="00AD66B1">
        <w:rPr>
          <w:rStyle w:val="Refdenotaderodap"/>
        </w:rPr>
        <w:footnoteReference w:id="4"/>
      </w:r>
      <w:r w:rsidR="00125327" w:rsidRPr="00AD66B1">
        <w:rPr>
          <w:rStyle w:val="Hyperlink0"/>
        </w:rPr>
        <w:t xml:space="preserve"> (</w:t>
      </w:r>
      <w:r w:rsidR="000E5052" w:rsidRPr="00AD66B1">
        <w:rPr>
          <w:rStyle w:val="Hyperlink0"/>
        </w:rPr>
        <w:t>IEGM</w:t>
      </w:r>
      <w:r w:rsidR="00125327" w:rsidRPr="00AD66B1">
        <w:rPr>
          <w:rStyle w:val="Hyperlink0"/>
        </w:rPr>
        <w:t>) do Tribunal de Contas.</w:t>
      </w:r>
    </w:p>
    <w:p w14:paraId="58350A04" w14:textId="3C4F8B20" w:rsidR="00125327" w:rsidRPr="00AD66B1" w:rsidRDefault="00125327" w:rsidP="008F6F53">
      <w:pPr>
        <w:pStyle w:val="Corpo"/>
        <w:spacing w:after="0" w:line="360" w:lineRule="auto"/>
        <w:ind w:firstLine="851"/>
        <w:jc w:val="both"/>
        <w:rPr>
          <w:rStyle w:val="Hyperlink0"/>
        </w:rPr>
      </w:pPr>
      <w:r w:rsidRPr="00AD66B1">
        <w:rPr>
          <w:rStyle w:val="Hyperlink0"/>
        </w:rPr>
        <w:t>A escolha dos indicadores baseou-se na disponibilidade de dados</w:t>
      </w:r>
      <w:r w:rsidR="003C7E78" w:rsidRPr="00AD66B1">
        <w:rPr>
          <w:rStyle w:val="Hyperlink0"/>
        </w:rPr>
        <w:t>, na sua constituição multidimensional, permitindo visualizar aspectos econômicos, sociais e ambientais; nos seus aspectos complementares uns aos outros e na possibilidade de mostrar o uso das rendas petrolíferas no desenvolvimento municipal.</w:t>
      </w:r>
    </w:p>
    <w:p w14:paraId="7F18CEFA" w14:textId="08613DA7" w:rsidR="008F6F53" w:rsidRPr="00AD66B1" w:rsidRDefault="008F6F53" w:rsidP="008F6F53">
      <w:pPr>
        <w:pStyle w:val="Corpo"/>
        <w:spacing w:after="0" w:line="360" w:lineRule="auto"/>
        <w:ind w:firstLine="851"/>
        <w:jc w:val="both"/>
        <w:rPr>
          <w:rStyle w:val="Hyperlink0"/>
        </w:rPr>
      </w:pPr>
      <w:r w:rsidRPr="00AD66B1">
        <w:rPr>
          <w:rStyle w:val="Hyperlink0"/>
        </w:rPr>
        <w:t xml:space="preserve">Assim, os indicadores pesquisados têm sua </w:t>
      </w:r>
      <w:r w:rsidR="003333D1" w:rsidRPr="00AD66B1">
        <w:rPr>
          <w:rStyle w:val="Hyperlink0"/>
        </w:rPr>
        <w:t xml:space="preserve">própria </w:t>
      </w:r>
      <w:r w:rsidRPr="00AD66B1">
        <w:rPr>
          <w:rStyle w:val="Hyperlink0"/>
        </w:rPr>
        <w:t xml:space="preserve">metodologia de cálculo, constituindo índices formados por um conjunto de outros indicadores. O IFDM é composto por indicadores de emprego &amp; renda, educação e saúde; o IDSC é composto por indicadores relacionados aos Objetivos de Desenvolvimento Sustentável (ODS); o IPS é composto por indicadores relacionados às 3 dimensões </w:t>
      </w:r>
      <w:r w:rsidRPr="00AD66B1">
        <w:t>Necessidades Humanas Básicas, Fundamentos do Bem-estar e Oportunidades</w:t>
      </w:r>
      <w:r w:rsidRPr="00AD66B1">
        <w:rPr>
          <w:rStyle w:val="Hyperlink0"/>
        </w:rPr>
        <w:t xml:space="preserve">; e o </w:t>
      </w:r>
      <w:r w:rsidR="00493B2D" w:rsidRPr="00AD66B1">
        <w:rPr>
          <w:rStyle w:val="Hyperlink0"/>
        </w:rPr>
        <w:t>IEGM</w:t>
      </w:r>
      <w:r w:rsidRPr="00AD66B1">
        <w:rPr>
          <w:rStyle w:val="Hyperlink0"/>
        </w:rPr>
        <w:t xml:space="preserve"> é </w:t>
      </w:r>
      <w:r w:rsidR="003333D1" w:rsidRPr="00AD66B1">
        <w:rPr>
          <w:rStyle w:val="Hyperlink0"/>
        </w:rPr>
        <w:t>composto por indicadores de Educação, Saúde, Planejamento Municipal, Gestão Fiscal, Meio Ambiente, Cidades Protegidas e Governança em Tecnologia da Informação.</w:t>
      </w:r>
    </w:p>
    <w:p w14:paraId="549BFBD4" w14:textId="328CDED6" w:rsidR="008F6F53" w:rsidRPr="00AD66B1" w:rsidRDefault="003333D1" w:rsidP="008F6F53">
      <w:pPr>
        <w:pStyle w:val="Corpo"/>
        <w:spacing w:after="0" w:line="360" w:lineRule="auto"/>
        <w:ind w:firstLine="851"/>
        <w:jc w:val="both"/>
        <w:rPr>
          <w:rStyle w:val="Hyperlink0"/>
        </w:rPr>
      </w:pPr>
      <w:r w:rsidRPr="00AD66B1">
        <w:rPr>
          <w:rStyle w:val="Hyperlink0"/>
        </w:rPr>
        <w:t xml:space="preserve">Para demonstrar o valor recebido anualmente e o valor recebido no total do período estudado das rendas petrolíferas, coletou-se dados de </w:t>
      </w:r>
      <w:r w:rsidRPr="00AD66B1">
        <w:rPr>
          <w:rStyle w:val="Hyperlink0"/>
          <w:i/>
          <w:iCs/>
        </w:rPr>
        <w:t>royalties</w:t>
      </w:r>
      <w:r w:rsidRPr="00AD66B1">
        <w:rPr>
          <w:rStyle w:val="Hyperlink0"/>
        </w:rPr>
        <w:t xml:space="preserve"> e participações especiais em valores correntes</w:t>
      </w:r>
      <w:r w:rsidR="003B6C7C" w:rsidRPr="00AD66B1">
        <w:rPr>
          <w:rStyle w:val="Hyperlink0"/>
        </w:rPr>
        <w:t xml:space="preserve">. </w:t>
      </w:r>
      <w:r w:rsidR="006F2BCF" w:rsidRPr="00AD66B1">
        <w:rPr>
          <w:rStyle w:val="Hyperlink0"/>
        </w:rPr>
        <w:t xml:space="preserve">Fez-se ainda o levantamento de dados </w:t>
      </w:r>
      <w:r w:rsidR="006F2BCF" w:rsidRPr="00AD66B1">
        <w:rPr>
          <w:rStyle w:val="Hyperlink0"/>
        </w:rPr>
        <w:lastRenderedPageBreak/>
        <w:t>socioeconômicos, para apresentar a situação do município atual, de acordo com o que foi divulgado até 2025.</w:t>
      </w:r>
    </w:p>
    <w:p w14:paraId="30745530" w14:textId="2B459A6B" w:rsidR="008F6F53" w:rsidRPr="00AD66B1" w:rsidRDefault="008F6F53" w:rsidP="008F6F53">
      <w:pPr>
        <w:pStyle w:val="Corpo"/>
        <w:spacing w:after="0" w:line="360" w:lineRule="auto"/>
        <w:ind w:firstLine="851"/>
        <w:jc w:val="both"/>
        <w:rPr>
          <w:rStyle w:val="Hyperlink0"/>
        </w:rPr>
      </w:pPr>
      <w:r w:rsidRPr="00AD66B1">
        <w:rPr>
          <w:rStyle w:val="Hyperlink0"/>
        </w:rPr>
        <w:t xml:space="preserve"> </w:t>
      </w:r>
      <w:r w:rsidR="006F2BCF" w:rsidRPr="00AD66B1">
        <w:rPr>
          <w:rStyle w:val="Hyperlink0"/>
        </w:rPr>
        <w:t>O recorte temporal foi de 2013 a 2023, com expansão até 2025, conforme a disponibilidade de dados</w:t>
      </w:r>
      <w:r w:rsidR="00D3195C" w:rsidRPr="00AD66B1">
        <w:rPr>
          <w:rStyle w:val="Hyperlink0"/>
        </w:rPr>
        <w:t>, os quais foram</w:t>
      </w:r>
      <w:r w:rsidR="006F2BCF" w:rsidRPr="00AD66B1">
        <w:rPr>
          <w:rStyle w:val="Hyperlink0"/>
        </w:rPr>
        <w:t xml:space="preserve"> somente dados secundários</w:t>
      </w:r>
      <w:r w:rsidR="00D3195C" w:rsidRPr="00AD66B1">
        <w:rPr>
          <w:rStyle w:val="Hyperlink0"/>
        </w:rPr>
        <w:t>. O</w:t>
      </w:r>
      <w:r w:rsidR="006F2BCF" w:rsidRPr="00AD66B1">
        <w:rPr>
          <w:rStyle w:val="Hyperlink0"/>
        </w:rPr>
        <w:t xml:space="preserve"> objeto do estudo foram os municípios petrorrentistas da microrregião Litoral Sul do Estado do </w:t>
      </w:r>
      <w:r w:rsidR="00EA46F4" w:rsidRPr="00AD66B1">
        <w:rPr>
          <w:rStyle w:val="Hyperlink0"/>
        </w:rPr>
        <w:t>Espírito</w:t>
      </w:r>
      <w:r w:rsidR="006F2BCF" w:rsidRPr="00AD66B1">
        <w:rPr>
          <w:rStyle w:val="Hyperlink0"/>
        </w:rPr>
        <w:t xml:space="preserve"> Santo, </w:t>
      </w:r>
      <w:r w:rsidR="00D3195C" w:rsidRPr="00AD66B1">
        <w:rPr>
          <w:rStyle w:val="Hyperlink0"/>
        </w:rPr>
        <w:t xml:space="preserve">os quais são confrontantes com a Bacia de </w:t>
      </w:r>
      <w:r w:rsidR="000542ED" w:rsidRPr="00AD66B1">
        <w:rPr>
          <w:rStyle w:val="Hyperlink0"/>
        </w:rPr>
        <w:t>Campos e</w:t>
      </w:r>
      <w:r w:rsidR="00D3195C" w:rsidRPr="00AD66B1">
        <w:rPr>
          <w:rStyle w:val="Hyperlink0"/>
        </w:rPr>
        <w:t xml:space="preserve"> recebem anualmente significativos montantes de rendas petrolíferas.</w:t>
      </w:r>
    </w:p>
    <w:p w14:paraId="2F8CACAC" w14:textId="77777777" w:rsidR="00235886" w:rsidRPr="00AD66B1" w:rsidRDefault="00235886" w:rsidP="00493B2D">
      <w:pPr>
        <w:spacing w:line="360" w:lineRule="auto"/>
        <w:rPr>
          <w:rFonts w:ascii="Arial" w:hAnsi="Arial" w:cs="Arial"/>
          <w:b/>
          <w:sz w:val="28"/>
        </w:rPr>
      </w:pPr>
    </w:p>
    <w:p w14:paraId="6DA65712" w14:textId="77777777" w:rsidR="00990E9E" w:rsidRDefault="00990E9E" w:rsidP="00493B2D">
      <w:pPr>
        <w:rPr>
          <w:rFonts w:ascii="Arial" w:hAnsi="Arial" w:cs="Arial"/>
          <w:b/>
        </w:rPr>
      </w:pPr>
      <w:r w:rsidRPr="00AD66B1">
        <w:rPr>
          <w:rFonts w:ascii="Arial" w:hAnsi="Arial" w:cs="Arial"/>
          <w:b/>
        </w:rPr>
        <w:t>3 RESULTADOS</w:t>
      </w:r>
    </w:p>
    <w:p w14:paraId="22D67390" w14:textId="77777777" w:rsidR="00125EF5" w:rsidRDefault="00125EF5" w:rsidP="00493B2D">
      <w:pPr>
        <w:spacing w:line="360" w:lineRule="auto"/>
        <w:rPr>
          <w:rFonts w:ascii="Arial" w:hAnsi="Arial" w:cs="Arial"/>
          <w:b/>
        </w:rPr>
      </w:pPr>
    </w:p>
    <w:p w14:paraId="5F5A5BB4" w14:textId="2798678B" w:rsidR="00125EF5" w:rsidRPr="000F54D6" w:rsidRDefault="00125EF5" w:rsidP="008C4A3C">
      <w:pPr>
        <w:pStyle w:val="Corpo"/>
        <w:spacing w:after="0" w:line="360" w:lineRule="auto"/>
        <w:ind w:firstLine="851"/>
        <w:jc w:val="both"/>
      </w:pPr>
      <w:r>
        <w:rPr>
          <w:rStyle w:val="Nenhum"/>
        </w:rPr>
        <w:t xml:space="preserve">Os três municípios, Itapemirim, Marataízes e Presidente Kennedy, são </w:t>
      </w:r>
      <w:r w:rsidRPr="000F54D6">
        <w:rPr>
          <w:rStyle w:val="Nenhum"/>
        </w:rPr>
        <w:t xml:space="preserve">litorâneos </w:t>
      </w:r>
      <w:r>
        <w:rPr>
          <w:rStyle w:val="Nenhum"/>
        </w:rPr>
        <w:t>com pequena população, principalmente Presidente kennedy</w:t>
      </w:r>
      <w:r w:rsidRPr="000F54D6">
        <w:rPr>
          <w:rStyle w:val="Nenhum"/>
        </w:rPr>
        <w:t xml:space="preserve">. </w:t>
      </w:r>
      <w:r>
        <w:rPr>
          <w:rStyle w:val="Nenhum"/>
        </w:rPr>
        <w:t xml:space="preserve">Com relação às atividades </w:t>
      </w:r>
      <w:r w:rsidRPr="000F54D6">
        <w:rPr>
          <w:rStyle w:val="Nenhum"/>
        </w:rPr>
        <w:t xml:space="preserve">econômicas, </w:t>
      </w:r>
      <w:r>
        <w:rPr>
          <w:rStyle w:val="Nenhum"/>
        </w:rPr>
        <w:t>a</w:t>
      </w:r>
      <w:r w:rsidRPr="000F54D6">
        <w:rPr>
          <w:rStyle w:val="Nenhum"/>
        </w:rPr>
        <w:t xml:space="preserve"> agr</w:t>
      </w:r>
      <w:r>
        <w:rPr>
          <w:rStyle w:val="Nenhum"/>
        </w:rPr>
        <w:t>icultura está</w:t>
      </w:r>
      <w:r w:rsidRPr="000F54D6">
        <w:rPr>
          <w:rStyle w:val="Nenhum"/>
        </w:rPr>
        <w:t xml:space="preserve"> presente </w:t>
      </w:r>
      <w:r>
        <w:rPr>
          <w:rStyle w:val="Nenhum"/>
        </w:rPr>
        <w:t>nos três</w:t>
      </w:r>
      <w:r w:rsidRPr="000F54D6">
        <w:rPr>
          <w:rStyle w:val="Nenhum"/>
        </w:rPr>
        <w:t xml:space="preserve"> municípios, </w:t>
      </w:r>
      <w:r>
        <w:rPr>
          <w:rStyle w:val="Nenhum"/>
        </w:rPr>
        <w:t>com pesca e turismo importantes em Itapemirim e Marataízes e a pecuária importante em Itapemirim e Presidente kennedy.</w:t>
      </w:r>
      <w:r w:rsidRPr="000F54D6">
        <w:rPr>
          <w:rStyle w:val="Nenhum"/>
        </w:rPr>
        <w:t xml:space="preserve"> </w:t>
      </w:r>
    </w:p>
    <w:p w14:paraId="287CE90D" w14:textId="7B7DE9BF" w:rsidR="00125EF5" w:rsidRPr="000F54D6" w:rsidRDefault="00125EF5" w:rsidP="00125EF5">
      <w:pPr>
        <w:pStyle w:val="Corpo"/>
        <w:spacing w:after="0" w:line="360" w:lineRule="auto"/>
        <w:ind w:firstLine="851"/>
        <w:jc w:val="both"/>
      </w:pPr>
      <w:r w:rsidRPr="000F54D6">
        <w:rPr>
          <w:rStyle w:val="Nenhum"/>
        </w:rPr>
        <w:t xml:space="preserve">Outro aspecto relevante é o </w:t>
      </w:r>
      <w:r w:rsidR="00493B2D">
        <w:rPr>
          <w:rStyle w:val="Nenhum"/>
        </w:rPr>
        <w:t>Produto Interno Bruto (</w:t>
      </w:r>
      <w:r w:rsidRPr="000F54D6">
        <w:rPr>
          <w:rStyle w:val="Nenhum"/>
        </w:rPr>
        <w:t>PIB</w:t>
      </w:r>
      <w:r w:rsidR="00493B2D">
        <w:rPr>
          <w:rStyle w:val="Nenhum"/>
        </w:rPr>
        <w:t>)</w:t>
      </w:r>
      <w:r w:rsidRPr="000F54D6">
        <w:rPr>
          <w:rStyle w:val="Nenhum"/>
        </w:rPr>
        <w:t xml:space="preserve"> e o PIB </w:t>
      </w:r>
      <w:r w:rsidRPr="000F54D6">
        <w:rPr>
          <w:rStyle w:val="Nenhum"/>
          <w:i/>
          <w:iCs/>
        </w:rPr>
        <w:t>per capita</w:t>
      </w:r>
      <w:r w:rsidR="00493B2D">
        <w:rPr>
          <w:rStyle w:val="Nenhum"/>
          <w:i/>
          <w:iCs/>
        </w:rPr>
        <w:t xml:space="preserve"> </w:t>
      </w:r>
      <w:r w:rsidR="00493B2D" w:rsidRPr="00D52DA1">
        <w:rPr>
          <w:rStyle w:val="Nenhum"/>
        </w:rPr>
        <w:t xml:space="preserve">dos três </w:t>
      </w:r>
      <w:r w:rsidR="00D52DA1">
        <w:rPr>
          <w:rStyle w:val="Nenhum"/>
        </w:rPr>
        <w:t>m</w:t>
      </w:r>
      <w:r w:rsidR="00D52DA1" w:rsidRPr="00D52DA1">
        <w:rPr>
          <w:rStyle w:val="Nenhum"/>
        </w:rPr>
        <w:t>unicípios</w:t>
      </w:r>
      <w:r w:rsidRPr="00D52DA1">
        <w:rPr>
          <w:rStyle w:val="Nenhum"/>
        </w:rPr>
        <w:t>,</w:t>
      </w:r>
      <w:r w:rsidRPr="000F54D6">
        <w:rPr>
          <w:rStyle w:val="Nenhum"/>
        </w:rPr>
        <w:t xml:space="preserve"> influenciados principalmente pelas rendas petrolíferas</w:t>
      </w:r>
      <w:r>
        <w:rPr>
          <w:rStyle w:val="Nenhum"/>
        </w:rPr>
        <w:t>.</w:t>
      </w:r>
      <w:r w:rsidRPr="000F54D6">
        <w:rPr>
          <w:rStyle w:val="Nenhum"/>
        </w:rPr>
        <w:t xml:space="preserve"> </w:t>
      </w:r>
      <w:r>
        <w:rPr>
          <w:rStyle w:val="Nenhum"/>
        </w:rPr>
        <w:t xml:space="preserve">Cabe destacar que os </w:t>
      </w:r>
      <w:r w:rsidR="00D52DA1">
        <w:rPr>
          <w:rStyle w:val="Nenhum"/>
        </w:rPr>
        <w:t>três</w:t>
      </w:r>
      <w:r>
        <w:rPr>
          <w:rStyle w:val="Nenhum"/>
        </w:rPr>
        <w:t xml:space="preserve"> tiveram elevado PIB bruto em 2021</w:t>
      </w:r>
      <w:r w:rsidRPr="000F54D6">
        <w:rPr>
          <w:rStyle w:val="Nenhum"/>
        </w:rPr>
        <w:t xml:space="preserve"> com um valor de </w:t>
      </w:r>
      <w:r>
        <w:rPr>
          <w:rStyle w:val="Nenhum"/>
        </w:rPr>
        <w:t>mais de 5</w:t>
      </w:r>
      <w:r w:rsidRPr="000F54D6">
        <w:rPr>
          <w:rStyle w:val="Nenhum"/>
        </w:rPr>
        <w:t xml:space="preserve"> bilhões</w:t>
      </w:r>
      <w:r>
        <w:rPr>
          <w:rStyle w:val="Nenhum"/>
        </w:rPr>
        <w:t xml:space="preserve"> de reais.</w:t>
      </w:r>
      <w:r w:rsidRPr="000F54D6">
        <w:rPr>
          <w:rStyle w:val="Nenhum"/>
        </w:rPr>
        <w:t xml:space="preserve"> Sobre o PIB </w:t>
      </w:r>
      <w:r w:rsidRPr="000F54D6">
        <w:rPr>
          <w:rStyle w:val="Nenhum"/>
          <w:i/>
          <w:iCs/>
        </w:rPr>
        <w:t>per capita</w:t>
      </w:r>
      <w:r w:rsidRPr="000F54D6">
        <w:rPr>
          <w:rStyle w:val="Nenhum"/>
        </w:rPr>
        <w:t xml:space="preserve">, montante da receita que teoricamente poderia ser gasto com cada habitante do município </w:t>
      </w:r>
      <w:r>
        <w:rPr>
          <w:rStyle w:val="Nenhum"/>
        </w:rPr>
        <w:t>n</w:t>
      </w:r>
      <w:r w:rsidRPr="000F54D6">
        <w:rPr>
          <w:rStyle w:val="Nenhum"/>
        </w:rPr>
        <w:t>o ano de 2021, chama a atenção o valo</w:t>
      </w:r>
      <w:r>
        <w:rPr>
          <w:rStyle w:val="Nenhum"/>
        </w:rPr>
        <w:t>r</w:t>
      </w:r>
      <w:r w:rsidRPr="000F54D6">
        <w:rPr>
          <w:rStyle w:val="Nenhum"/>
        </w:rPr>
        <w:t xml:space="preserve"> d</w:t>
      </w:r>
      <w:r>
        <w:rPr>
          <w:rStyle w:val="Nenhum"/>
        </w:rPr>
        <w:t>e</w:t>
      </w:r>
      <w:r w:rsidRPr="000F54D6">
        <w:rPr>
          <w:rStyle w:val="Nenhum"/>
        </w:rPr>
        <w:t xml:space="preserve"> Presidente Kennedy com R$ 580.174,17</w:t>
      </w:r>
      <w:r>
        <w:rPr>
          <w:rStyle w:val="Nenhum"/>
        </w:rPr>
        <w:t xml:space="preserve">. Os altos valores anuais de PIB </w:t>
      </w:r>
      <w:r w:rsidRPr="005971C6">
        <w:rPr>
          <w:rStyle w:val="Nenhum"/>
          <w:i/>
          <w:iCs/>
        </w:rPr>
        <w:t>per capita</w:t>
      </w:r>
      <w:r>
        <w:rPr>
          <w:rStyle w:val="Nenhum"/>
        </w:rPr>
        <w:t xml:space="preserve"> refletem na capacidade fiscal </w:t>
      </w:r>
      <w:r w:rsidRPr="005971C6">
        <w:rPr>
          <w:rStyle w:val="Nenhum"/>
          <w:i/>
          <w:iCs/>
        </w:rPr>
        <w:t>per capita</w:t>
      </w:r>
      <w:r>
        <w:rPr>
          <w:rStyle w:val="Nenhum"/>
        </w:rPr>
        <w:t xml:space="preserve">, com Itapemirim tendo o valor de R$ 11.338,87, Marataízes R$ 9.258,98 e Presidente Kennedy R$ 36.115,67 em 2023. </w:t>
      </w:r>
    </w:p>
    <w:p w14:paraId="5B055756" w14:textId="0E9825F4" w:rsidR="00125EF5" w:rsidRDefault="00125EF5" w:rsidP="00125EF5">
      <w:pPr>
        <w:pStyle w:val="Corpo"/>
        <w:spacing w:after="0" w:line="360" w:lineRule="auto"/>
        <w:ind w:firstLine="851"/>
        <w:jc w:val="both"/>
        <w:rPr>
          <w:rStyle w:val="Nenhum"/>
        </w:rPr>
      </w:pPr>
      <w:r>
        <w:rPr>
          <w:rStyle w:val="Nenhum"/>
        </w:rPr>
        <w:t xml:space="preserve">De modo intrigante, essa fartura parece não chegar a toda população desses municípios. Levando-se em conta que em 2023 o </w:t>
      </w:r>
      <w:proofErr w:type="gramStart"/>
      <w:r w:rsidR="00493B2D">
        <w:rPr>
          <w:rStyle w:val="Nenhum"/>
        </w:rPr>
        <w:t>S</w:t>
      </w:r>
      <w:r>
        <w:rPr>
          <w:rStyle w:val="Nenhum"/>
        </w:rPr>
        <w:t xml:space="preserve">alário </w:t>
      </w:r>
      <w:r w:rsidR="00493B2D">
        <w:rPr>
          <w:rStyle w:val="Nenhum"/>
        </w:rPr>
        <w:t>M</w:t>
      </w:r>
      <w:r>
        <w:rPr>
          <w:rStyle w:val="Nenhum"/>
        </w:rPr>
        <w:t>ínimo</w:t>
      </w:r>
      <w:proofErr w:type="gramEnd"/>
      <w:r>
        <w:rPr>
          <w:rStyle w:val="Nenhum"/>
        </w:rPr>
        <w:t xml:space="preserve"> (SM) era de R$ 1.320 reais, i</w:t>
      </w:r>
      <w:r w:rsidRPr="0061204B">
        <w:rPr>
          <w:rStyle w:val="Nenhum"/>
        </w:rPr>
        <w:t xml:space="preserve">nteressante ressaltar </w:t>
      </w:r>
      <w:r>
        <w:rPr>
          <w:rStyle w:val="Nenhum"/>
        </w:rPr>
        <w:t xml:space="preserve">a renda média que foi de 2,6 SM em Itapemirim, 2 SM em Marataízes e 2,2 SM em Presidente Kennedy. Ou seja, uma renda média baixa em 2023, não atingindo 3 SM. Mais da metade da população dos três municípios estava cadastrada no CadÚnico em 2024. Em Presidente Kennedy era aproximadamente 60% (valor exato de 58%). A Estimativa da pobreza na população em 2024 era de 42,2% em Itapemirim, 38,5% em Marataízes e 37,5% em Presidente Kennedy. A estimativa de extrema pobreza era de 32,4% em Itapemirim, 28,8% em Marataízes e 25,5% em Presidente kennedy. Ou seja, mais de 1/3 da população dos três municípios </w:t>
      </w:r>
      <w:r>
        <w:rPr>
          <w:rStyle w:val="Nenhum"/>
        </w:rPr>
        <w:lastRenderedPageBreak/>
        <w:t>estava na linha da pobreza e mais de 1/4 estava na linha da extrema pobreza em 2024.</w:t>
      </w:r>
    </w:p>
    <w:p w14:paraId="76F4603F" w14:textId="73A0F2F3" w:rsidR="00125EF5" w:rsidRDefault="00125EF5" w:rsidP="00125EF5">
      <w:pPr>
        <w:pStyle w:val="Corpo"/>
        <w:spacing w:after="0" w:line="360" w:lineRule="auto"/>
        <w:ind w:firstLine="851"/>
        <w:jc w:val="both"/>
        <w:rPr>
          <w:rStyle w:val="Nenhum"/>
        </w:rPr>
      </w:pPr>
      <w:r w:rsidRPr="00CD434A">
        <w:rPr>
          <w:rStyle w:val="Nenhum"/>
        </w:rPr>
        <w:t xml:space="preserve">Em relação ao </w:t>
      </w:r>
      <w:r w:rsidR="00D52DA1">
        <w:rPr>
          <w:rStyle w:val="Nenhum"/>
        </w:rPr>
        <w:t>Cadastro Único (</w:t>
      </w:r>
      <w:r w:rsidRPr="00CD434A">
        <w:rPr>
          <w:rStyle w:val="Nenhum"/>
        </w:rPr>
        <w:t>Cad</w:t>
      </w:r>
      <w:r>
        <w:rPr>
          <w:rStyle w:val="Nenhum"/>
        </w:rPr>
        <w:t>Ú</w:t>
      </w:r>
      <w:r w:rsidRPr="00CD434A">
        <w:rPr>
          <w:rStyle w:val="Nenhum"/>
        </w:rPr>
        <w:t>nico</w:t>
      </w:r>
      <w:r w:rsidR="00D52DA1">
        <w:rPr>
          <w:rStyle w:val="Nenhum"/>
        </w:rPr>
        <w:t>)</w:t>
      </w:r>
      <w:r w:rsidRPr="00CD434A">
        <w:rPr>
          <w:rStyle w:val="Nenhum"/>
        </w:rPr>
        <w:t>, os dados mostram que</w:t>
      </w:r>
      <w:r>
        <w:rPr>
          <w:rStyle w:val="Nenhum"/>
        </w:rPr>
        <w:t xml:space="preserve"> mais da metade da população dos três municípios estava cadastrada em 2024. Em Itapemirim era 57,3%, em Marataízes era 52,5% e em Presidente Kennedy era 58%. Dentre os cadastrados no CadÚnico, o percentual de pobreza era de 73,6%, 73,3% e 64,3% e o percentual de extrema pobreza era 56,6%, 54,9% e 43,9% em Itapemirim, Marataízes e Presidente Kennedy, respectivamente. </w:t>
      </w:r>
    </w:p>
    <w:p w14:paraId="181D4135" w14:textId="77777777" w:rsidR="00125EF5" w:rsidRDefault="00125EF5" w:rsidP="00125EF5">
      <w:pPr>
        <w:pStyle w:val="Corpo"/>
        <w:spacing w:after="0" w:line="360" w:lineRule="auto"/>
        <w:ind w:firstLine="851"/>
        <w:jc w:val="both"/>
        <w:rPr>
          <w:rStyle w:val="Nenhum"/>
        </w:rPr>
      </w:pPr>
      <w:r>
        <w:rPr>
          <w:rStyle w:val="Nenhum"/>
        </w:rPr>
        <w:t xml:space="preserve">Ainda falando da situação de carência nos municípios pesquisados, em 2024 Itapemirim teve 5.933 famílias atendidas pelo Programa Bolsa Família, para uma população de 43.362 hab. e tendo 22.122 domicílios no ano de 2022. Marataízes teve 5.415 famílias atendidas, para uma população de 45.418 hab. e tendo 22.122 domicílios. Presidente Kennedy teve 1.764 famílias atendidas, para uma população de 14.647 hab. e tendo 6.908 domicílios. </w:t>
      </w:r>
    </w:p>
    <w:p w14:paraId="355B4C85" w14:textId="77777777" w:rsidR="00125EF5" w:rsidRDefault="00125EF5" w:rsidP="00125EF5">
      <w:pPr>
        <w:pStyle w:val="Corpo"/>
        <w:spacing w:after="0" w:line="360" w:lineRule="auto"/>
        <w:ind w:firstLine="851"/>
        <w:jc w:val="both"/>
        <w:rPr>
          <w:rStyle w:val="Nenhum"/>
        </w:rPr>
      </w:pPr>
      <w:r>
        <w:rPr>
          <w:rStyle w:val="Nenhum"/>
        </w:rPr>
        <w:t xml:space="preserve">As informações trazidas pelo CadÚnico e pelo Programa Bolsa Família demonstram a existência de elevado percentual de pessoas em situação de vulnerabilidade social e com necessidade de atendimento de programas governamentais federais para superação da pobreza e existência de áreas com necessidade de investimento pelo poder público municipal. </w:t>
      </w:r>
    </w:p>
    <w:p w14:paraId="0A9361FC" w14:textId="7DF4CC57" w:rsidR="00125EF5" w:rsidRDefault="00125EF5" w:rsidP="00125EF5">
      <w:pPr>
        <w:pStyle w:val="Corpo"/>
        <w:spacing w:after="0" w:line="360" w:lineRule="auto"/>
        <w:ind w:firstLine="851"/>
        <w:jc w:val="both"/>
        <w:rPr>
          <w:rStyle w:val="Nenhum"/>
        </w:rPr>
      </w:pPr>
      <w:r>
        <w:rPr>
          <w:rStyle w:val="Nenhum"/>
        </w:rPr>
        <w:t>Com relação ao atendimento com saneamento básico, em 2023</w:t>
      </w:r>
      <w:r w:rsidR="00493B2D">
        <w:rPr>
          <w:rStyle w:val="Nenhum"/>
        </w:rPr>
        <w:t>,</w:t>
      </w:r>
      <w:r>
        <w:rPr>
          <w:rStyle w:val="Nenhum"/>
        </w:rPr>
        <w:t xml:space="preserve"> Presidente Kennedy ainda não tinha atingido 100% de cobertura de abastecimento de água nos seus domicílios urbanos, com 74,52% de domicílios atendidos. A cobertura por esgotamento sanitário foi muito baixa em Itapemirim com apenas 33,67% e regular em Marataízes com 60,51% dos domicílios urbanos atendidos. Vale mencionar que ambos os municípios são atendidos pela Autarquia Municipal de Serviço Autônomo de Água e Esgoto (SAAE) de Itapemirim.</w:t>
      </w:r>
    </w:p>
    <w:p w14:paraId="5322C7F4" w14:textId="77777777" w:rsidR="00125EF5" w:rsidRDefault="00125EF5" w:rsidP="00125EF5">
      <w:pPr>
        <w:pStyle w:val="Corpo"/>
        <w:spacing w:after="0" w:line="360" w:lineRule="auto"/>
        <w:ind w:firstLine="851"/>
        <w:jc w:val="both"/>
        <w:rPr>
          <w:rStyle w:val="Nenhum"/>
        </w:rPr>
      </w:pPr>
      <w:r>
        <w:rPr>
          <w:rStyle w:val="Nenhum"/>
        </w:rPr>
        <w:t xml:space="preserve">Como pode ser percebido pelo que foi discorrido, nenhum dos municípios tem atividade industrial como atividade econômica importante e potencial geradora de renda, isto significa que as abastadas rendas petrolíferas são obtidas exclusivamente de compensações financeiras pela exploração do petróleo. </w:t>
      </w:r>
    </w:p>
    <w:p w14:paraId="785DB973" w14:textId="77777777" w:rsidR="00125EF5" w:rsidRDefault="00125EF5" w:rsidP="00125EF5">
      <w:pPr>
        <w:pStyle w:val="Corpo"/>
        <w:spacing w:after="0" w:line="360" w:lineRule="auto"/>
        <w:jc w:val="both"/>
        <w:rPr>
          <w:rStyle w:val="Nenhum"/>
        </w:rPr>
      </w:pPr>
      <w:r w:rsidRPr="008C5530">
        <w:rPr>
          <w:rStyle w:val="Nenhum"/>
        </w:rPr>
        <w:tab/>
        <w:t>Tod</w:t>
      </w:r>
      <w:r>
        <w:rPr>
          <w:rStyle w:val="Nenhum"/>
        </w:rPr>
        <w:t xml:space="preserve">as as informações </w:t>
      </w:r>
      <w:r w:rsidRPr="008C5530">
        <w:rPr>
          <w:rStyle w:val="Nenhum"/>
        </w:rPr>
        <w:t>destacad</w:t>
      </w:r>
      <w:r>
        <w:rPr>
          <w:rStyle w:val="Nenhum"/>
        </w:rPr>
        <w:t>as</w:t>
      </w:r>
      <w:r w:rsidRPr="008C5530">
        <w:rPr>
          <w:rStyle w:val="Nenhum"/>
        </w:rPr>
        <w:t xml:space="preserve"> podem ser vist</w:t>
      </w:r>
      <w:r>
        <w:rPr>
          <w:rStyle w:val="Nenhum"/>
        </w:rPr>
        <w:t>a</w:t>
      </w:r>
      <w:r w:rsidRPr="008C5530">
        <w:rPr>
          <w:rStyle w:val="Nenhum"/>
        </w:rPr>
        <w:t xml:space="preserve">s no QUADRO </w:t>
      </w:r>
      <w:r>
        <w:rPr>
          <w:rStyle w:val="Nenhum"/>
        </w:rPr>
        <w:t xml:space="preserve">1, </w:t>
      </w:r>
      <w:r w:rsidRPr="008C5530">
        <w:rPr>
          <w:rStyle w:val="Nenhum"/>
        </w:rPr>
        <w:t xml:space="preserve">referente </w:t>
      </w:r>
      <w:r>
        <w:rPr>
          <w:rStyle w:val="Nenhum"/>
        </w:rPr>
        <w:t>aos</w:t>
      </w:r>
      <w:r w:rsidRPr="008C5530">
        <w:rPr>
          <w:rStyle w:val="Nenhum"/>
        </w:rPr>
        <w:t xml:space="preserve"> </w:t>
      </w:r>
      <w:r>
        <w:rPr>
          <w:rStyle w:val="Nenhum"/>
        </w:rPr>
        <w:t xml:space="preserve">dados </w:t>
      </w:r>
      <w:r w:rsidRPr="008C5530">
        <w:rPr>
          <w:rStyle w:val="Nenhum"/>
        </w:rPr>
        <w:t>socioeconômic</w:t>
      </w:r>
      <w:r>
        <w:rPr>
          <w:rStyle w:val="Nenhum"/>
        </w:rPr>
        <w:t>o</w:t>
      </w:r>
      <w:r w:rsidRPr="008C5530">
        <w:rPr>
          <w:rStyle w:val="Nenhum"/>
        </w:rPr>
        <w:t xml:space="preserve">s dos municípios </w:t>
      </w:r>
      <w:r>
        <w:rPr>
          <w:rStyle w:val="Nenhum"/>
        </w:rPr>
        <w:t xml:space="preserve">petrorrentistas da região </w:t>
      </w:r>
      <w:r w:rsidRPr="008C5530">
        <w:rPr>
          <w:rStyle w:val="Nenhum"/>
        </w:rPr>
        <w:t>Litoral Sul Capixaba.</w:t>
      </w:r>
    </w:p>
    <w:p w14:paraId="54F7DA80" w14:textId="77777777" w:rsidR="00D1697C" w:rsidRDefault="00D1697C" w:rsidP="003274EF">
      <w:pPr>
        <w:jc w:val="center"/>
        <w:rPr>
          <w:rFonts w:ascii="Arial" w:hAnsi="Arial" w:cs="Arial"/>
          <w:sz w:val="20"/>
          <w:szCs w:val="20"/>
        </w:rPr>
      </w:pPr>
    </w:p>
    <w:p w14:paraId="04363323" w14:textId="160B924A" w:rsidR="003274EF" w:rsidRPr="00AD66B1" w:rsidRDefault="003274EF" w:rsidP="005F3121">
      <w:pPr>
        <w:jc w:val="center"/>
        <w:rPr>
          <w:rFonts w:ascii="Arial" w:hAnsi="Arial" w:cs="Arial"/>
          <w:sz w:val="20"/>
          <w:szCs w:val="20"/>
        </w:rPr>
      </w:pPr>
      <w:r w:rsidRPr="00AD66B1">
        <w:rPr>
          <w:rFonts w:ascii="Arial" w:hAnsi="Arial" w:cs="Arial"/>
          <w:sz w:val="20"/>
          <w:szCs w:val="20"/>
        </w:rPr>
        <w:lastRenderedPageBreak/>
        <w:t>Quadro 1 – Dados Socioeconômicos dos municípios petrorrentistas do Litoral Sul Capixaba</w:t>
      </w:r>
    </w:p>
    <w:tbl>
      <w:tblPr>
        <w:tblStyle w:val="Tabelacomgrade"/>
        <w:tblW w:w="9067" w:type="dxa"/>
        <w:tblLayout w:type="fixed"/>
        <w:tblLook w:val="04A0" w:firstRow="1" w:lastRow="0" w:firstColumn="1" w:lastColumn="0" w:noHBand="0" w:noVBand="1"/>
      </w:tblPr>
      <w:tblGrid>
        <w:gridCol w:w="4815"/>
        <w:gridCol w:w="1276"/>
        <w:gridCol w:w="1275"/>
        <w:gridCol w:w="1701"/>
      </w:tblGrid>
      <w:tr w:rsidR="007C7D77" w:rsidRPr="00AD66B1" w14:paraId="31EF9989" w14:textId="77777777" w:rsidTr="00D52DA1">
        <w:tc>
          <w:tcPr>
            <w:tcW w:w="4815" w:type="dxa"/>
            <w:shd w:val="clear" w:color="auto" w:fill="C4BC96" w:themeFill="background2" w:themeFillShade="BF"/>
            <w:vAlign w:val="center"/>
          </w:tcPr>
          <w:p w14:paraId="2E547047" w14:textId="77777777" w:rsidR="003274EF" w:rsidRPr="00AD66B1" w:rsidRDefault="003274EF" w:rsidP="007951A4">
            <w:pPr>
              <w:jc w:val="center"/>
              <w:rPr>
                <w:rFonts w:ascii="Arial" w:hAnsi="Arial" w:cs="Arial"/>
                <w:b/>
                <w:bCs/>
                <w:sz w:val="18"/>
                <w:szCs w:val="18"/>
              </w:rPr>
            </w:pPr>
            <w:r w:rsidRPr="00AD66B1">
              <w:rPr>
                <w:rFonts w:ascii="Arial" w:hAnsi="Arial" w:cs="Arial"/>
                <w:b/>
                <w:bCs/>
                <w:sz w:val="18"/>
                <w:szCs w:val="18"/>
              </w:rPr>
              <w:t>Dado Socioeconômico</w:t>
            </w:r>
          </w:p>
        </w:tc>
        <w:tc>
          <w:tcPr>
            <w:tcW w:w="1276" w:type="dxa"/>
            <w:shd w:val="clear" w:color="auto" w:fill="C4BC96" w:themeFill="background2" w:themeFillShade="BF"/>
            <w:vAlign w:val="center"/>
          </w:tcPr>
          <w:p w14:paraId="78640DDC" w14:textId="77777777" w:rsidR="003274EF" w:rsidRPr="00AD66B1" w:rsidRDefault="003274EF" w:rsidP="007951A4">
            <w:pPr>
              <w:jc w:val="center"/>
              <w:rPr>
                <w:rFonts w:ascii="Arial" w:hAnsi="Arial" w:cs="Arial"/>
                <w:b/>
                <w:bCs/>
                <w:sz w:val="18"/>
                <w:szCs w:val="18"/>
              </w:rPr>
            </w:pPr>
            <w:r w:rsidRPr="00AD66B1">
              <w:rPr>
                <w:rFonts w:ascii="Arial" w:hAnsi="Arial" w:cs="Arial"/>
                <w:b/>
                <w:bCs/>
                <w:sz w:val="18"/>
                <w:szCs w:val="18"/>
              </w:rPr>
              <w:t>Itapemirim</w:t>
            </w:r>
          </w:p>
        </w:tc>
        <w:tc>
          <w:tcPr>
            <w:tcW w:w="1275" w:type="dxa"/>
            <w:shd w:val="clear" w:color="auto" w:fill="C4BC96" w:themeFill="background2" w:themeFillShade="BF"/>
            <w:vAlign w:val="center"/>
          </w:tcPr>
          <w:p w14:paraId="3174A85C" w14:textId="77777777" w:rsidR="003274EF" w:rsidRPr="00AD66B1" w:rsidRDefault="003274EF" w:rsidP="007951A4">
            <w:pPr>
              <w:jc w:val="center"/>
              <w:rPr>
                <w:rFonts w:ascii="Arial" w:hAnsi="Arial" w:cs="Arial"/>
                <w:b/>
                <w:bCs/>
                <w:sz w:val="18"/>
                <w:szCs w:val="18"/>
              </w:rPr>
            </w:pPr>
            <w:r w:rsidRPr="00AD66B1">
              <w:rPr>
                <w:rFonts w:ascii="Arial" w:hAnsi="Arial" w:cs="Arial"/>
                <w:b/>
                <w:bCs/>
                <w:sz w:val="18"/>
                <w:szCs w:val="18"/>
              </w:rPr>
              <w:t>Marataízes</w:t>
            </w:r>
          </w:p>
        </w:tc>
        <w:tc>
          <w:tcPr>
            <w:tcW w:w="1701" w:type="dxa"/>
            <w:shd w:val="clear" w:color="auto" w:fill="C4BC96" w:themeFill="background2" w:themeFillShade="BF"/>
            <w:vAlign w:val="center"/>
          </w:tcPr>
          <w:p w14:paraId="636B9993" w14:textId="77777777" w:rsidR="003274EF" w:rsidRPr="00AD66B1" w:rsidRDefault="003274EF" w:rsidP="007951A4">
            <w:pPr>
              <w:jc w:val="center"/>
              <w:rPr>
                <w:rFonts w:ascii="Arial" w:hAnsi="Arial" w:cs="Arial"/>
                <w:b/>
                <w:bCs/>
                <w:sz w:val="18"/>
                <w:szCs w:val="18"/>
              </w:rPr>
            </w:pPr>
            <w:r w:rsidRPr="00AD66B1">
              <w:rPr>
                <w:rFonts w:ascii="Arial" w:hAnsi="Arial" w:cs="Arial"/>
                <w:b/>
                <w:bCs/>
                <w:sz w:val="18"/>
                <w:szCs w:val="18"/>
              </w:rPr>
              <w:t>Presidente Kennedy</w:t>
            </w:r>
          </w:p>
        </w:tc>
      </w:tr>
      <w:tr w:rsidR="007C7D77" w:rsidRPr="00AD66B1" w14:paraId="432B0D56" w14:textId="77777777" w:rsidTr="00CD0C5B">
        <w:trPr>
          <w:trHeight w:val="283"/>
        </w:trPr>
        <w:tc>
          <w:tcPr>
            <w:tcW w:w="4815" w:type="dxa"/>
            <w:vAlign w:val="center"/>
          </w:tcPr>
          <w:p w14:paraId="4FE1DD48" w14:textId="26458D5E" w:rsidR="003274EF" w:rsidRPr="00AD66B1" w:rsidRDefault="003274EF" w:rsidP="007663A8">
            <w:pPr>
              <w:rPr>
                <w:rFonts w:ascii="Arial" w:hAnsi="Arial" w:cs="Arial"/>
                <w:sz w:val="18"/>
                <w:szCs w:val="18"/>
              </w:rPr>
            </w:pPr>
            <w:r w:rsidRPr="00AD66B1">
              <w:rPr>
                <w:rFonts w:ascii="Arial" w:hAnsi="Arial" w:cs="Arial"/>
                <w:sz w:val="18"/>
                <w:szCs w:val="18"/>
              </w:rPr>
              <w:t xml:space="preserve">População estimada </w:t>
            </w:r>
            <w:r w:rsidR="00160EFD">
              <w:rPr>
                <w:rFonts w:ascii="Arial" w:hAnsi="Arial" w:cs="Arial"/>
                <w:sz w:val="18"/>
                <w:szCs w:val="18"/>
              </w:rPr>
              <w:t>(</w:t>
            </w:r>
            <w:r w:rsidRPr="00AD66B1">
              <w:rPr>
                <w:rFonts w:ascii="Arial" w:hAnsi="Arial" w:cs="Arial"/>
                <w:sz w:val="18"/>
                <w:szCs w:val="18"/>
              </w:rPr>
              <w:t>2024</w:t>
            </w:r>
            <w:r w:rsidR="00160EFD">
              <w:rPr>
                <w:rFonts w:ascii="Arial" w:hAnsi="Arial" w:cs="Arial"/>
                <w:sz w:val="18"/>
                <w:szCs w:val="18"/>
              </w:rPr>
              <w:t>)</w:t>
            </w:r>
            <w:r w:rsidR="001B59A7">
              <w:rPr>
                <w:rFonts w:ascii="Arial" w:hAnsi="Arial" w:cs="Arial"/>
                <w:sz w:val="18"/>
                <w:szCs w:val="18"/>
              </w:rPr>
              <w:t xml:space="preserve"> </w:t>
            </w:r>
            <w:r w:rsidRPr="00AD66B1">
              <w:rPr>
                <w:rFonts w:ascii="Arial" w:hAnsi="Arial" w:cs="Arial"/>
                <w:sz w:val="18"/>
                <w:szCs w:val="18"/>
              </w:rPr>
              <w:t>(hab.)</w:t>
            </w:r>
          </w:p>
        </w:tc>
        <w:tc>
          <w:tcPr>
            <w:tcW w:w="1276" w:type="dxa"/>
            <w:vAlign w:val="center"/>
          </w:tcPr>
          <w:p w14:paraId="26F2FC0F" w14:textId="77777777" w:rsidR="003274EF" w:rsidRPr="00AD66B1" w:rsidRDefault="003274EF" w:rsidP="007663A8">
            <w:pPr>
              <w:jc w:val="center"/>
              <w:rPr>
                <w:rFonts w:ascii="Arial" w:hAnsi="Arial" w:cs="Arial"/>
                <w:color w:val="000000"/>
                <w:sz w:val="18"/>
                <w:szCs w:val="18"/>
              </w:rPr>
            </w:pPr>
            <w:r w:rsidRPr="00AD66B1">
              <w:rPr>
                <w:rFonts w:ascii="Arial" w:hAnsi="Arial" w:cs="Arial"/>
                <w:color w:val="000000"/>
                <w:sz w:val="18"/>
                <w:szCs w:val="18"/>
              </w:rPr>
              <w:t>43.362</w:t>
            </w:r>
          </w:p>
        </w:tc>
        <w:tc>
          <w:tcPr>
            <w:tcW w:w="1275" w:type="dxa"/>
            <w:vAlign w:val="center"/>
          </w:tcPr>
          <w:p w14:paraId="52BC8A50" w14:textId="77777777" w:rsidR="003274EF" w:rsidRPr="00AD66B1" w:rsidRDefault="003274EF" w:rsidP="007663A8">
            <w:pPr>
              <w:jc w:val="center"/>
              <w:rPr>
                <w:rFonts w:ascii="Arial" w:hAnsi="Arial" w:cs="Arial"/>
                <w:color w:val="000000"/>
                <w:sz w:val="18"/>
                <w:szCs w:val="18"/>
              </w:rPr>
            </w:pPr>
            <w:r w:rsidRPr="00AD66B1">
              <w:rPr>
                <w:rFonts w:ascii="Arial" w:hAnsi="Arial" w:cs="Arial"/>
                <w:color w:val="000000"/>
                <w:sz w:val="18"/>
                <w:szCs w:val="18"/>
              </w:rPr>
              <w:t>45.418</w:t>
            </w:r>
          </w:p>
        </w:tc>
        <w:tc>
          <w:tcPr>
            <w:tcW w:w="1701" w:type="dxa"/>
            <w:vAlign w:val="center"/>
          </w:tcPr>
          <w:p w14:paraId="2613081D" w14:textId="77777777" w:rsidR="003274EF" w:rsidRPr="00AD66B1" w:rsidRDefault="003274EF" w:rsidP="007663A8">
            <w:pPr>
              <w:jc w:val="center"/>
              <w:rPr>
                <w:rFonts w:ascii="Arial" w:hAnsi="Arial" w:cs="Arial"/>
                <w:color w:val="000000"/>
                <w:sz w:val="18"/>
                <w:szCs w:val="18"/>
              </w:rPr>
            </w:pPr>
            <w:r w:rsidRPr="00AD66B1">
              <w:rPr>
                <w:rFonts w:ascii="Arial" w:hAnsi="Arial" w:cs="Arial"/>
                <w:color w:val="000000"/>
                <w:sz w:val="18"/>
                <w:szCs w:val="18"/>
              </w:rPr>
              <w:t>14.647</w:t>
            </w:r>
          </w:p>
        </w:tc>
      </w:tr>
      <w:tr w:rsidR="007C7D77" w:rsidRPr="00AD66B1" w14:paraId="4B6625E6" w14:textId="77777777" w:rsidTr="00CD0C5B">
        <w:trPr>
          <w:trHeight w:val="283"/>
        </w:trPr>
        <w:tc>
          <w:tcPr>
            <w:tcW w:w="4815" w:type="dxa"/>
            <w:vAlign w:val="center"/>
          </w:tcPr>
          <w:p w14:paraId="65AB7D0C" w14:textId="77777777" w:rsidR="003274EF" w:rsidRPr="00AD66B1" w:rsidRDefault="003274EF" w:rsidP="007663A8">
            <w:pPr>
              <w:rPr>
                <w:rFonts w:ascii="Arial" w:hAnsi="Arial" w:cs="Arial"/>
                <w:color w:val="000000"/>
                <w:sz w:val="18"/>
                <w:szCs w:val="18"/>
              </w:rPr>
            </w:pPr>
            <w:r w:rsidRPr="00AD66B1">
              <w:rPr>
                <w:rFonts w:ascii="Arial" w:hAnsi="Arial" w:cs="Arial"/>
                <w:color w:val="000000"/>
                <w:sz w:val="18"/>
                <w:szCs w:val="18"/>
              </w:rPr>
              <w:t>PIB Bruto (2021) (a preços correntes) (x 1000) (R$)</w:t>
            </w:r>
          </w:p>
        </w:tc>
        <w:tc>
          <w:tcPr>
            <w:tcW w:w="1276" w:type="dxa"/>
            <w:vAlign w:val="center"/>
          </w:tcPr>
          <w:p w14:paraId="7EE92945"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5.744.185,75</w:t>
            </w:r>
          </w:p>
        </w:tc>
        <w:tc>
          <w:tcPr>
            <w:tcW w:w="1275" w:type="dxa"/>
            <w:vAlign w:val="center"/>
          </w:tcPr>
          <w:p w14:paraId="51E13C31"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6.659.696,26</w:t>
            </w:r>
          </w:p>
        </w:tc>
        <w:tc>
          <w:tcPr>
            <w:tcW w:w="1701" w:type="dxa"/>
            <w:vAlign w:val="center"/>
          </w:tcPr>
          <w:p w14:paraId="48CF1504"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6.811.824,89</w:t>
            </w:r>
          </w:p>
        </w:tc>
      </w:tr>
      <w:tr w:rsidR="007C7D77" w:rsidRPr="00AD66B1" w14:paraId="6D9D3D73" w14:textId="77777777" w:rsidTr="00CD0C5B">
        <w:trPr>
          <w:trHeight w:val="283"/>
        </w:trPr>
        <w:tc>
          <w:tcPr>
            <w:tcW w:w="4815" w:type="dxa"/>
            <w:vAlign w:val="center"/>
          </w:tcPr>
          <w:p w14:paraId="28C8D487" w14:textId="77777777" w:rsidR="003274EF" w:rsidRPr="00AD66B1" w:rsidRDefault="003274EF" w:rsidP="007663A8">
            <w:pPr>
              <w:rPr>
                <w:rFonts w:ascii="Arial" w:hAnsi="Arial" w:cs="Arial"/>
                <w:color w:val="000000"/>
                <w:sz w:val="18"/>
                <w:szCs w:val="18"/>
              </w:rPr>
            </w:pPr>
            <w:r w:rsidRPr="00AD66B1">
              <w:rPr>
                <w:rFonts w:ascii="Arial" w:hAnsi="Arial" w:cs="Arial"/>
                <w:color w:val="000000"/>
                <w:sz w:val="18"/>
                <w:szCs w:val="18"/>
              </w:rPr>
              <w:t>PIB per capita (2021) (R$)</w:t>
            </w:r>
          </w:p>
        </w:tc>
        <w:tc>
          <w:tcPr>
            <w:tcW w:w="1276" w:type="dxa"/>
            <w:vAlign w:val="center"/>
          </w:tcPr>
          <w:p w14:paraId="3B8E0F11" w14:textId="579FF1EB" w:rsidR="003274EF" w:rsidRPr="00AD66B1" w:rsidRDefault="003274EF" w:rsidP="007663A8">
            <w:pPr>
              <w:jc w:val="center"/>
              <w:rPr>
                <w:rFonts w:ascii="Arial" w:hAnsi="Arial" w:cs="Arial"/>
                <w:sz w:val="18"/>
                <w:szCs w:val="18"/>
              </w:rPr>
            </w:pPr>
            <w:r w:rsidRPr="00AD66B1">
              <w:rPr>
                <w:rFonts w:ascii="Arial" w:hAnsi="Arial" w:cs="Arial"/>
                <w:sz w:val="18"/>
                <w:szCs w:val="18"/>
              </w:rPr>
              <w:t>164</w:t>
            </w:r>
            <w:r w:rsidR="00AE5EFD" w:rsidRPr="00AD66B1">
              <w:rPr>
                <w:rFonts w:ascii="Arial" w:hAnsi="Arial" w:cs="Arial"/>
                <w:sz w:val="18"/>
                <w:szCs w:val="18"/>
              </w:rPr>
              <w:t>.</w:t>
            </w:r>
            <w:r w:rsidRPr="00AD66B1">
              <w:rPr>
                <w:rFonts w:ascii="Arial" w:hAnsi="Arial" w:cs="Arial"/>
                <w:sz w:val="18"/>
                <w:szCs w:val="18"/>
              </w:rPr>
              <w:t>321,47</w:t>
            </w:r>
          </w:p>
        </w:tc>
        <w:tc>
          <w:tcPr>
            <w:tcW w:w="1275" w:type="dxa"/>
            <w:vAlign w:val="center"/>
          </w:tcPr>
          <w:p w14:paraId="53E4D8B7" w14:textId="2E109B97" w:rsidR="003274EF" w:rsidRPr="00AD66B1" w:rsidRDefault="003274EF" w:rsidP="007663A8">
            <w:pPr>
              <w:jc w:val="center"/>
              <w:rPr>
                <w:rFonts w:ascii="Arial" w:hAnsi="Arial" w:cs="Arial"/>
                <w:sz w:val="18"/>
                <w:szCs w:val="18"/>
              </w:rPr>
            </w:pPr>
            <w:r w:rsidRPr="00AD66B1">
              <w:rPr>
                <w:rFonts w:ascii="Arial" w:hAnsi="Arial" w:cs="Arial"/>
                <w:sz w:val="18"/>
                <w:szCs w:val="18"/>
              </w:rPr>
              <w:t>169</w:t>
            </w:r>
            <w:r w:rsidR="00AE5EFD" w:rsidRPr="00AD66B1">
              <w:rPr>
                <w:rFonts w:ascii="Arial" w:hAnsi="Arial" w:cs="Arial"/>
                <w:sz w:val="18"/>
                <w:szCs w:val="18"/>
              </w:rPr>
              <w:t>.</w:t>
            </w:r>
            <w:r w:rsidRPr="00AD66B1">
              <w:rPr>
                <w:rFonts w:ascii="Arial" w:hAnsi="Arial" w:cs="Arial"/>
                <w:sz w:val="18"/>
                <w:szCs w:val="18"/>
              </w:rPr>
              <w:t>634,89</w:t>
            </w:r>
          </w:p>
        </w:tc>
        <w:tc>
          <w:tcPr>
            <w:tcW w:w="1701" w:type="dxa"/>
            <w:vAlign w:val="center"/>
          </w:tcPr>
          <w:p w14:paraId="0D5AC0A5" w14:textId="4E2DB3D1" w:rsidR="003274EF" w:rsidRPr="00AD66B1" w:rsidRDefault="003274EF" w:rsidP="007663A8">
            <w:pPr>
              <w:jc w:val="center"/>
              <w:rPr>
                <w:rFonts w:ascii="Arial" w:hAnsi="Arial" w:cs="Arial"/>
                <w:sz w:val="18"/>
                <w:szCs w:val="18"/>
              </w:rPr>
            </w:pPr>
            <w:r w:rsidRPr="00AD66B1">
              <w:rPr>
                <w:rFonts w:ascii="Arial" w:hAnsi="Arial" w:cs="Arial"/>
                <w:sz w:val="18"/>
                <w:szCs w:val="18"/>
              </w:rPr>
              <w:t>580</w:t>
            </w:r>
            <w:r w:rsidR="00AE5EFD" w:rsidRPr="00AD66B1">
              <w:rPr>
                <w:rFonts w:ascii="Arial" w:hAnsi="Arial" w:cs="Arial"/>
                <w:sz w:val="18"/>
                <w:szCs w:val="18"/>
              </w:rPr>
              <w:t>.</w:t>
            </w:r>
            <w:r w:rsidRPr="00AD66B1">
              <w:rPr>
                <w:rFonts w:ascii="Arial" w:hAnsi="Arial" w:cs="Arial"/>
                <w:sz w:val="18"/>
                <w:szCs w:val="18"/>
              </w:rPr>
              <w:t>174,17</w:t>
            </w:r>
          </w:p>
        </w:tc>
      </w:tr>
      <w:tr w:rsidR="007C7D77" w:rsidRPr="00AD66B1" w14:paraId="546F831E" w14:textId="77777777" w:rsidTr="00CD0C5B">
        <w:trPr>
          <w:trHeight w:val="283"/>
        </w:trPr>
        <w:tc>
          <w:tcPr>
            <w:tcW w:w="4815" w:type="dxa"/>
            <w:vAlign w:val="center"/>
          </w:tcPr>
          <w:p w14:paraId="444B57DE" w14:textId="04F0C10E" w:rsidR="003274EF" w:rsidRPr="00AD66B1" w:rsidRDefault="003274EF" w:rsidP="007663A8">
            <w:pPr>
              <w:rPr>
                <w:rFonts w:ascii="Arial" w:hAnsi="Arial" w:cs="Arial"/>
                <w:color w:val="000000"/>
                <w:sz w:val="18"/>
                <w:szCs w:val="18"/>
              </w:rPr>
            </w:pPr>
            <w:r w:rsidRPr="00AD66B1">
              <w:rPr>
                <w:rFonts w:ascii="Arial" w:hAnsi="Arial" w:cs="Arial"/>
                <w:color w:val="000000"/>
                <w:sz w:val="18"/>
                <w:szCs w:val="18"/>
              </w:rPr>
              <w:t xml:space="preserve">Estoque de emprego formal </w:t>
            </w:r>
            <w:r w:rsidR="00160EFD">
              <w:rPr>
                <w:rFonts w:ascii="Arial" w:hAnsi="Arial" w:cs="Arial"/>
                <w:color w:val="000000"/>
                <w:sz w:val="18"/>
                <w:szCs w:val="18"/>
              </w:rPr>
              <w:t>(</w:t>
            </w:r>
            <w:r w:rsidRPr="00AD66B1">
              <w:rPr>
                <w:rFonts w:ascii="Arial" w:hAnsi="Arial" w:cs="Arial"/>
                <w:color w:val="000000"/>
                <w:sz w:val="18"/>
                <w:szCs w:val="18"/>
              </w:rPr>
              <w:t>2023</w:t>
            </w:r>
            <w:r w:rsidR="00160EFD">
              <w:rPr>
                <w:rFonts w:ascii="Arial" w:hAnsi="Arial" w:cs="Arial"/>
                <w:color w:val="000000"/>
                <w:sz w:val="18"/>
                <w:szCs w:val="18"/>
              </w:rPr>
              <w:t>)</w:t>
            </w:r>
            <w:r w:rsidRPr="00AD66B1">
              <w:rPr>
                <w:rFonts w:ascii="Arial" w:hAnsi="Arial" w:cs="Arial"/>
                <w:color w:val="000000"/>
                <w:sz w:val="18"/>
                <w:szCs w:val="18"/>
              </w:rPr>
              <w:t xml:space="preserve"> (empregos)</w:t>
            </w:r>
          </w:p>
        </w:tc>
        <w:tc>
          <w:tcPr>
            <w:tcW w:w="1276" w:type="dxa"/>
            <w:vAlign w:val="center"/>
          </w:tcPr>
          <w:p w14:paraId="1976B97D"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8.768</w:t>
            </w:r>
          </w:p>
        </w:tc>
        <w:tc>
          <w:tcPr>
            <w:tcW w:w="1275" w:type="dxa"/>
            <w:vAlign w:val="center"/>
          </w:tcPr>
          <w:p w14:paraId="7AB6C214"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8.777</w:t>
            </w:r>
          </w:p>
        </w:tc>
        <w:tc>
          <w:tcPr>
            <w:tcW w:w="1701" w:type="dxa"/>
            <w:vAlign w:val="center"/>
          </w:tcPr>
          <w:p w14:paraId="50407905"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3.120</w:t>
            </w:r>
          </w:p>
        </w:tc>
      </w:tr>
      <w:tr w:rsidR="007C7D77" w:rsidRPr="00AD66B1" w14:paraId="061226F3" w14:textId="77777777" w:rsidTr="00CD0C5B">
        <w:trPr>
          <w:trHeight w:val="283"/>
        </w:trPr>
        <w:tc>
          <w:tcPr>
            <w:tcW w:w="4815" w:type="dxa"/>
            <w:vAlign w:val="center"/>
          </w:tcPr>
          <w:p w14:paraId="5505E89E" w14:textId="54B34CE0" w:rsidR="003274EF" w:rsidRPr="00AD66B1" w:rsidRDefault="003274EF" w:rsidP="007663A8">
            <w:pPr>
              <w:rPr>
                <w:rFonts w:ascii="Arial" w:hAnsi="Arial" w:cs="Arial"/>
                <w:sz w:val="18"/>
                <w:szCs w:val="18"/>
              </w:rPr>
            </w:pPr>
            <w:r w:rsidRPr="00AD66B1">
              <w:rPr>
                <w:rFonts w:ascii="Arial" w:hAnsi="Arial" w:cs="Arial"/>
                <w:sz w:val="18"/>
                <w:szCs w:val="18"/>
              </w:rPr>
              <w:t xml:space="preserve">Renda média </w:t>
            </w:r>
            <w:r w:rsidR="00160EFD">
              <w:rPr>
                <w:rFonts w:ascii="Arial" w:hAnsi="Arial" w:cs="Arial"/>
                <w:sz w:val="18"/>
                <w:szCs w:val="18"/>
              </w:rPr>
              <w:t>(</w:t>
            </w:r>
            <w:r w:rsidRPr="00AD66B1">
              <w:rPr>
                <w:rFonts w:ascii="Arial" w:hAnsi="Arial" w:cs="Arial"/>
                <w:sz w:val="18"/>
                <w:szCs w:val="18"/>
              </w:rPr>
              <w:t>2023</w:t>
            </w:r>
            <w:r w:rsidR="00160EFD">
              <w:rPr>
                <w:rFonts w:ascii="Arial" w:hAnsi="Arial" w:cs="Arial"/>
                <w:sz w:val="18"/>
                <w:szCs w:val="18"/>
              </w:rPr>
              <w:t xml:space="preserve">) </w:t>
            </w:r>
            <w:r w:rsidRPr="00AD66B1">
              <w:rPr>
                <w:rFonts w:ascii="Arial" w:hAnsi="Arial" w:cs="Arial"/>
                <w:sz w:val="18"/>
                <w:szCs w:val="18"/>
              </w:rPr>
              <w:t>(R$)</w:t>
            </w:r>
          </w:p>
        </w:tc>
        <w:tc>
          <w:tcPr>
            <w:tcW w:w="1276" w:type="dxa"/>
            <w:vAlign w:val="center"/>
          </w:tcPr>
          <w:p w14:paraId="5EB9E39E"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3.445,76</w:t>
            </w:r>
          </w:p>
        </w:tc>
        <w:tc>
          <w:tcPr>
            <w:tcW w:w="1275" w:type="dxa"/>
            <w:vAlign w:val="center"/>
          </w:tcPr>
          <w:p w14:paraId="1C5E05A8"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2.646,12</w:t>
            </w:r>
          </w:p>
        </w:tc>
        <w:tc>
          <w:tcPr>
            <w:tcW w:w="1701" w:type="dxa"/>
            <w:vAlign w:val="center"/>
          </w:tcPr>
          <w:p w14:paraId="5E0BCF07"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2.929,79</w:t>
            </w:r>
          </w:p>
        </w:tc>
      </w:tr>
      <w:tr w:rsidR="007C7D77" w:rsidRPr="00AD66B1" w14:paraId="3772C2AF" w14:textId="77777777" w:rsidTr="00CD0C5B">
        <w:trPr>
          <w:trHeight w:val="283"/>
        </w:trPr>
        <w:tc>
          <w:tcPr>
            <w:tcW w:w="4815" w:type="dxa"/>
            <w:vAlign w:val="center"/>
          </w:tcPr>
          <w:p w14:paraId="2DE527EB" w14:textId="76235334" w:rsidR="003274EF" w:rsidRPr="00AD66B1" w:rsidRDefault="003274EF" w:rsidP="007663A8">
            <w:pPr>
              <w:rPr>
                <w:rFonts w:ascii="Arial" w:hAnsi="Arial" w:cs="Arial"/>
                <w:sz w:val="18"/>
                <w:szCs w:val="18"/>
              </w:rPr>
            </w:pPr>
            <w:r w:rsidRPr="00AD66B1">
              <w:rPr>
                <w:rFonts w:ascii="Arial" w:hAnsi="Arial" w:cs="Arial"/>
                <w:sz w:val="18"/>
                <w:szCs w:val="18"/>
              </w:rPr>
              <w:t xml:space="preserve">Cobertura de água (domicílios urbanos) </w:t>
            </w:r>
            <w:r w:rsidR="00160EFD">
              <w:rPr>
                <w:rFonts w:ascii="Arial" w:hAnsi="Arial" w:cs="Arial"/>
                <w:sz w:val="18"/>
                <w:szCs w:val="18"/>
              </w:rPr>
              <w:t>(</w:t>
            </w:r>
            <w:r w:rsidRPr="00AD66B1">
              <w:rPr>
                <w:rFonts w:ascii="Arial" w:hAnsi="Arial" w:cs="Arial"/>
                <w:sz w:val="18"/>
                <w:szCs w:val="18"/>
              </w:rPr>
              <w:t>2023</w:t>
            </w:r>
            <w:r w:rsidR="00160EFD">
              <w:rPr>
                <w:rFonts w:ascii="Arial" w:hAnsi="Arial" w:cs="Arial"/>
                <w:sz w:val="18"/>
                <w:szCs w:val="18"/>
              </w:rPr>
              <w:t>)</w:t>
            </w:r>
            <w:r w:rsidRPr="00AD66B1">
              <w:rPr>
                <w:rFonts w:ascii="Arial" w:hAnsi="Arial" w:cs="Arial"/>
                <w:sz w:val="18"/>
                <w:szCs w:val="18"/>
              </w:rPr>
              <w:t xml:space="preserve"> (%)</w:t>
            </w:r>
          </w:p>
        </w:tc>
        <w:tc>
          <w:tcPr>
            <w:tcW w:w="1276" w:type="dxa"/>
            <w:vAlign w:val="center"/>
          </w:tcPr>
          <w:p w14:paraId="4B391C71"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100</w:t>
            </w:r>
          </w:p>
        </w:tc>
        <w:tc>
          <w:tcPr>
            <w:tcW w:w="1275" w:type="dxa"/>
            <w:vAlign w:val="center"/>
          </w:tcPr>
          <w:p w14:paraId="6904EC1F"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100</w:t>
            </w:r>
          </w:p>
        </w:tc>
        <w:tc>
          <w:tcPr>
            <w:tcW w:w="1701" w:type="dxa"/>
            <w:vAlign w:val="center"/>
          </w:tcPr>
          <w:p w14:paraId="7CE34FA1"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74,52</w:t>
            </w:r>
          </w:p>
        </w:tc>
      </w:tr>
      <w:tr w:rsidR="007C7D77" w:rsidRPr="00AD66B1" w14:paraId="26C0981C" w14:textId="77777777" w:rsidTr="00CD0C5B">
        <w:trPr>
          <w:trHeight w:val="283"/>
        </w:trPr>
        <w:tc>
          <w:tcPr>
            <w:tcW w:w="4815" w:type="dxa"/>
            <w:vAlign w:val="center"/>
          </w:tcPr>
          <w:p w14:paraId="48A37C54" w14:textId="4C10C577" w:rsidR="003274EF" w:rsidRPr="00AD66B1" w:rsidRDefault="003274EF" w:rsidP="007663A8">
            <w:pPr>
              <w:rPr>
                <w:rFonts w:ascii="Arial" w:hAnsi="Arial" w:cs="Arial"/>
                <w:sz w:val="18"/>
                <w:szCs w:val="18"/>
              </w:rPr>
            </w:pPr>
            <w:r w:rsidRPr="00AD66B1">
              <w:rPr>
                <w:rFonts w:ascii="Arial" w:hAnsi="Arial" w:cs="Arial"/>
                <w:sz w:val="18"/>
                <w:szCs w:val="18"/>
              </w:rPr>
              <w:t xml:space="preserve">Cobertura de coleta de resíduos sólidos </w:t>
            </w:r>
            <w:r w:rsidR="00160EFD">
              <w:rPr>
                <w:rFonts w:ascii="Arial" w:hAnsi="Arial" w:cs="Arial"/>
                <w:sz w:val="18"/>
                <w:szCs w:val="18"/>
              </w:rPr>
              <w:t>(</w:t>
            </w:r>
            <w:r w:rsidRPr="00AD66B1">
              <w:rPr>
                <w:rFonts w:ascii="Arial" w:hAnsi="Arial" w:cs="Arial"/>
                <w:sz w:val="18"/>
                <w:szCs w:val="18"/>
              </w:rPr>
              <w:t>2023</w:t>
            </w:r>
            <w:r w:rsidR="00160EFD">
              <w:rPr>
                <w:rFonts w:ascii="Arial" w:hAnsi="Arial" w:cs="Arial"/>
                <w:sz w:val="18"/>
                <w:szCs w:val="18"/>
              </w:rPr>
              <w:t>)</w:t>
            </w:r>
            <w:r w:rsidRPr="00AD66B1">
              <w:rPr>
                <w:rFonts w:ascii="Arial" w:hAnsi="Arial" w:cs="Arial"/>
                <w:sz w:val="18"/>
                <w:szCs w:val="18"/>
              </w:rPr>
              <w:t xml:space="preserve"> (%)</w:t>
            </w:r>
          </w:p>
        </w:tc>
        <w:tc>
          <w:tcPr>
            <w:tcW w:w="1276" w:type="dxa"/>
            <w:vAlign w:val="center"/>
          </w:tcPr>
          <w:p w14:paraId="42E58AAB"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91,63</w:t>
            </w:r>
          </w:p>
        </w:tc>
        <w:tc>
          <w:tcPr>
            <w:tcW w:w="1275" w:type="dxa"/>
            <w:vAlign w:val="center"/>
          </w:tcPr>
          <w:p w14:paraId="7B058807"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98,99</w:t>
            </w:r>
          </w:p>
        </w:tc>
        <w:tc>
          <w:tcPr>
            <w:tcW w:w="1701" w:type="dxa"/>
            <w:vAlign w:val="center"/>
          </w:tcPr>
          <w:p w14:paraId="1E406071"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99,67</w:t>
            </w:r>
          </w:p>
        </w:tc>
      </w:tr>
      <w:tr w:rsidR="007C7D77" w:rsidRPr="00AD66B1" w14:paraId="0F3D350B" w14:textId="77777777" w:rsidTr="00CD0C5B">
        <w:trPr>
          <w:trHeight w:val="283"/>
        </w:trPr>
        <w:tc>
          <w:tcPr>
            <w:tcW w:w="4815" w:type="dxa"/>
            <w:vAlign w:val="center"/>
          </w:tcPr>
          <w:p w14:paraId="45982178" w14:textId="171E777C" w:rsidR="003274EF" w:rsidRPr="00AD66B1" w:rsidRDefault="003274EF" w:rsidP="007663A8">
            <w:pPr>
              <w:rPr>
                <w:rFonts w:ascii="Arial" w:hAnsi="Arial" w:cs="Arial"/>
                <w:sz w:val="18"/>
                <w:szCs w:val="18"/>
              </w:rPr>
            </w:pPr>
            <w:r w:rsidRPr="00AD66B1">
              <w:rPr>
                <w:rFonts w:ascii="Arial" w:hAnsi="Arial" w:cs="Arial"/>
                <w:sz w:val="18"/>
                <w:szCs w:val="18"/>
              </w:rPr>
              <w:t xml:space="preserve">Cobertura de esgoto (domicílios urbanos) </w:t>
            </w:r>
            <w:r w:rsidR="00160EFD">
              <w:rPr>
                <w:rFonts w:ascii="Arial" w:hAnsi="Arial" w:cs="Arial"/>
                <w:sz w:val="18"/>
                <w:szCs w:val="18"/>
              </w:rPr>
              <w:t>(</w:t>
            </w:r>
            <w:r w:rsidRPr="00AD66B1">
              <w:rPr>
                <w:rFonts w:ascii="Arial" w:hAnsi="Arial" w:cs="Arial"/>
                <w:sz w:val="18"/>
                <w:szCs w:val="18"/>
              </w:rPr>
              <w:t>2023</w:t>
            </w:r>
            <w:r w:rsidR="00160EFD">
              <w:rPr>
                <w:rFonts w:ascii="Arial" w:hAnsi="Arial" w:cs="Arial"/>
                <w:sz w:val="18"/>
                <w:szCs w:val="18"/>
              </w:rPr>
              <w:t>)</w:t>
            </w:r>
            <w:r w:rsidRPr="00AD66B1">
              <w:rPr>
                <w:rFonts w:ascii="Arial" w:hAnsi="Arial" w:cs="Arial"/>
                <w:sz w:val="18"/>
                <w:szCs w:val="18"/>
              </w:rPr>
              <w:t xml:space="preserve"> (%)</w:t>
            </w:r>
          </w:p>
        </w:tc>
        <w:tc>
          <w:tcPr>
            <w:tcW w:w="1276" w:type="dxa"/>
            <w:vAlign w:val="center"/>
          </w:tcPr>
          <w:p w14:paraId="7848D461"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33,67</w:t>
            </w:r>
          </w:p>
        </w:tc>
        <w:tc>
          <w:tcPr>
            <w:tcW w:w="1275" w:type="dxa"/>
            <w:vAlign w:val="center"/>
          </w:tcPr>
          <w:p w14:paraId="1D087AA3"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60,51</w:t>
            </w:r>
          </w:p>
        </w:tc>
        <w:tc>
          <w:tcPr>
            <w:tcW w:w="1701" w:type="dxa"/>
            <w:vAlign w:val="center"/>
          </w:tcPr>
          <w:p w14:paraId="69557A2E"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100</w:t>
            </w:r>
          </w:p>
        </w:tc>
      </w:tr>
      <w:tr w:rsidR="007C7D77" w:rsidRPr="00AD66B1" w14:paraId="186B1AFB" w14:textId="77777777" w:rsidTr="00CD0C5B">
        <w:trPr>
          <w:trHeight w:val="283"/>
        </w:trPr>
        <w:tc>
          <w:tcPr>
            <w:tcW w:w="4815" w:type="dxa"/>
            <w:vAlign w:val="center"/>
          </w:tcPr>
          <w:p w14:paraId="3A28A3EA" w14:textId="07EBDDBE" w:rsidR="003274EF" w:rsidRPr="00AD66B1" w:rsidRDefault="003274EF" w:rsidP="007663A8">
            <w:pPr>
              <w:rPr>
                <w:rFonts w:ascii="Arial" w:hAnsi="Arial" w:cs="Arial"/>
                <w:sz w:val="18"/>
                <w:szCs w:val="18"/>
              </w:rPr>
            </w:pPr>
            <w:r w:rsidRPr="00AD66B1">
              <w:rPr>
                <w:rFonts w:ascii="Arial" w:hAnsi="Arial" w:cs="Arial"/>
                <w:sz w:val="18"/>
                <w:szCs w:val="18"/>
              </w:rPr>
              <w:t xml:space="preserve">Capacidade fiscal </w:t>
            </w:r>
            <w:r w:rsidRPr="00AD66B1">
              <w:rPr>
                <w:rFonts w:ascii="Arial" w:hAnsi="Arial" w:cs="Arial"/>
                <w:i/>
                <w:iCs/>
                <w:sz w:val="18"/>
                <w:szCs w:val="18"/>
              </w:rPr>
              <w:t>per capita</w:t>
            </w:r>
            <w:r w:rsidR="0048262F">
              <w:rPr>
                <w:rStyle w:val="Refdenotaderodap"/>
                <w:rFonts w:ascii="Arial" w:hAnsi="Arial" w:cs="Arial"/>
                <w:i/>
                <w:iCs/>
                <w:sz w:val="18"/>
                <w:szCs w:val="18"/>
              </w:rPr>
              <w:footnoteReference w:id="5"/>
            </w:r>
            <w:r w:rsidRPr="00AD66B1">
              <w:rPr>
                <w:rFonts w:ascii="Arial" w:hAnsi="Arial" w:cs="Arial"/>
                <w:sz w:val="18"/>
                <w:szCs w:val="18"/>
              </w:rPr>
              <w:t xml:space="preserve"> </w:t>
            </w:r>
            <w:r w:rsidR="00160EFD">
              <w:rPr>
                <w:rFonts w:ascii="Arial" w:hAnsi="Arial" w:cs="Arial"/>
                <w:sz w:val="18"/>
                <w:szCs w:val="18"/>
              </w:rPr>
              <w:t>(</w:t>
            </w:r>
            <w:r w:rsidRPr="00AD66B1">
              <w:rPr>
                <w:rFonts w:ascii="Arial" w:hAnsi="Arial" w:cs="Arial"/>
                <w:sz w:val="18"/>
                <w:szCs w:val="18"/>
              </w:rPr>
              <w:t>2023</w:t>
            </w:r>
            <w:r w:rsidR="00160EFD">
              <w:rPr>
                <w:rFonts w:ascii="Arial" w:hAnsi="Arial" w:cs="Arial"/>
                <w:sz w:val="18"/>
                <w:szCs w:val="18"/>
              </w:rPr>
              <w:t>)</w:t>
            </w:r>
            <w:r w:rsidRPr="00AD66B1">
              <w:rPr>
                <w:rFonts w:ascii="Arial" w:hAnsi="Arial" w:cs="Arial"/>
                <w:sz w:val="18"/>
                <w:szCs w:val="18"/>
              </w:rPr>
              <w:t xml:space="preserve"> (R$)</w:t>
            </w:r>
          </w:p>
        </w:tc>
        <w:tc>
          <w:tcPr>
            <w:tcW w:w="1276" w:type="dxa"/>
            <w:vAlign w:val="center"/>
          </w:tcPr>
          <w:p w14:paraId="44251555"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11.338,87</w:t>
            </w:r>
          </w:p>
        </w:tc>
        <w:tc>
          <w:tcPr>
            <w:tcW w:w="1275" w:type="dxa"/>
            <w:vAlign w:val="center"/>
          </w:tcPr>
          <w:p w14:paraId="5DB0491A"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9.258,98</w:t>
            </w:r>
          </w:p>
        </w:tc>
        <w:tc>
          <w:tcPr>
            <w:tcW w:w="1701" w:type="dxa"/>
            <w:vAlign w:val="center"/>
          </w:tcPr>
          <w:p w14:paraId="4EF14183"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36.115,67</w:t>
            </w:r>
          </w:p>
        </w:tc>
      </w:tr>
      <w:tr w:rsidR="007C7D77" w:rsidRPr="00AD66B1" w14:paraId="44CB3DA9" w14:textId="77777777" w:rsidTr="00CD0C5B">
        <w:trPr>
          <w:trHeight w:val="283"/>
        </w:trPr>
        <w:tc>
          <w:tcPr>
            <w:tcW w:w="4815" w:type="dxa"/>
            <w:vAlign w:val="center"/>
          </w:tcPr>
          <w:p w14:paraId="5FF6C13C" w14:textId="54BF8C9C" w:rsidR="003274EF" w:rsidRPr="00AD66B1" w:rsidRDefault="003274EF" w:rsidP="007663A8">
            <w:pPr>
              <w:rPr>
                <w:rFonts w:ascii="Arial" w:hAnsi="Arial" w:cs="Arial"/>
                <w:sz w:val="18"/>
                <w:szCs w:val="18"/>
              </w:rPr>
            </w:pPr>
            <w:r w:rsidRPr="00AD66B1">
              <w:rPr>
                <w:rFonts w:ascii="Arial" w:hAnsi="Arial" w:cs="Arial"/>
                <w:sz w:val="18"/>
                <w:szCs w:val="18"/>
              </w:rPr>
              <w:t>População cadastrada no CadÚnico</w:t>
            </w:r>
            <w:r w:rsidR="00B2422F">
              <w:rPr>
                <w:rStyle w:val="Refdenotaderodap"/>
                <w:rFonts w:ascii="Arial" w:hAnsi="Arial" w:cs="Arial"/>
                <w:sz w:val="18"/>
                <w:szCs w:val="18"/>
              </w:rPr>
              <w:footnoteReference w:id="6"/>
            </w:r>
            <w:r w:rsidRPr="00AD66B1">
              <w:rPr>
                <w:rFonts w:ascii="Arial" w:hAnsi="Arial" w:cs="Arial"/>
                <w:sz w:val="18"/>
                <w:szCs w:val="18"/>
              </w:rPr>
              <w:t xml:space="preserve"> </w:t>
            </w:r>
            <w:r w:rsidR="00160EFD">
              <w:rPr>
                <w:rFonts w:ascii="Arial" w:hAnsi="Arial" w:cs="Arial"/>
                <w:sz w:val="18"/>
                <w:szCs w:val="18"/>
              </w:rPr>
              <w:t>(</w:t>
            </w:r>
            <w:r w:rsidRPr="00AD66B1">
              <w:rPr>
                <w:rFonts w:ascii="Arial" w:hAnsi="Arial" w:cs="Arial"/>
                <w:sz w:val="18"/>
                <w:szCs w:val="18"/>
              </w:rPr>
              <w:t>2024</w:t>
            </w:r>
            <w:r w:rsidR="00160EFD">
              <w:rPr>
                <w:rFonts w:ascii="Arial" w:hAnsi="Arial" w:cs="Arial"/>
                <w:sz w:val="18"/>
                <w:szCs w:val="18"/>
              </w:rPr>
              <w:t>)</w:t>
            </w:r>
            <w:r w:rsidRPr="00AD66B1">
              <w:rPr>
                <w:rFonts w:ascii="Arial" w:hAnsi="Arial" w:cs="Arial"/>
                <w:sz w:val="18"/>
                <w:szCs w:val="18"/>
              </w:rPr>
              <w:t xml:space="preserve"> (%)</w:t>
            </w:r>
          </w:p>
        </w:tc>
        <w:tc>
          <w:tcPr>
            <w:tcW w:w="1276" w:type="dxa"/>
            <w:vAlign w:val="center"/>
          </w:tcPr>
          <w:p w14:paraId="18600187"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57,3</w:t>
            </w:r>
          </w:p>
        </w:tc>
        <w:tc>
          <w:tcPr>
            <w:tcW w:w="1275" w:type="dxa"/>
            <w:vAlign w:val="center"/>
          </w:tcPr>
          <w:p w14:paraId="36274CA5"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52,5</w:t>
            </w:r>
          </w:p>
        </w:tc>
        <w:tc>
          <w:tcPr>
            <w:tcW w:w="1701" w:type="dxa"/>
            <w:vAlign w:val="center"/>
          </w:tcPr>
          <w:p w14:paraId="1CB41D0D"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58,0</w:t>
            </w:r>
          </w:p>
        </w:tc>
      </w:tr>
      <w:tr w:rsidR="007C7D77" w:rsidRPr="00AD66B1" w14:paraId="60E28C29" w14:textId="77777777" w:rsidTr="00CD0C5B">
        <w:trPr>
          <w:trHeight w:val="283"/>
        </w:trPr>
        <w:tc>
          <w:tcPr>
            <w:tcW w:w="4815" w:type="dxa"/>
            <w:vAlign w:val="center"/>
          </w:tcPr>
          <w:p w14:paraId="4409503D" w14:textId="40223736" w:rsidR="003274EF" w:rsidRPr="00AD66B1" w:rsidRDefault="003274EF" w:rsidP="007663A8">
            <w:pPr>
              <w:rPr>
                <w:rFonts w:ascii="Arial" w:hAnsi="Arial" w:cs="Arial"/>
                <w:sz w:val="18"/>
                <w:szCs w:val="18"/>
              </w:rPr>
            </w:pPr>
            <w:r w:rsidRPr="00AD66B1">
              <w:rPr>
                <w:rFonts w:ascii="Arial" w:hAnsi="Arial" w:cs="Arial"/>
                <w:sz w:val="18"/>
                <w:szCs w:val="18"/>
              </w:rPr>
              <w:t xml:space="preserve">Percentual de pobreza no CadÚnico </w:t>
            </w:r>
            <w:r w:rsidR="00160EFD">
              <w:rPr>
                <w:rFonts w:ascii="Arial" w:hAnsi="Arial" w:cs="Arial"/>
                <w:sz w:val="18"/>
                <w:szCs w:val="18"/>
              </w:rPr>
              <w:t>(</w:t>
            </w:r>
            <w:r w:rsidRPr="00AD66B1">
              <w:rPr>
                <w:rFonts w:ascii="Arial" w:hAnsi="Arial" w:cs="Arial"/>
                <w:sz w:val="18"/>
                <w:szCs w:val="18"/>
              </w:rPr>
              <w:t>2024</w:t>
            </w:r>
            <w:r w:rsidR="00160EFD">
              <w:rPr>
                <w:rFonts w:ascii="Arial" w:hAnsi="Arial" w:cs="Arial"/>
                <w:sz w:val="18"/>
                <w:szCs w:val="18"/>
              </w:rPr>
              <w:t>)</w:t>
            </w:r>
            <w:r w:rsidRPr="00AD66B1">
              <w:rPr>
                <w:rFonts w:ascii="Arial" w:hAnsi="Arial" w:cs="Arial"/>
                <w:sz w:val="18"/>
                <w:szCs w:val="18"/>
              </w:rPr>
              <w:t xml:space="preserve"> (%)</w:t>
            </w:r>
          </w:p>
        </w:tc>
        <w:tc>
          <w:tcPr>
            <w:tcW w:w="1276" w:type="dxa"/>
            <w:vAlign w:val="center"/>
          </w:tcPr>
          <w:p w14:paraId="345817D1"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73,6</w:t>
            </w:r>
          </w:p>
        </w:tc>
        <w:tc>
          <w:tcPr>
            <w:tcW w:w="1275" w:type="dxa"/>
            <w:vAlign w:val="center"/>
          </w:tcPr>
          <w:p w14:paraId="329676BB"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73,3</w:t>
            </w:r>
          </w:p>
        </w:tc>
        <w:tc>
          <w:tcPr>
            <w:tcW w:w="1701" w:type="dxa"/>
            <w:vAlign w:val="center"/>
          </w:tcPr>
          <w:p w14:paraId="5155BA8D"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64,3</w:t>
            </w:r>
          </w:p>
        </w:tc>
      </w:tr>
      <w:tr w:rsidR="007C7D77" w:rsidRPr="00AD66B1" w14:paraId="690B93D4" w14:textId="77777777" w:rsidTr="00CD0C5B">
        <w:trPr>
          <w:trHeight w:val="283"/>
        </w:trPr>
        <w:tc>
          <w:tcPr>
            <w:tcW w:w="4815" w:type="dxa"/>
            <w:vAlign w:val="center"/>
          </w:tcPr>
          <w:p w14:paraId="6E27F209" w14:textId="33909AD5" w:rsidR="003274EF" w:rsidRPr="00AD66B1" w:rsidRDefault="003274EF" w:rsidP="007663A8">
            <w:pPr>
              <w:rPr>
                <w:rFonts w:ascii="Arial" w:hAnsi="Arial" w:cs="Arial"/>
                <w:sz w:val="18"/>
                <w:szCs w:val="18"/>
              </w:rPr>
            </w:pPr>
            <w:r w:rsidRPr="00AD66B1">
              <w:rPr>
                <w:rFonts w:ascii="Arial" w:hAnsi="Arial" w:cs="Arial"/>
                <w:sz w:val="18"/>
                <w:szCs w:val="18"/>
              </w:rPr>
              <w:t xml:space="preserve">Estimativa da pobreza na população </w:t>
            </w:r>
            <w:r w:rsidR="00160EFD">
              <w:rPr>
                <w:rFonts w:ascii="Arial" w:hAnsi="Arial" w:cs="Arial"/>
                <w:sz w:val="18"/>
                <w:szCs w:val="18"/>
              </w:rPr>
              <w:t>(</w:t>
            </w:r>
            <w:r w:rsidRPr="00AD66B1">
              <w:rPr>
                <w:rFonts w:ascii="Arial" w:hAnsi="Arial" w:cs="Arial"/>
                <w:sz w:val="18"/>
                <w:szCs w:val="18"/>
              </w:rPr>
              <w:t>2024</w:t>
            </w:r>
            <w:r w:rsidR="00160EFD">
              <w:rPr>
                <w:rFonts w:ascii="Arial" w:hAnsi="Arial" w:cs="Arial"/>
                <w:sz w:val="18"/>
                <w:szCs w:val="18"/>
              </w:rPr>
              <w:t>)</w:t>
            </w:r>
            <w:r w:rsidRPr="00AD66B1">
              <w:rPr>
                <w:rFonts w:ascii="Arial" w:hAnsi="Arial" w:cs="Arial"/>
                <w:sz w:val="18"/>
                <w:szCs w:val="18"/>
              </w:rPr>
              <w:t xml:space="preserve"> (%)</w:t>
            </w:r>
          </w:p>
        </w:tc>
        <w:tc>
          <w:tcPr>
            <w:tcW w:w="1276" w:type="dxa"/>
            <w:vAlign w:val="center"/>
          </w:tcPr>
          <w:p w14:paraId="0D7D27C0"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42,2</w:t>
            </w:r>
          </w:p>
        </w:tc>
        <w:tc>
          <w:tcPr>
            <w:tcW w:w="1275" w:type="dxa"/>
            <w:vAlign w:val="center"/>
          </w:tcPr>
          <w:p w14:paraId="156ABA8F"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38,5</w:t>
            </w:r>
          </w:p>
        </w:tc>
        <w:tc>
          <w:tcPr>
            <w:tcW w:w="1701" w:type="dxa"/>
            <w:vAlign w:val="center"/>
          </w:tcPr>
          <w:p w14:paraId="3A83B034"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37,3</w:t>
            </w:r>
          </w:p>
        </w:tc>
      </w:tr>
      <w:tr w:rsidR="007C7D77" w:rsidRPr="00AD66B1" w14:paraId="39E34124" w14:textId="77777777" w:rsidTr="00CD0C5B">
        <w:trPr>
          <w:trHeight w:val="283"/>
        </w:trPr>
        <w:tc>
          <w:tcPr>
            <w:tcW w:w="4815" w:type="dxa"/>
            <w:vAlign w:val="center"/>
          </w:tcPr>
          <w:p w14:paraId="7C331D27" w14:textId="4302BA54" w:rsidR="003274EF" w:rsidRPr="00AD66B1" w:rsidRDefault="003274EF" w:rsidP="007663A8">
            <w:pPr>
              <w:rPr>
                <w:rFonts w:ascii="Arial" w:hAnsi="Arial" w:cs="Arial"/>
                <w:sz w:val="18"/>
                <w:szCs w:val="18"/>
              </w:rPr>
            </w:pPr>
            <w:r w:rsidRPr="00AD66B1">
              <w:rPr>
                <w:rFonts w:ascii="Arial" w:hAnsi="Arial" w:cs="Arial"/>
                <w:sz w:val="18"/>
                <w:szCs w:val="18"/>
              </w:rPr>
              <w:t xml:space="preserve">Percentual de extrema pobreza no CadÚnico </w:t>
            </w:r>
            <w:r w:rsidR="00160EFD">
              <w:rPr>
                <w:rFonts w:ascii="Arial" w:hAnsi="Arial" w:cs="Arial"/>
                <w:sz w:val="18"/>
                <w:szCs w:val="18"/>
              </w:rPr>
              <w:t>(</w:t>
            </w:r>
            <w:r w:rsidRPr="00AD66B1">
              <w:rPr>
                <w:rFonts w:ascii="Arial" w:hAnsi="Arial" w:cs="Arial"/>
                <w:sz w:val="18"/>
                <w:szCs w:val="18"/>
              </w:rPr>
              <w:t>2024</w:t>
            </w:r>
            <w:r w:rsidR="00160EFD">
              <w:rPr>
                <w:rFonts w:ascii="Arial" w:hAnsi="Arial" w:cs="Arial"/>
                <w:sz w:val="18"/>
                <w:szCs w:val="18"/>
              </w:rPr>
              <w:t>)</w:t>
            </w:r>
            <w:r w:rsidRPr="00AD66B1">
              <w:rPr>
                <w:rFonts w:ascii="Arial" w:hAnsi="Arial" w:cs="Arial"/>
                <w:sz w:val="18"/>
                <w:szCs w:val="18"/>
              </w:rPr>
              <w:t xml:space="preserve"> (%)</w:t>
            </w:r>
          </w:p>
        </w:tc>
        <w:tc>
          <w:tcPr>
            <w:tcW w:w="1276" w:type="dxa"/>
            <w:vAlign w:val="center"/>
          </w:tcPr>
          <w:p w14:paraId="4FF26C02"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56,6</w:t>
            </w:r>
          </w:p>
        </w:tc>
        <w:tc>
          <w:tcPr>
            <w:tcW w:w="1275" w:type="dxa"/>
            <w:vAlign w:val="center"/>
          </w:tcPr>
          <w:p w14:paraId="222678E5"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54,9</w:t>
            </w:r>
          </w:p>
        </w:tc>
        <w:tc>
          <w:tcPr>
            <w:tcW w:w="1701" w:type="dxa"/>
            <w:vAlign w:val="center"/>
          </w:tcPr>
          <w:p w14:paraId="38F8BFCF"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43,9</w:t>
            </w:r>
          </w:p>
        </w:tc>
      </w:tr>
      <w:tr w:rsidR="007C7D77" w:rsidRPr="00AD66B1" w14:paraId="61404D62" w14:textId="77777777" w:rsidTr="00CD0C5B">
        <w:trPr>
          <w:trHeight w:val="283"/>
        </w:trPr>
        <w:tc>
          <w:tcPr>
            <w:tcW w:w="4815" w:type="dxa"/>
            <w:vAlign w:val="center"/>
          </w:tcPr>
          <w:p w14:paraId="5E46CCDB" w14:textId="1ED60119" w:rsidR="003274EF" w:rsidRPr="00AD66B1" w:rsidRDefault="003274EF" w:rsidP="007663A8">
            <w:pPr>
              <w:rPr>
                <w:rFonts w:ascii="Arial" w:hAnsi="Arial" w:cs="Arial"/>
                <w:sz w:val="18"/>
                <w:szCs w:val="18"/>
              </w:rPr>
            </w:pPr>
            <w:r w:rsidRPr="00AD66B1">
              <w:rPr>
                <w:rFonts w:ascii="Arial" w:hAnsi="Arial" w:cs="Arial"/>
                <w:sz w:val="18"/>
                <w:szCs w:val="18"/>
              </w:rPr>
              <w:t xml:space="preserve">Estimativa da extrema pobreza na população </w:t>
            </w:r>
            <w:r w:rsidR="00160EFD">
              <w:rPr>
                <w:rFonts w:ascii="Arial" w:hAnsi="Arial" w:cs="Arial"/>
                <w:sz w:val="18"/>
                <w:szCs w:val="18"/>
              </w:rPr>
              <w:t>(</w:t>
            </w:r>
            <w:r w:rsidRPr="00AD66B1">
              <w:rPr>
                <w:rFonts w:ascii="Arial" w:hAnsi="Arial" w:cs="Arial"/>
                <w:sz w:val="18"/>
                <w:szCs w:val="18"/>
              </w:rPr>
              <w:t>2024</w:t>
            </w:r>
            <w:r w:rsidR="00160EFD">
              <w:rPr>
                <w:rFonts w:ascii="Arial" w:hAnsi="Arial" w:cs="Arial"/>
                <w:sz w:val="18"/>
                <w:szCs w:val="18"/>
              </w:rPr>
              <w:t>)</w:t>
            </w:r>
            <w:r w:rsidRPr="00AD66B1">
              <w:rPr>
                <w:rFonts w:ascii="Arial" w:hAnsi="Arial" w:cs="Arial"/>
                <w:sz w:val="18"/>
                <w:szCs w:val="18"/>
              </w:rPr>
              <w:t xml:space="preserve"> (%)</w:t>
            </w:r>
          </w:p>
        </w:tc>
        <w:tc>
          <w:tcPr>
            <w:tcW w:w="1276" w:type="dxa"/>
            <w:vAlign w:val="center"/>
          </w:tcPr>
          <w:p w14:paraId="5D2DD209"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32,4</w:t>
            </w:r>
          </w:p>
        </w:tc>
        <w:tc>
          <w:tcPr>
            <w:tcW w:w="1275" w:type="dxa"/>
            <w:vAlign w:val="center"/>
          </w:tcPr>
          <w:p w14:paraId="41DF935D"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28,8</w:t>
            </w:r>
          </w:p>
        </w:tc>
        <w:tc>
          <w:tcPr>
            <w:tcW w:w="1701" w:type="dxa"/>
            <w:vAlign w:val="center"/>
          </w:tcPr>
          <w:p w14:paraId="3925266F"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25,5</w:t>
            </w:r>
          </w:p>
        </w:tc>
      </w:tr>
      <w:tr w:rsidR="007C7D77" w:rsidRPr="00AD66B1" w14:paraId="5810B2DD" w14:textId="77777777" w:rsidTr="00CD0C5B">
        <w:trPr>
          <w:trHeight w:val="283"/>
        </w:trPr>
        <w:tc>
          <w:tcPr>
            <w:tcW w:w="4815" w:type="dxa"/>
            <w:vAlign w:val="center"/>
          </w:tcPr>
          <w:p w14:paraId="7AE5995E" w14:textId="4FF26DFC" w:rsidR="003274EF" w:rsidRPr="00160EFD" w:rsidRDefault="003274EF" w:rsidP="007663A8">
            <w:pPr>
              <w:rPr>
                <w:rFonts w:ascii="Arial" w:hAnsi="Arial" w:cs="Arial"/>
                <w:sz w:val="18"/>
                <w:szCs w:val="18"/>
              </w:rPr>
            </w:pPr>
            <w:r w:rsidRPr="00160EFD">
              <w:rPr>
                <w:rFonts w:ascii="Arial" w:hAnsi="Arial" w:cs="Arial"/>
                <w:sz w:val="18"/>
                <w:szCs w:val="18"/>
              </w:rPr>
              <w:t xml:space="preserve">Famílias beneficiadas com </w:t>
            </w:r>
            <w:r w:rsidR="00283EBD" w:rsidRPr="00160EFD">
              <w:rPr>
                <w:rFonts w:ascii="Arial" w:hAnsi="Arial" w:cs="Arial"/>
                <w:sz w:val="18"/>
                <w:szCs w:val="18"/>
              </w:rPr>
              <w:t>B</w:t>
            </w:r>
            <w:r w:rsidRPr="00160EFD">
              <w:rPr>
                <w:rFonts w:ascii="Arial" w:hAnsi="Arial" w:cs="Arial"/>
                <w:sz w:val="18"/>
                <w:szCs w:val="18"/>
              </w:rPr>
              <w:t>olsa</w:t>
            </w:r>
            <w:r w:rsidR="00283EBD" w:rsidRPr="00160EFD">
              <w:rPr>
                <w:rFonts w:ascii="Arial" w:hAnsi="Arial" w:cs="Arial"/>
                <w:sz w:val="18"/>
                <w:szCs w:val="18"/>
              </w:rPr>
              <w:t xml:space="preserve"> F</w:t>
            </w:r>
            <w:r w:rsidRPr="00160EFD">
              <w:rPr>
                <w:rFonts w:ascii="Arial" w:hAnsi="Arial" w:cs="Arial"/>
                <w:sz w:val="18"/>
                <w:szCs w:val="18"/>
              </w:rPr>
              <w:t>amília</w:t>
            </w:r>
            <w:r w:rsidR="00283EBD" w:rsidRPr="00160EFD">
              <w:rPr>
                <w:rStyle w:val="Refdenotaderodap"/>
                <w:rFonts w:ascii="Arial" w:hAnsi="Arial" w:cs="Arial"/>
                <w:sz w:val="18"/>
                <w:szCs w:val="18"/>
              </w:rPr>
              <w:footnoteReference w:id="7"/>
            </w:r>
            <w:r w:rsidRPr="00160EFD">
              <w:rPr>
                <w:rFonts w:ascii="Arial" w:hAnsi="Arial" w:cs="Arial"/>
                <w:sz w:val="18"/>
                <w:szCs w:val="18"/>
              </w:rPr>
              <w:t xml:space="preserve"> </w:t>
            </w:r>
            <w:r w:rsidR="00160EFD" w:rsidRPr="00160EFD">
              <w:rPr>
                <w:rFonts w:ascii="Arial" w:hAnsi="Arial" w:cs="Arial"/>
                <w:sz w:val="18"/>
                <w:szCs w:val="18"/>
              </w:rPr>
              <w:t>(</w:t>
            </w:r>
            <w:r w:rsidRPr="00160EFD">
              <w:rPr>
                <w:rFonts w:ascii="Arial" w:hAnsi="Arial" w:cs="Arial"/>
                <w:sz w:val="18"/>
                <w:szCs w:val="18"/>
              </w:rPr>
              <w:t>2024</w:t>
            </w:r>
            <w:r w:rsidR="00160EFD" w:rsidRPr="00160EFD">
              <w:rPr>
                <w:rFonts w:ascii="Arial" w:hAnsi="Arial" w:cs="Arial"/>
                <w:sz w:val="18"/>
                <w:szCs w:val="18"/>
              </w:rPr>
              <w:t>)</w:t>
            </w:r>
            <w:r w:rsidRPr="00160EFD">
              <w:rPr>
                <w:rFonts w:ascii="Arial" w:hAnsi="Arial" w:cs="Arial"/>
                <w:sz w:val="18"/>
                <w:szCs w:val="18"/>
              </w:rPr>
              <w:t xml:space="preserve"> </w:t>
            </w:r>
          </w:p>
        </w:tc>
        <w:tc>
          <w:tcPr>
            <w:tcW w:w="1276" w:type="dxa"/>
            <w:vAlign w:val="center"/>
          </w:tcPr>
          <w:p w14:paraId="55399326"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5.933</w:t>
            </w:r>
          </w:p>
        </w:tc>
        <w:tc>
          <w:tcPr>
            <w:tcW w:w="1275" w:type="dxa"/>
            <w:vAlign w:val="center"/>
          </w:tcPr>
          <w:p w14:paraId="1CCEF724"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5.415</w:t>
            </w:r>
          </w:p>
        </w:tc>
        <w:tc>
          <w:tcPr>
            <w:tcW w:w="1701" w:type="dxa"/>
            <w:vAlign w:val="center"/>
          </w:tcPr>
          <w:p w14:paraId="4AEBEDDA"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1.764</w:t>
            </w:r>
          </w:p>
        </w:tc>
      </w:tr>
      <w:tr w:rsidR="007663A8" w:rsidRPr="00AD66B1" w14:paraId="0458432B" w14:textId="77777777" w:rsidTr="00CD0C5B">
        <w:trPr>
          <w:trHeight w:val="283"/>
        </w:trPr>
        <w:tc>
          <w:tcPr>
            <w:tcW w:w="4815" w:type="dxa"/>
            <w:vAlign w:val="center"/>
          </w:tcPr>
          <w:p w14:paraId="68FA8855" w14:textId="07C161C9" w:rsidR="007663A8" w:rsidRPr="00AD66B1" w:rsidRDefault="007663A8" w:rsidP="007663A8">
            <w:pPr>
              <w:rPr>
                <w:rFonts w:ascii="Arial" w:hAnsi="Arial" w:cs="Arial"/>
                <w:spacing w:val="-6"/>
                <w:sz w:val="18"/>
                <w:szCs w:val="18"/>
              </w:rPr>
            </w:pPr>
            <w:r>
              <w:rPr>
                <w:rFonts w:ascii="Arial" w:hAnsi="Arial" w:cs="Arial"/>
                <w:spacing w:val="-6"/>
                <w:sz w:val="18"/>
                <w:szCs w:val="18"/>
              </w:rPr>
              <w:t>Número de domicílios</w:t>
            </w:r>
            <w:r w:rsidR="00160EFD">
              <w:rPr>
                <w:rFonts w:ascii="Arial" w:hAnsi="Arial" w:cs="Arial"/>
                <w:spacing w:val="-6"/>
                <w:sz w:val="18"/>
                <w:szCs w:val="18"/>
              </w:rPr>
              <w:t xml:space="preserve"> (2022</w:t>
            </w:r>
            <w:r w:rsidR="00CD0C5B">
              <w:rPr>
                <w:rFonts w:ascii="Arial" w:hAnsi="Arial" w:cs="Arial"/>
                <w:spacing w:val="-6"/>
                <w:sz w:val="18"/>
                <w:szCs w:val="18"/>
              </w:rPr>
              <w:t>*</w:t>
            </w:r>
            <w:r w:rsidR="00160EFD">
              <w:rPr>
                <w:rFonts w:ascii="Arial" w:hAnsi="Arial" w:cs="Arial"/>
                <w:spacing w:val="-6"/>
                <w:sz w:val="18"/>
                <w:szCs w:val="18"/>
              </w:rPr>
              <w:t>)</w:t>
            </w:r>
          </w:p>
        </w:tc>
        <w:tc>
          <w:tcPr>
            <w:tcW w:w="1276" w:type="dxa"/>
            <w:vAlign w:val="center"/>
          </w:tcPr>
          <w:p w14:paraId="6E4D1E1D" w14:textId="6AED096A" w:rsidR="007663A8" w:rsidRPr="00AD66B1" w:rsidRDefault="007663A8" w:rsidP="007663A8">
            <w:pPr>
              <w:jc w:val="center"/>
              <w:rPr>
                <w:rFonts w:ascii="Arial" w:hAnsi="Arial" w:cs="Arial"/>
                <w:sz w:val="18"/>
                <w:szCs w:val="18"/>
              </w:rPr>
            </w:pPr>
            <w:r>
              <w:rPr>
                <w:rFonts w:ascii="Arial" w:hAnsi="Arial" w:cs="Arial"/>
                <w:sz w:val="18"/>
                <w:szCs w:val="18"/>
              </w:rPr>
              <w:t>22.122</w:t>
            </w:r>
          </w:p>
        </w:tc>
        <w:tc>
          <w:tcPr>
            <w:tcW w:w="1275" w:type="dxa"/>
            <w:vAlign w:val="center"/>
          </w:tcPr>
          <w:p w14:paraId="1F891FCB" w14:textId="3161DEB3" w:rsidR="007663A8" w:rsidRPr="00AD66B1" w:rsidRDefault="007663A8" w:rsidP="007663A8">
            <w:pPr>
              <w:jc w:val="center"/>
              <w:rPr>
                <w:rFonts w:ascii="Arial" w:hAnsi="Arial" w:cs="Arial"/>
                <w:sz w:val="18"/>
                <w:szCs w:val="18"/>
              </w:rPr>
            </w:pPr>
            <w:r>
              <w:rPr>
                <w:rFonts w:ascii="Arial" w:hAnsi="Arial" w:cs="Arial"/>
                <w:sz w:val="18"/>
                <w:szCs w:val="18"/>
              </w:rPr>
              <w:t>25.300</w:t>
            </w:r>
          </w:p>
        </w:tc>
        <w:tc>
          <w:tcPr>
            <w:tcW w:w="1701" w:type="dxa"/>
            <w:vAlign w:val="center"/>
          </w:tcPr>
          <w:p w14:paraId="6A957FE4" w14:textId="77B29748" w:rsidR="007663A8" w:rsidRPr="00AD66B1" w:rsidRDefault="007663A8" w:rsidP="007663A8">
            <w:pPr>
              <w:jc w:val="center"/>
              <w:rPr>
                <w:rFonts w:ascii="Arial" w:hAnsi="Arial" w:cs="Arial"/>
                <w:sz w:val="18"/>
                <w:szCs w:val="18"/>
              </w:rPr>
            </w:pPr>
            <w:r>
              <w:rPr>
                <w:rFonts w:ascii="Arial" w:hAnsi="Arial" w:cs="Arial"/>
                <w:sz w:val="18"/>
                <w:szCs w:val="18"/>
              </w:rPr>
              <w:t>6.908</w:t>
            </w:r>
          </w:p>
        </w:tc>
      </w:tr>
      <w:tr w:rsidR="007C7D77" w:rsidRPr="00AD66B1" w14:paraId="6AF78753" w14:textId="77777777" w:rsidTr="00CD0C5B">
        <w:tc>
          <w:tcPr>
            <w:tcW w:w="4815" w:type="dxa"/>
            <w:vAlign w:val="center"/>
          </w:tcPr>
          <w:p w14:paraId="13AAACFE" w14:textId="77777777" w:rsidR="003274EF" w:rsidRPr="00AD66B1" w:rsidRDefault="003274EF" w:rsidP="007663A8">
            <w:pPr>
              <w:rPr>
                <w:rFonts w:ascii="Arial" w:hAnsi="Arial" w:cs="Arial"/>
                <w:sz w:val="18"/>
                <w:szCs w:val="18"/>
              </w:rPr>
            </w:pPr>
            <w:r w:rsidRPr="00AD66B1">
              <w:rPr>
                <w:rFonts w:ascii="Arial" w:hAnsi="Arial" w:cs="Arial"/>
                <w:sz w:val="18"/>
                <w:szCs w:val="18"/>
              </w:rPr>
              <w:t>Principais Atividades Econômicas</w:t>
            </w:r>
          </w:p>
        </w:tc>
        <w:tc>
          <w:tcPr>
            <w:tcW w:w="1276" w:type="dxa"/>
            <w:vAlign w:val="center"/>
          </w:tcPr>
          <w:p w14:paraId="15BB448C" w14:textId="77777777" w:rsidR="003274EF" w:rsidRPr="00AD66B1" w:rsidRDefault="003274EF" w:rsidP="007663A8">
            <w:pPr>
              <w:jc w:val="center"/>
              <w:rPr>
                <w:rFonts w:ascii="Arial" w:hAnsi="Arial" w:cs="Arial"/>
                <w:spacing w:val="-10"/>
                <w:sz w:val="18"/>
                <w:szCs w:val="18"/>
              </w:rPr>
            </w:pPr>
            <w:r w:rsidRPr="00AD66B1">
              <w:rPr>
                <w:rFonts w:ascii="Arial" w:hAnsi="Arial" w:cs="Arial"/>
                <w:spacing w:val="-8"/>
                <w:sz w:val="18"/>
                <w:szCs w:val="18"/>
              </w:rPr>
              <w:t>Agropecuária</w:t>
            </w:r>
            <w:r w:rsidRPr="00AD66B1">
              <w:rPr>
                <w:rFonts w:ascii="Arial" w:hAnsi="Arial" w:cs="Arial"/>
                <w:spacing w:val="-10"/>
                <w:sz w:val="18"/>
                <w:szCs w:val="18"/>
              </w:rPr>
              <w:t xml:space="preserve">, </w:t>
            </w:r>
            <w:r w:rsidRPr="00AD66B1">
              <w:rPr>
                <w:rFonts w:ascii="Arial" w:hAnsi="Arial" w:cs="Arial"/>
                <w:sz w:val="18"/>
                <w:szCs w:val="18"/>
              </w:rPr>
              <w:t>Pesca, Turismo</w:t>
            </w:r>
          </w:p>
        </w:tc>
        <w:tc>
          <w:tcPr>
            <w:tcW w:w="1275" w:type="dxa"/>
            <w:vAlign w:val="center"/>
          </w:tcPr>
          <w:p w14:paraId="4C417225" w14:textId="77777777" w:rsidR="003274EF" w:rsidRPr="00AD66B1" w:rsidRDefault="003274EF" w:rsidP="007663A8">
            <w:pPr>
              <w:jc w:val="center"/>
              <w:rPr>
                <w:rFonts w:ascii="Arial" w:hAnsi="Arial" w:cs="Arial"/>
                <w:sz w:val="18"/>
                <w:szCs w:val="18"/>
              </w:rPr>
            </w:pPr>
            <w:r w:rsidRPr="00AD66B1">
              <w:rPr>
                <w:rFonts w:ascii="Arial" w:hAnsi="Arial" w:cs="Arial"/>
                <w:sz w:val="18"/>
                <w:szCs w:val="18"/>
              </w:rPr>
              <w:t>Agricultura, Pesca, Turismo</w:t>
            </w:r>
          </w:p>
        </w:tc>
        <w:tc>
          <w:tcPr>
            <w:tcW w:w="1701" w:type="dxa"/>
            <w:vAlign w:val="center"/>
          </w:tcPr>
          <w:p w14:paraId="05C4D3A1" w14:textId="77777777" w:rsidR="003274EF" w:rsidRPr="00AD66B1" w:rsidRDefault="003274EF" w:rsidP="007663A8">
            <w:pPr>
              <w:jc w:val="center"/>
              <w:rPr>
                <w:rFonts w:ascii="Arial" w:hAnsi="Arial" w:cs="Arial"/>
                <w:spacing w:val="-4"/>
                <w:sz w:val="18"/>
                <w:szCs w:val="18"/>
              </w:rPr>
            </w:pPr>
            <w:r w:rsidRPr="00AD66B1">
              <w:rPr>
                <w:rFonts w:ascii="Arial" w:hAnsi="Arial" w:cs="Arial"/>
                <w:spacing w:val="-4"/>
                <w:sz w:val="18"/>
                <w:szCs w:val="18"/>
              </w:rPr>
              <w:t>Agropecuária</w:t>
            </w:r>
          </w:p>
        </w:tc>
      </w:tr>
    </w:tbl>
    <w:p w14:paraId="0F2F8E1B" w14:textId="0B732224" w:rsidR="00CD0C5B" w:rsidRPr="00CD0C5B" w:rsidRDefault="00CD0C5B" w:rsidP="005F3121">
      <w:pPr>
        <w:jc w:val="both"/>
        <w:rPr>
          <w:rFonts w:ascii="Arial" w:hAnsi="Arial" w:cs="Arial"/>
          <w:sz w:val="20"/>
          <w:szCs w:val="20"/>
        </w:rPr>
      </w:pPr>
      <w:r w:rsidRPr="00CD0C5B">
        <w:rPr>
          <w:rFonts w:ascii="Arial" w:hAnsi="Arial" w:cs="Arial"/>
          <w:sz w:val="20"/>
          <w:szCs w:val="20"/>
        </w:rPr>
        <w:t>*</w:t>
      </w:r>
      <w:r w:rsidR="005F3121">
        <w:rPr>
          <w:rFonts w:ascii="Arial" w:hAnsi="Arial" w:cs="Arial"/>
          <w:sz w:val="20"/>
          <w:szCs w:val="20"/>
        </w:rPr>
        <w:t>Obs.:</w:t>
      </w:r>
      <w:r w:rsidRPr="00CD0C5B">
        <w:rPr>
          <w:rFonts w:ascii="Arial" w:hAnsi="Arial" w:cs="Arial"/>
          <w:sz w:val="20"/>
          <w:szCs w:val="20"/>
        </w:rPr>
        <w:t xml:space="preserve"> Não há informação disponível para número exato de domicílios após os dados disponibilizados pelo</w:t>
      </w:r>
      <w:r w:rsidRPr="00CD0C5B">
        <w:rPr>
          <w:rStyle w:val="Nenhum"/>
          <w:rFonts w:ascii="Arial" w:hAnsi="Arial" w:cs="Arial"/>
          <w:sz w:val="20"/>
          <w:szCs w:val="20"/>
        </w:rPr>
        <w:t xml:space="preserve"> Censo IBGE 2022</w:t>
      </w:r>
      <w:r>
        <w:rPr>
          <w:rStyle w:val="Nenhum"/>
          <w:rFonts w:ascii="Arial" w:hAnsi="Arial" w:cs="Arial"/>
          <w:sz w:val="20"/>
          <w:szCs w:val="20"/>
        </w:rPr>
        <w:t>.</w:t>
      </w:r>
    </w:p>
    <w:p w14:paraId="350F7211" w14:textId="20D10EC0" w:rsidR="003274EF" w:rsidRDefault="003274EF" w:rsidP="005F3121">
      <w:pPr>
        <w:rPr>
          <w:rFonts w:ascii="Arial" w:hAnsi="Arial" w:cs="Arial"/>
          <w:sz w:val="20"/>
          <w:szCs w:val="20"/>
        </w:rPr>
      </w:pPr>
      <w:r w:rsidRPr="00AD66B1">
        <w:rPr>
          <w:rFonts w:ascii="Arial" w:hAnsi="Arial" w:cs="Arial"/>
          <w:sz w:val="20"/>
          <w:szCs w:val="20"/>
        </w:rPr>
        <w:t>Fonte: Elaboração própria com base em dados de sites oficiais dos Municípios, IBGE</w:t>
      </w:r>
      <w:r w:rsidR="007663A8">
        <w:rPr>
          <w:rFonts w:ascii="Arial" w:hAnsi="Arial" w:cs="Arial"/>
          <w:sz w:val="20"/>
          <w:szCs w:val="20"/>
        </w:rPr>
        <w:t>, IBGE</w:t>
      </w:r>
      <w:r w:rsidRPr="00AD66B1">
        <w:rPr>
          <w:rFonts w:ascii="Arial" w:hAnsi="Arial" w:cs="Arial"/>
          <w:sz w:val="20"/>
          <w:szCs w:val="20"/>
        </w:rPr>
        <w:t xml:space="preserve"> Cidades, IJSN, Governo Federal, 2025.</w:t>
      </w:r>
    </w:p>
    <w:p w14:paraId="1C4B170B" w14:textId="77777777" w:rsidR="00125EF5" w:rsidRPr="00D1697C" w:rsidRDefault="00125EF5" w:rsidP="003274EF">
      <w:pPr>
        <w:rPr>
          <w:rFonts w:ascii="Arial" w:hAnsi="Arial" w:cs="Arial"/>
        </w:rPr>
      </w:pPr>
    </w:p>
    <w:p w14:paraId="63BCF21F" w14:textId="55827D38" w:rsidR="00125EF5" w:rsidRDefault="002B2A12" w:rsidP="008C4A3C">
      <w:pPr>
        <w:jc w:val="both"/>
        <w:rPr>
          <w:rStyle w:val="Nenhum"/>
          <w:rFonts w:ascii="Arial" w:hAnsi="Arial" w:cs="Arial"/>
        </w:rPr>
      </w:pPr>
      <w:r>
        <w:rPr>
          <w:rStyle w:val="Nenhum"/>
          <w:rFonts w:ascii="Arial" w:hAnsi="Arial" w:cs="Arial"/>
        </w:rPr>
        <w:t>3</w:t>
      </w:r>
      <w:r w:rsidR="00D1697C" w:rsidRPr="00D1697C">
        <w:rPr>
          <w:rStyle w:val="Nenhum"/>
          <w:rFonts w:ascii="Arial" w:hAnsi="Arial" w:cs="Arial"/>
        </w:rPr>
        <w:t>.1</w:t>
      </w:r>
      <w:r w:rsidR="00D1697C">
        <w:rPr>
          <w:rStyle w:val="Nenhum"/>
          <w:rFonts w:ascii="Arial" w:hAnsi="Arial" w:cs="Arial"/>
          <w:i/>
          <w:iCs/>
        </w:rPr>
        <w:t xml:space="preserve"> </w:t>
      </w:r>
      <w:r w:rsidR="00D1697C" w:rsidRPr="00D1697C">
        <w:rPr>
          <w:rStyle w:val="Nenhum"/>
          <w:rFonts w:ascii="Arial" w:hAnsi="Arial" w:cs="Arial"/>
          <w:i/>
          <w:iCs/>
        </w:rPr>
        <w:t>ROYALTIES</w:t>
      </w:r>
      <w:r w:rsidR="00D1697C" w:rsidRPr="00D1697C">
        <w:rPr>
          <w:rStyle w:val="Nenhum"/>
          <w:rFonts w:ascii="Arial" w:hAnsi="Arial" w:cs="Arial"/>
        </w:rPr>
        <w:t xml:space="preserve"> E PARTICIPAÇÕES ESPECIAIS</w:t>
      </w:r>
    </w:p>
    <w:p w14:paraId="3F111D35" w14:textId="77777777" w:rsidR="00FB38F9" w:rsidRDefault="00FB38F9" w:rsidP="008C4A3C">
      <w:pPr>
        <w:spacing w:line="360" w:lineRule="auto"/>
        <w:jc w:val="both"/>
        <w:rPr>
          <w:rStyle w:val="Nenhum"/>
          <w:rFonts w:ascii="Arial" w:hAnsi="Arial" w:cs="Arial"/>
        </w:rPr>
      </w:pPr>
    </w:p>
    <w:p w14:paraId="444F03AD" w14:textId="30015341" w:rsidR="00B54B84" w:rsidRPr="000F54D6" w:rsidRDefault="00B54B84" w:rsidP="008C4A3C">
      <w:pPr>
        <w:pStyle w:val="Corpo"/>
        <w:spacing w:after="0" w:line="360" w:lineRule="auto"/>
        <w:ind w:firstLine="851"/>
        <w:jc w:val="both"/>
        <w:rPr>
          <w:rStyle w:val="Nenhum"/>
        </w:rPr>
      </w:pPr>
      <w:r>
        <w:rPr>
          <w:rStyle w:val="Nenhum"/>
        </w:rPr>
        <w:t xml:space="preserve">De acordo com </w:t>
      </w:r>
      <w:r w:rsidRPr="000F54D6">
        <w:rPr>
          <w:rStyle w:val="Nenhum"/>
        </w:rPr>
        <w:t xml:space="preserve">Piquet, </w:t>
      </w:r>
      <w:proofErr w:type="spellStart"/>
      <w:r w:rsidRPr="000F54D6">
        <w:rPr>
          <w:rStyle w:val="Nenhum"/>
        </w:rPr>
        <w:t>Lumbreras</w:t>
      </w:r>
      <w:proofErr w:type="spellEnd"/>
      <w:r w:rsidRPr="000F54D6">
        <w:rPr>
          <w:rStyle w:val="Nenhum"/>
        </w:rPr>
        <w:t xml:space="preserve"> e Castro (2020) o setor do petróleo impulsiona a riqueza </w:t>
      </w:r>
      <w:r>
        <w:rPr>
          <w:rStyle w:val="Nenhum"/>
        </w:rPr>
        <w:t>de forma ativa</w:t>
      </w:r>
      <w:r w:rsidRPr="000F54D6">
        <w:rPr>
          <w:rStyle w:val="Nenhum"/>
        </w:rPr>
        <w:t xml:space="preserve"> pelo aumento de empresas e empregos ligados ao setor e </w:t>
      </w:r>
      <w:r>
        <w:rPr>
          <w:rStyle w:val="Nenhum"/>
        </w:rPr>
        <w:t xml:space="preserve">de forma </w:t>
      </w:r>
      <w:r w:rsidRPr="000F54D6">
        <w:rPr>
          <w:rStyle w:val="Nenhum"/>
        </w:rPr>
        <w:t xml:space="preserve">passiva pelo pagamento de expressivos montantes de </w:t>
      </w:r>
      <w:r w:rsidRPr="000F54D6">
        <w:rPr>
          <w:rStyle w:val="Nenhum"/>
          <w:i/>
          <w:iCs/>
        </w:rPr>
        <w:t>royalties</w:t>
      </w:r>
      <w:r w:rsidRPr="000F54D6">
        <w:rPr>
          <w:rStyle w:val="Nenhum"/>
        </w:rPr>
        <w:t xml:space="preserve"> e participações especiais</w:t>
      </w:r>
      <w:r>
        <w:rPr>
          <w:rStyle w:val="Nenhum"/>
        </w:rPr>
        <w:t xml:space="preserve">. Passivamente, </w:t>
      </w:r>
      <w:r w:rsidR="002336A9">
        <w:rPr>
          <w:rStyle w:val="Nenhum"/>
        </w:rPr>
        <w:t xml:space="preserve">segundo os autores, </w:t>
      </w:r>
      <w:r>
        <w:rPr>
          <w:rStyle w:val="Nenhum"/>
        </w:rPr>
        <w:t>incrementa muito as</w:t>
      </w:r>
      <w:r w:rsidRPr="000F54D6">
        <w:rPr>
          <w:rStyle w:val="Nenhum"/>
        </w:rPr>
        <w:t xml:space="preserve"> receitas orçamentárias </w:t>
      </w:r>
      <w:r>
        <w:rPr>
          <w:rStyle w:val="Nenhum"/>
        </w:rPr>
        <w:t>municipais</w:t>
      </w:r>
      <w:r w:rsidRPr="000F54D6">
        <w:rPr>
          <w:rStyle w:val="Nenhum"/>
        </w:rPr>
        <w:t>, não pela presença de empresas e serviços do setor, mas pela “sorte geográfica</w:t>
      </w:r>
      <w:r>
        <w:rPr>
          <w:rStyle w:val="Nenhum"/>
        </w:rPr>
        <w:t>”</w:t>
      </w:r>
      <w:r w:rsidRPr="000F54D6">
        <w:rPr>
          <w:rStyle w:val="Nenhum"/>
        </w:rPr>
        <w:t xml:space="preserve"> em relação às regras da legislação brasileira para a distribuição de </w:t>
      </w:r>
      <w:r w:rsidRPr="000F54D6">
        <w:rPr>
          <w:rStyle w:val="Nenhum"/>
          <w:i/>
          <w:iCs/>
        </w:rPr>
        <w:t>royalties</w:t>
      </w:r>
      <w:r w:rsidRPr="000F54D6">
        <w:rPr>
          <w:rStyle w:val="Nenhum"/>
        </w:rPr>
        <w:t xml:space="preserve"> e participações especiais</w:t>
      </w:r>
      <w:r>
        <w:rPr>
          <w:rStyle w:val="Nenhum"/>
        </w:rPr>
        <w:t>.</w:t>
      </w:r>
      <w:r w:rsidRPr="000F54D6">
        <w:rPr>
          <w:rStyle w:val="Nenhum"/>
        </w:rPr>
        <w:t xml:space="preserve"> </w:t>
      </w:r>
    </w:p>
    <w:p w14:paraId="264CDD2A" w14:textId="77777777" w:rsidR="00B54B84" w:rsidRDefault="00B54B84" w:rsidP="00B54B84">
      <w:pPr>
        <w:pStyle w:val="Corpo"/>
        <w:spacing w:after="0" w:line="360" w:lineRule="auto"/>
        <w:ind w:firstLine="851"/>
        <w:jc w:val="both"/>
        <w:rPr>
          <w:rStyle w:val="Nenhum"/>
        </w:rPr>
      </w:pPr>
      <w:r w:rsidRPr="000F54D6">
        <w:rPr>
          <w:rStyle w:val="Nenhum"/>
        </w:rPr>
        <w:lastRenderedPageBreak/>
        <w:t xml:space="preserve">Analisando o recebimento de </w:t>
      </w:r>
      <w:r w:rsidRPr="000F54D6">
        <w:rPr>
          <w:rStyle w:val="Nenhum"/>
          <w:i/>
          <w:iCs/>
        </w:rPr>
        <w:t>royalties</w:t>
      </w:r>
      <w:r w:rsidRPr="000F54D6">
        <w:rPr>
          <w:rStyle w:val="Nenhum"/>
        </w:rPr>
        <w:t xml:space="preserve"> e participações especiais relacionadas à exploração de petróleo, mostrado nos GRAF. 1 e 2, observa-se que </w:t>
      </w:r>
      <w:r>
        <w:rPr>
          <w:rStyle w:val="Nenhum"/>
        </w:rPr>
        <w:t xml:space="preserve">o montante recebido em 12 anos pelos três municípios pode ser considerado alto. Itapemirim acumulou 2,2 bilhões de reais, Marataízes 1,6 bilhão de reais e Presidente Kennedy 2,8 bilhões de reais. Sob a perspectiva anual, houve variação com os municípios tendo aumento ou queda de recebimento no período pesquisado de 2013 a 2024. Para Itapemirim, o valor mais alto registrado foi de aproximadamente 260 milhões de reais em 2019, para Marataízes foi de aproximadamente 263 milhões de reais em 2021 e para Presidente Kennedy foi de aproximadamente 316 milhões em 2018. Já a maior queda de recebimento, no período estudado, foi em 2016 para Itapemirim, com recebimento de aproximadamente 132 milhões de reais, mesmo ano de Marataízes que recebeu aproximadamente 55 milhões de reais e em 2020 para Presidente Kennedy com recebimento de aproximadamente 149 milhões de reais. </w:t>
      </w:r>
    </w:p>
    <w:p w14:paraId="6DCD5B83" w14:textId="77777777" w:rsidR="00B54B84" w:rsidRPr="000F54D6" w:rsidRDefault="00B54B84" w:rsidP="00B54B84">
      <w:pPr>
        <w:pStyle w:val="Corpo"/>
        <w:spacing w:after="0" w:line="360" w:lineRule="auto"/>
        <w:ind w:firstLine="851"/>
        <w:jc w:val="both"/>
      </w:pPr>
      <w:r>
        <w:rPr>
          <w:rStyle w:val="Nenhum"/>
        </w:rPr>
        <w:t xml:space="preserve">Posto isso, nota-se que esses municípios, seja em cada ano ou no total dos 12 anos levantados, tiveram suas receitas orçamentárias enriquecidas de forma passiva por </w:t>
      </w:r>
      <w:r w:rsidRPr="000F54D6">
        <w:rPr>
          <w:rStyle w:val="Nenhum"/>
        </w:rPr>
        <w:t>rendas petrolíferas</w:t>
      </w:r>
      <w:r>
        <w:rPr>
          <w:rStyle w:val="Nenhum"/>
        </w:rPr>
        <w:t>, assim como grande poder de investimento em obras e serviços públicos, principalmente levando-se em conta que têm população pequena, a ressaltar Presidente Kennedy com menos de 15 mil hab.</w:t>
      </w:r>
    </w:p>
    <w:p w14:paraId="29107253" w14:textId="77777777" w:rsidR="00D1697C" w:rsidRDefault="00D1697C" w:rsidP="00EC58F4">
      <w:pPr>
        <w:spacing w:line="276" w:lineRule="auto"/>
        <w:jc w:val="center"/>
        <w:rPr>
          <w:rFonts w:ascii="Arial" w:hAnsi="Arial" w:cs="Arial"/>
          <w:sz w:val="20"/>
          <w:szCs w:val="20"/>
        </w:rPr>
      </w:pPr>
    </w:p>
    <w:p w14:paraId="170483EA" w14:textId="3BFB0C37" w:rsidR="00EC58F4" w:rsidRPr="00AD66B1" w:rsidRDefault="00EC58F4" w:rsidP="005F3121">
      <w:pPr>
        <w:jc w:val="center"/>
        <w:rPr>
          <w:rFonts w:ascii="Arial" w:hAnsi="Arial" w:cs="Arial"/>
          <w:sz w:val="20"/>
          <w:szCs w:val="20"/>
        </w:rPr>
      </w:pPr>
      <w:r w:rsidRPr="00AD66B1">
        <w:rPr>
          <w:rFonts w:ascii="Arial" w:hAnsi="Arial" w:cs="Arial"/>
          <w:sz w:val="20"/>
          <w:szCs w:val="20"/>
        </w:rPr>
        <w:t xml:space="preserve">Gráfico 1 – Montante de </w:t>
      </w:r>
      <w:r w:rsidRPr="00AD66B1">
        <w:rPr>
          <w:rFonts w:ascii="Arial" w:hAnsi="Arial" w:cs="Arial"/>
          <w:i/>
          <w:iCs/>
          <w:sz w:val="20"/>
          <w:szCs w:val="20"/>
        </w:rPr>
        <w:t>Royalties</w:t>
      </w:r>
      <w:r w:rsidRPr="00AD66B1">
        <w:rPr>
          <w:rFonts w:ascii="Arial" w:hAnsi="Arial" w:cs="Arial"/>
          <w:sz w:val="20"/>
          <w:szCs w:val="20"/>
        </w:rPr>
        <w:t xml:space="preserve"> e Participações Especiais de Petróleo Recebidos no Período </w:t>
      </w:r>
    </w:p>
    <w:p w14:paraId="23456740" w14:textId="64544E5C" w:rsidR="00EC58F4" w:rsidRPr="00AD66B1" w:rsidRDefault="00EC58F4" w:rsidP="005F3121">
      <w:pPr>
        <w:jc w:val="center"/>
        <w:rPr>
          <w:rFonts w:ascii="Arial" w:hAnsi="Arial" w:cs="Arial"/>
          <w:sz w:val="20"/>
          <w:szCs w:val="20"/>
        </w:rPr>
      </w:pPr>
      <w:r w:rsidRPr="00AD66B1">
        <w:rPr>
          <w:rFonts w:ascii="Arial" w:hAnsi="Arial" w:cs="Arial"/>
          <w:sz w:val="20"/>
          <w:szCs w:val="20"/>
        </w:rPr>
        <w:t>2013-2024 (R$)</w:t>
      </w:r>
    </w:p>
    <w:p w14:paraId="3896C16A" w14:textId="77777777" w:rsidR="00EC58F4" w:rsidRPr="00AD66B1" w:rsidRDefault="00EC58F4" w:rsidP="00EC58F4">
      <w:pPr>
        <w:spacing w:line="276" w:lineRule="auto"/>
        <w:jc w:val="center"/>
        <w:rPr>
          <w:rFonts w:ascii="Arial" w:hAnsi="Arial" w:cs="Arial"/>
          <w:sz w:val="20"/>
          <w:szCs w:val="20"/>
        </w:rPr>
      </w:pPr>
      <w:r w:rsidRPr="00AD66B1">
        <w:rPr>
          <w:noProof/>
        </w:rPr>
        <w:drawing>
          <wp:inline distT="0" distB="0" distL="0" distR="0" wp14:anchorId="730214DB" wp14:editId="26CF16E0">
            <wp:extent cx="5699125" cy="3137905"/>
            <wp:effectExtent l="0" t="0" r="15875" b="5715"/>
            <wp:docPr id="1953884697" name="Gráfico 1">
              <a:extLst xmlns:a="http://schemas.openxmlformats.org/drawingml/2006/main">
                <a:ext uri="{FF2B5EF4-FFF2-40B4-BE49-F238E27FC236}">
                  <a16:creationId xmlns:a16="http://schemas.microsoft.com/office/drawing/2014/main" id="{1491D8FD-3885-8863-A69E-6523EB4CA2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86DE12" w14:textId="77777777" w:rsidR="00EC58F4" w:rsidRPr="00AD66B1" w:rsidRDefault="00EC58F4" w:rsidP="005F3121">
      <w:pPr>
        <w:rPr>
          <w:rFonts w:ascii="Arial" w:hAnsi="Arial" w:cs="Arial"/>
          <w:sz w:val="20"/>
          <w:szCs w:val="20"/>
        </w:rPr>
      </w:pPr>
      <w:r w:rsidRPr="00AD66B1">
        <w:rPr>
          <w:rFonts w:ascii="Arial" w:hAnsi="Arial" w:cs="Arial"/>
          <w:bCs/>
          <w:sz w:val="20"/>
          <w:szCs w:val="20"/>
        </w:rPr>
        <w:t xml:space="preserve"> Fonte: </w:t>
      </w:r>
      <w:r w:rsidRPr="00AD66B1">
        <w:rPr>
          <w:rFonts w:ascii="Arial" w:hAnsi="Arial" w:cs="Arial"/>
          <w:sz w:val="20"/>
          <w:szCs w:val="20"/>
        </w:rPr>
        <w:t xml:space="preserve">Elaboração própria com base em dados do </w:t>
      </w:r>
      <w:proofErr w:type="spellStart"/>
      <w:r w:rsidRPr="00AD66B1">
        <w:rPr>
          <w:rFonts w:ascii="Arial" w:hAnsi="Arial" w:cs="Arial"/>
          <w:sz w:val="20"/>
          <w:szCs w:val="20"/>
        </w:rPr>
        <w:t>InfoRoyalties</w:t>
      </w:r>
      <w:proofErr w:type="spellEnd"/>
      <w:r w:rsidRPr="00AD66B1">
        <w:rPr>
          <w:rFonts w:ascii="Arial" w:hAnsi="Arial" w:cs="Arial"/>
          <w:sz w:val="20"/>
          <w:szCs w:val="20"/>
        </w:rPr>
        <w:t>, 2025.</w:t>
      </w:r>
    </w:p>
    <w:p w14:paraId="4B3DA58A" w14:textId="77777777" w:rsidR="00EC58F4" w:rsidRPr="00AD66B1" w:rsidRDefault="00EC58F4" w:rsidP="0032465E">
      <w:pPr>
        <w:spacing w:line="276" w:lineRule="auto"/>
        <w:jc w:val="center"/>
        <w:rPr>
          <w:rFonts w:ascii="Arial" w:hAnsi="Arial" w:cs="Arial"/>
          <w:sz w:val="20"/>
          <w:szCs w:val="20"/>
        </w:rPr>
      </w:pPr>
    </w:p>
    <w:p w14:paraId="156BD799" w14:textId="77777777" w:rsidR="005F3121" w:rsidRDefault="005F3121" w:rsidP="005F3121">
      <w:pPr>
        <w:jc w:val="center"/>
        <w:rPr>
          <w:rFonts w:ascii="Arial" w:hAnsi="Arial" w:cs="Arial"/>
          <w:sz w:val="20"/>
          <w:szCs w:val="20"/>
        </w:rPr>
      </w:pPr>
    </w:p>
    <w:p w14:paraId="129CE9AB" w14:textId="7AC2921A" w:rsidR="00990E9E" w:rsidRPr="00AD66B1" w:rsidRDefault="0032465E" w:rsidP="005F3121">
      <w:pPr>
        <w:jc w:val="center"/>
        <w:rPr>
          <w:rFonts w:ascii="Arial" w:hAnsi="Arial" w:cs="Arial"/>
          <w:sz w:val="20"/>
          <w:szCs w:val="20"/>
        </w:rPr>
      </w:pPr>
      <w:r w:rsidRPr="00AD66B1">
        <w:rPr>
          <w:rFonts w:ascii="Arial" w:hAnsi="Arial" w:cs="Arial"/>
          <w:sz w:val="20"/>
          <w:szCs w:val="20"/>
        </w:rPr>
        <w:lastRenderedPageBreak/>
        <w:t xml:space="preserve">Gráfico </w:t>
      </w:r>
      <w:r w:rsidR="00EC58F4" w:rsidRPr="00AD66B1">
        <w:rPr>
          <w:rFonts w:ascii="Arial" w:hAnsi="Arial" w:cs="Arial"/>
          <w:sz w:val="20"/>
          <w:szCs w:val="20"/>
        </w:rPr>
        <w:t>2</w:t>
      </w:r>
      <w:r w:rsidRPr="00AD66B1">
        <w:rPr>
          <w:rFonts w:ascii="Arial" w:hAnsi="Arial" w:cs="Arial"/>
          <w:sz w:val="20"/>
          <w:szCs w:val="20"/>
        </w:rPr>
        <w:t xml:space="preserve"> – </w:t>
      </w:r>
      <w:r w:rsidR="00257071" w:rsidRPr="00AD66B1">
        <w:rPr>
          <w:rFonts w:ascii="Arial" w:hAnsi="Arial" w:cs="Arial"/>
          <w:i/>
          <w:iCs/>
          <w:sz w:val="20"/>
          <w:szCs w:val="20"/>
        </w:rPr>
        <w:t>Royalties</w:t>
      </w:r>
      <w:r w:rsidR="00257071" w:rsidRPr="00AD66B1">
        <w:rPr>
          <w:rFonts w:ascii="Arial" w:hAnsi="Arial" w:cs="Arial"/>
          <w:sz w:val="20"/>
          <w:szCs w:val="20"/>
        </w:rPr>
        <w:t xml:space="preserve"> e Participações </w:t>
      </w:r>
      <w:r w:rsidR="0089178B" w:rsidRPr="00AD66B1">
        <w:rPr>
          <w:rFonts w:ascii="Arial" w:hAnsi="Arial" w:cs="Arial"/>
          <w:sz w:val="20"/>
          <w:szCs w:val="20"/>
        </w:rPr>
        <w:t>Especiais de Petróleo Recebidos no Período</w:t>
      </w:r>
      <w:r w:rsidRPr="00AD66B1">
        <w:rPr>
          <w:rFonts w:ascii="Arial" w:hAnsi="Arial" w:cs="Arial"/>
          <w:sz w:val="20"/>
          <w:szCs w:val="20"/>
        </w:rPr>
        <w:t xml:space="preserve"> 20</w:t>
      </w:r>
      <w:r w:rsidR="00933A7D" w:rsidRPr="00AD66B1">
        <w:rPr>
          <w:rFonts w:ascii="Arial" w:hAnsi="Arial" w:cs="Arial"/>
          <w:sz w:val="20"/>
          <w:szCs w:val="20"/>
        </w:rPr>
        <w:t>1</w:t>
      </w:r>
      <w:r w:rsidRPr="00AD66B1">
        <w:rPr>
          <w:rFonts w:ascii="Arial" w:hAnsi="Arial" w:cs="Arial"/>
          <w:sz w:val="20"/>
          <w:szCs w:val="20"/>
        </w:rPr>
        <w:t>3-20</w:t>
      </w:r>
      <w:r w:rsidR="00933A7D" w:rsidRPr="00AD66B1">
        <w:rPr>
          <w:rFonts w:ascii="Arial" w:hAnsi="Arial" w:cs="Arial"/>
          <w:sz w:val="20"/>
          <w:szCs w:val="20"/>
        </w:rPr>
        <w:t>2</w:t>
      </w:r>
      <w:r w:rsidR="0089178B" w:rsidRPr="00AD66B1">
        <w:rPr>
          <w:rFonts w:ascii="Arial" w:hAnsi="Arial" w:cs="Arial"/>
          <w:sz w:val="20"/>
          <w:szCs w:val="20"/>
        </w:rPr>
        <w:t>4</w:t>
      </w:r>
      <w:r w:rsidR="00EC58F4" w:rsidRPr="00AD66B1">
        <w:rPr>
          <w:rFonts w:ascii="Arial" w:hAnsi="Arial" w:cs="Arial"/>
          <w:sz w:val="20"/>
          <w:szCs w:val="20"/>
        </w:rPr>
        <w:t xml:space="preserve"> (R$)</w:t>
      </w:r>
    </w:p>
    <w:p w14:paraId="790C7CDE" w14:textId="55792510" w:rsidR="00246AF8" w:rsidRPr="00AD66B1" w:rsidRDefault="00246AF8" w:rsidP="0032465E">
      <w:pPr>
        <w:spacing w:line="276" w:lineRule="auto"/>
        <w:jc w:val="center"/>
        <w:rPr>
          <w:rFonts w:ascii="Arial" w:hAnsi="Arial" w:cs="Arial"/>
          <w:sz w:val="20"/>
          <w:szCs w:val="20"/>
        </w:rPr>
      </w:pPr>
      <w:r w:rsidRPr="00AD66B1">
        <w:rPr>
          <w:noProof/>
        </w:rPr>
        <w:drawing>
          <wp:inline distT="0" distB="0" distL="0" distR="0" wp14:anchorId="238FBFA4" wp14:editId="6068431A">
            <wp:extent cx="5729379" cy="3251835"/>
            <wp:effectExtent l="0" t="0" r="5080" b="5715"/>
            <wp:docPr id="2103158701" name="Gráfico 1">
              <a:extLst xmlns:a="http://schemas.openxmlformats.org/drawingml/2006/main">
                <a:ext uri="{FF2B5EF4-FFF2-40B4-BE49-F238E27FC236}">
                  <a16:creationId xmlns:a16="http://schemas.microsoft.com/office/drawing/2014/main" id="{7E18B812-D3A6-D090-882D-D30BB0C16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63F865" w14:textId="6BF0AA62" w:rsidR="00246AF8" w:rsidRPr="00AD66B1" w:rsidRDefault="00246AF8" w:rsidP="005F3121">
      <w:pPr>
        <w:rPr>
          <w:rFonts w:ascii="Arial" w:hAnsi="Arial" w:cs="Arial"/>
          <w:sz w:val="20"/>
          <w:szCs w:val="20"/>
        </w:rPr>
      </w:pPr>
      <w:r w:rsidRPr="00AD66B1">
        <w:rPr>
          <w:rFonts w:ascii="Arial" w:hAnsi="Arial" w:cs="Arial"/>
          <w:bCs/>
          <w:sz w:val="20"/>
          <w:szCs w:val="20"/>
        </w:rPr>
        <w:t xml:space="preserve">Fonte: </w:t>
      </w:r>
      <w:r w:rsidRPr="00AD66B1">
        <w:rPr>
          <w:rFonts w:ascii="Arial" w:hAnsi="Arial" w:cs="Arial"/>
          <w:sz w:val="20"/>
          <w:szCs w:val="20"/>
        </w:rPr>
        <w:t xml:space="preserve">Elaboração própria com base em dados do </w:t>
      </w:r>
      <w:proofErr w:type="spellStart"/>
      <w:r w:rsidRPr="00AD66B1">
        <w:rPr>
          <w:rFonts w:ascii="Arial" w:hAnsi="Arial" w:cs="Arial"/>
          <w:sz w:val="20"/>
          <w:szCs w:val="20"/>
        </w:rPr>
        <w:t>InfoRoyalties</w:t>
      </w:r>
      <w:proofErr w:type="spellEnd"/>
      <w:r w:rsidRPr="00AD66B1">
        <w:rPr>
          <w:rFonts w:ascii="Arial" w:hAnsi="Arial" w:cs="Arial"/>
          <w:sz w:val="20"/>
          <w:szCs w:val="20"/>
        </w:rPr>
        <w:t>, 2025.</w:t>
      </w:r>
    </w:p>
    <w:p w14:paraId="41B22AD9" w14:textId="77777777" w:rsidR="00257071" w:rsidRPr="00B54B84" w:rsidRDefault="00257071" w:rsidP="00B54B84">
      <w:pPr>
        <w:rPr>
          <w:rFonts w:ascii="Arial" w:hAnsi="Arial" w:cs="Arial"/>
        </w:rPr>
      </w:pPr>
    </w:p>
    <w:p w14:paraId="0E211728" w14:textId="13A1C7D4" w:rsidR="00B54B84" w:rsidRPr="00B54B84" w:rsidRDefault="00B54B84" w:rsidP="00B54B84">
      <w:pPr>
        <w:spacing w:line="360" w:lineRule="auto"/>
        <w:ind w:firstLine="851"/>
        <w:jc w:val="both"/>
        <w:rPr>
          <w:rStyle w:val="Nenhum"/>
          <w:rFonts w:ascii="Arial" w:hAnsi="Arial" w:cs="Arial"/>
        </w:rPr>
      </w:pPr>
      <w:r>
        <w:rPr>
          <w:rStyle w:val="Nenhum"/>
          <w:rFonts w:ascii="Arial" w:hAnsi="Arial" w:cs="Arial"/>
        </w:rPr>
        <w:t>O</w:t>
      </w:r>
      <w:r w:rsidRPr="00B54B84">
        <w:rPr>
          <w:rStyle w:val="Nenhum"/>
          <w:rFonts w:ascii="Arial" w:hAnsi="Arial" w:cs="Arial"/>
        </w:rPr>
        <w:t xml:space="preserve"> pequeno contingente populacional dos municípios, sobretudo de Presidente kennedy, aliado ao elevado valor recebido de rendas petrolíferas, resultou em consideráveis valores </w:t>
      </w:r>
      <w:r w:rsidRPr="00B54B84">
        <w:rPr>
          <w:rStyle w:val="Nenhum"/>
          <w:rFonts w:ascii="Arial" w:hAnsi="Arial" w:cs="Arial"/>
          <w:i/>
          <w:iCs/>
        </w:rPr>
        <w:t>per capita</w:t>
      </w:r>
      <w:r w:rsidRPr="00B54B84">
        <w:rPr>
          <w:rStyle w:val="Nenhum"/>
          <w:rFonts w:ascii="Arial" w:hAnsi="Arial" w:cs="Arial"/>
        </w:rPr>
        <w:t xml:space="preserve"> de </w:t>
      </w:r>
      <w:r w:rsidRPr="00B54B84">
        <w:rPr>
          <w:rStyle w:val="Nenhum"/>
          <w:rFonts w:ascii="Arial" w:hAnsi="Arial" w:cs="Arial"/>
          <w:i/>
          <w:iCs/>
        </w:rPr>
        <w:t>royalties</w:t>
      </w:r>
      <w:r w:rsidRPr="00B54B84">
        <w:rPr>
          <w:rStyle w:val="Nenhum"/>
          <w:rFonts w:ascii="Arial" w:hAnsi="Arial" w:cs="Arial"/>
        </w:rPr>
        <w:t xml:space="preserve"> e participações especiais. É possível perceber pelo GRAF. 3 que para Presidente Kennedy o valor </w:t>
      </w:r>
      <w:r w:rsidRPr="00B54B84">
        <w:rPr>
          <w:rStyle w:val="Nenhum"/>
          <w:rFonts w:ascii="Arial" w:hAnsi="Arial" w:cs="Arial"/>
          <w:i/>
          <w:iCs/>
        </w:rPr>
        <w:t>per capita</w:t>
      </w:r>
      <w:r w:rsidRPr="00B54B84">
        <w:rPr>
          <w:rStyle w:val="Nenhum"/>
          <w:rFonts w:ascii="Arial" w:hAnsi="Arial" w:cs="Arial"/>
        </w:rPr>
        <w:t xml:space="preserve"> anual ficou acima de 13 mil reais/hab.</w:t>
      </w:r>
    </w:p>
    <w:p w14:paraId="2991E2A2" w14:textId="77777777" w:rsidR="00257071" w:rsidRPr="00AD66B1" w:rsidRDefault="00257071" w:rsidP="009F63F5">
      <w:pPr>
        <w:spacing w:line="276" w:lineRule="auto"/>
        <w:rPr>
          <w:rFonts w:ascii="Arial" w:hAnsi="Arial" w:cs="Arial"/>
          <w:sz w:val="20"/>
          <w:szCs w:val="20"/>
        </w:rPr>
      </w:pPr>
    </w:p>
    <w:p w14:paraId="239ED2FA" w14:textId="4F372A27" w:rsidR="003232E8" w:rsidRPr="00AD66B1" w:rsidRDefault="00EC58F4" w:rsidP="005F3121">
      <w:pPr>
        <w:jc w:val="center"/>
        <w:rPr>
          <w:rFonts w:ascii="Arial" w:hAnsi="Arial" w:cs="Arial"/>
          <w:sz w:val="20"/>
          <w:szCs w:val="20"/>
        </w:rPr>
      </w:pPr>
      <w:r w:rsidRPr="00AD66B1">
        <w:rPr>
          <w:rFonts w:ascii="Arial" w:hAnsi="Arial" w:cs="Arial"/>
          <w:sz w:val="20"/>
          <w:szCs w:val="20"/>
        </w:rPr>
        <w:t xml:space="preserve">GRÁFICO </w:t>
      </w:r>
      <w:r w:rsidR="000007C5" w:rsidRPr="00AD66B1">
        <w:rPr>
          <w:rFonts w:ascii="Arial" w:hAnsi="Arial" w:cs="Arial"/>
          <w:sz w:val="20"/>
          <w:szCs w:val="20"/>
        </w:rPr>
        <w:t>3</w:t>
      </w:r>
      <w:r w:rsidRPr="00AD66B1">
        <w:rPr>
          <w:rFonts w:ascii="Arial" w:hAnsi="Arial" w:cs="Arial"/>
          <w:sz w:val="20"/>
          <w:szCs w:val="20"/>
        </w:rPr>
        <w:t xml:space="preserve"> – Valores </w:t>
      </w:r>
      <w:r w:rsidRPr="00AD66B1">
        <w:rPr>
          <w:rFonts w:ascii="Arial" w:hAnsi="Arial" w:cs="Arial"/>
          <w:i/>
          <w:iCs/>
          <w:sz w:val="20"/>
          <w:szCs w:val="20"/>
        </w:rPr>
        <w:t>per capita</w:t>
      </w:r>
      <w:r w:rsidRPr="00AD66B1">
        <w:rPr>
          <w:rFonts w:ascii="Arial" w:hAnsi="Arial" w:cs="Arial"/>
          <w:sz w:val="20"/>
          <w:szCs w:val="20"/>
        </w:rPr>
        <w:t xml:space="preserve"> de </w:t>
      </w:r>
      <w:r w:rsidRPr="00AD66B1">
        <w:rPr>
          <w:rFonts w:ascii="Arial" w:hAnsi="Arial" w:cs="Arial"/>
          <w:i/>
          <w:iCs/>
          <w:sz w:val="20"/>
          <w:szCs w:val="20"/>
        </w:rPr>
        <w:t>Royalties</w:t>
      </w:r>
      <w:r w:rsidRPr="00AD66B1">
        <w:rPr>
          <w:rFonts w:ascii="Arial" w:hAnsi="Arial" w:cs="Arial"/>
          <w:sz w:val="20"/>
          <w:szCs w:val="20"/>
        </w:rPr>
        <w:t xml:space="preserve"> e Participações Especiais de Petróleo no Período 2013-2024 (R$)</w:t>
      </w:r>
    </w:p>
    <w:p w14:paraId="0C286AEA" w14:textId="386E2EA5" w:rsidR="0089178B" w:rsidRPr="00AD66B1" w:rsidRDefault="00EC58F4" w:rsidP="003232E8">
      <w:pPr>
        <w:spacing w:line="276" w:lineRule="auto"/>
        <w:jc w:val="center"/>
        <w:rPr>
          <w:rFonts w:ascii="Arial" w:hAnsi="Arial" w:cs="Arial"/>
          <w:sz w:val="20"/>
          <w:szCs w:val="20"/>
        </w:rPr>
      </w:pPr>
      <w:r w:rsidRPr="00AD66B1">
        <w:rPr>
          <w:noProof/>
        </w:rPr>
        <w:drawing>
          <wp:inline distT="0" distB="0" distL="0" distR="0" wp14:anchorId="760033C0" wp14:editId="6A1E7B6C">
            <wp:extent cx="5760085" cy="2781935"/>
            <wp:effectExtent l="0" t="0" r="12065" b="18415"/>
            <wp:docPr id="409071851" name="Gráfico 1">
              <a:extLst xmlns:a="http://schemas.openxmlformats.org/drawingml/2006/main">
                <a:ext uri="{FF2B5EF4-FFF2-40B4-BE49-F238E27FC236}">
                  <a16:creationId xmlns:a16="http://schemas.microsoft.com/office/drawing/2014/main" id="{AA082F3A-B7CE-EAB3-76DC-DA1E9096D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35E43E" w14:textId="28479CB1" w:rsidR="0089178B" w:rsidRPr="00AD66B1" w:rsidRDefault="00EC58F4" w:rsidP="005F3121">
      <w:pPr>
        <w:rPr>
          <w:rFonts w:ascii="Arial" w:hAnsi="Arial" w:cs="Arial"/>
          <w:sz w:val="20"/>
          <w:szCs w:val="20"/>
        </w:rPr>
      </w:pPr>
      <w:r w:rsidRPr="00AD66B1">
        <w:rPr>
          <w:rFonts w:ascii="Arial" w:hAnsi="Arial" w:cs="Arial"/>
          <w:bCs/>
          <w:sz w:val="20"/>
          <w:szCs w:val="20"/>
        </w:rPr>
        <w:t xml:space="preserve">Fonte: </w:t>
      </w:r>
      <w:r w:rsidRPr="00AD66B1">
        <w:rPr>
          <w:rFonts w:ascii="Arial" w:hAnsi="Arial" w:cs="Arial"/>
          <w:sz w:val="20"/>
          <w:szCs w:val="20"/>
        </w:rPr>
        <w:t xml:space="preserve">Elaboração própria com base em dados do </w:t>
      </w:r>
      <w:proofErr w:type="spellStart"/>
      <w:r w:rsidRPr="00AD66B1">
        <w:rPr>
          <w:rFonts w:ascii="Arial" w:hAnsi="Arial" w:cs="Arial"/>
          <w:sz w:val="20"/>
          <w:szCs w:val="20"/>
        </w:rPr>
        <w:t>InfoRoyalties</w:t>
      </w:r>
      <w:proofErr w:type="spellEnd"/>
      <w:r w:rsidRPr="00AD66B1">
        <w:rPr>
          <w:rFonts w:ascii="Arial" w:hAnsi="Arial" w:cs="Arial"/>
          <w:sz w:val="20"/>
          <w:szCs w:val="20"/>
        </w:rPr>
        <w:t>, IBGE Cidades e IJSN, 2025.</w:t>
      </w:r>
    </w:p>
    <w:p w14:paraId="30597188" w14:textId="77777777" w:rsidR="00EC58F4" w:rsidRPr="00AD66B1" w:rsidRDefault="00EC58F4" w:rsidP="00EC58F4">
      <w:pPr>
        <w:spacing w:line="276" w:lineRule="auto"/>
        <w:rPr>
          <w:rFonts w:ascii="Arial" w:hAnsi="Arial" w:cs="Arial"/>
          <w:sz w:val="20"/>
          <w:szCs w:val="20"/>
        </w:rPr>
      </w:pPr>
    </w:p>
    <w:p w14:paraId="304D3B95" w14:textId="6C6C6A3B" w:rsidR="00452CEB" w:rsidRDefault="00AC5E82" w:rsidP="008C4A3C">
      <w:pPr>
        <w:pStyle w:val="Corpo"/>
        <w:spacing w:after="0" w:line="240" w:lineRule="auto"/>
        <w:jc w:val="both"/>
        <w:rPr>
          <w:rStyle w:val="Nenhum"/>
        </w:rPr>
      </w:pPr>
      <w:r>
        <w:rPr>
          <w:rStyle w:val="Nenhum"/>
        </w:rPr>
        <w:lastRenderedPageBreak/>
        <w:t>3.2</w:t>
      </w:r>
      <w:r w:rsidR="00452CEB" w:rsidRPr="000F54D6">
        <w:rPr>
          <w:rStyle w:val="Nenhum"/>
        </w:rPr>
        <w:t xml:space="preserve"> INDICADORES SOCIOECONÔMICOS</w:t>
      </w:r>
    </w:p>
    <w:p w14:paraId="498575F2" w14:textId="77777777" w:rsidR="008C4A3C" w:rsidRPr="000F54D6" w:rsidRDefault="008C4A3C" w:rsidP="005F3121">
      <w:pPr>
        <w:pStyle w:val="Corpo"/>
        <w:spacing w:after="0" w:line="240" w:lineRule="auto"/>
        <w:jc w:val="both"/>
      </w:pPr>
    </w:p>
    <w:p w14:paraId="1DF38F7C" w14:textId="09059F0B" w:rsidR="00452CEB" w:rsidRDefault="00AC5E82" w:rsidP="008C4A3C">
      <w:pPr>
        <w:pStyle w:val="Corpo"/>
        <w:spacing w:after="0" w:line="240" w:lineRule="auto"/>
        <w:ind w:left="709" w:hanging="709"/>
        <w:rPr>
          <w:rStyle w:val="Nenhum"/>
        </w:rPr>
      </w:pPr>
      <w:r>
        <w:rPr>
          <w:rStyle w:val="Nenhum"/>
        </w:rPr>
        <w:t>3.2.1</w:t>
      </w:r>
      <w:r w:rsidR="00452CEB" w:rsidRPr="000F54D6">
        <w:rPr>
          <w:rStyle w:val="Nenhum"/>
        </w:rPr>
        <w:t xml:space="preserve"> IFDM</w:t>
      </w:r>
    </w:p>
    <w:p w14:paraId="538D175E" w14:textId="77777777" w:rsidR="008C4A3C" w:rsidRPr="000F54D6" w:rsidRDefault="008C4A3C" w:rsidP="008C4A3C">
      <w:pPr>
        <w:pStyle w:val="Corpo"/>
        <w:spacing w:after="0" w:line="360" w:lineRule="auto"/>
        <w:ind w:left="709" w:hanging="709"/>
        <w:rPr>
          <w:rStyle w:val="Nenhum"/>
        </w:rPr>
      </w:pPr>
    </w:p>
    <w:p w14:paraId="23D43F0C" w14:textId="77777777" w:rsidR="00452CEB" w:rsidRPr="00CF5895" w:rsidRDefault="00452CEB" w:rsidP="008C4A3C">
      <w:pPr>
        <w:pStyle w:val="Corpo"/>
        <w:spacing w:after="0" w:line="360" w:lineRule="auto"/>
        <w:ind w:firstLine="851"/>
        <w:jc w:val="both"/>
      </w:pPr>
      <w:r w:rsidRPr="00CF5895">
        <w:rPr>
          <w:rStyle w:val="Nenhum"/>
        </w:rPr>
        <w:t>O IFDM é um índice de desenvolvimento socioeconômico municipal elaborado pela FIRJAN, que engloba os indicadores de Emprego &amp; Renda, Educação e Saúde. Este índice foi criado em 2008 e pode ser visto agregado no IFDM geral ou separado em IFDM Emprego &amp; Renda, IFDM Educação e IFDM Saúde. Sua divulgação anual permite avaliar a evolução detalhada do desenvolvimento dos municípios pesquisados ano a ano, diferente do indicador semelhante o Índice de Desenvolvimento Humano Municipal (IDHM), que é divulgado a cada 10 anos.</w:t>
      </w:r>
    </w:p>
    <w:p w14:paraId="20836F47" w14:textId="77777777" w:rsidR="00452CEB" w:rsidRDefault="00452CEB" w:rsidP="00452CEB">
      <w:pPr>
        <w:pStyle w:val="Corpo"/>
        <w:spacing w:after="0" w:line="360" w:lineRule="auto"/>
        <w:ind w:firstLine="709"/>
        <w:jc w:val="both"/>
        <w:rPr>
          <w:rStyle w:val="Nenhum"/>
        </w:rPr>
      </w:pPr>
      <w:r w:rsidRPr="00CF5895">
        <w:rPr>
          <w:rStyle w:val="Nenhum"/>
        </w:rPr>
        <w:t>Numa análise geral, observa-se que nenhum dos três municípios atingiu o desenvolvimento classificado como alto pelo IFDM e na maior parte dos anos, tiveram indicador classificado como baixo.</w:t>
      </w:r>
      <w:r>
        <w:rPr>
          <w:rStyle w:val="Nenhum"/>
        </w:rPr>
        <w:t xml:space="preserve"> O ano com o melhor resultado foi 2023. </w:t>
      </w:r>
      <w:r w:rsidRPr="00CF5895">
        <w:rPr>
          <w:rStyle w:val="Nenhum"/>
        </w:rPr>
        <w:t>Pensando somente na farta receita orçamentária decorrente dos vultuosos montantes de rendas petrolíferas recebidos, era de se esperar um desenvolvimento municipal considerado alto nas áreas separadas e no geral.</w:t>
      </w:r>
    </w:p>
    <w:p w14:paraId="22E8E466" w14:textId="77777777" w:rsidR="005F3121" w:rsidRPr="00CF5895" w:rsidRDefault="005F3121" w:rsidP="005F3121">
      <w:pPr>
        <w:pStyle w:val="Corpo"/>
        <w:spacing w:after="0" w:line="240" w:lineRule="auto"/>
        <w:ind w:firstLine="709"/>
        <w:jc w:val="both"/>
        <w:rPr>
          <w:rStyle w:val="Nenhum"/>
        </w:rPr>
      </w:pPr>
    </w:p>
    <w:p w14:paraId="3F1C581C" w14:textId="74157906" w:rsidR="003232E8" w:rsidRPr="00AD66B1" w:rsidRDefault="003232E8" w:rsidP="005F3121">
      <w:pPr>
        <w:jc w:val="center"/>
        <w:rPr>
          <w:rFonts w:ascii="Arial" w:hAnsi="Arial" w:cs="Arial"/>
          <w:sz w:val="20"/>
          <w:szCs w:val="20"/>
        </w:rPr>
      </w:pPr>
      <w:r w:rsidRPr="00AD66B1">
        <w:rPr>
          <w:rFonts w:ascii="Arial" w:hAnsi="Arial" w:cs="Arial"/>
          <w:sz w:val="20"/>
          <w:szCs w:val="20"/>
        </w:rPr>
        <w:t xml:space="preserve">Gráfico </w:t>
      </w:r>
      <w:r w:rsidR="000007C5" w:rsidRPr="00AD66B1">
        <w:rPr>
          <w:rFonts w:ascii="Arial" w:hAnsi="Arial" w:cs="Arial"/>
          <w:sz w:val="20"/>
          <w:szCs w:val="20"/>
        </w:rPr>
        <w:t>4</w:t>
      </w:r>
      <w:r w:rsidRPr="00AD66B1">
        <w:rPr>
          <w:rFonts w:ascii="Arial" w:hAnsi="Arial" w:cs="Arial"/>
          <w:sz w:val="20"/>
          <w:szCs w:val="20"/>
        </w:rPr>
        <w:t xml:space="preserve"> – IFDM de Itapemirim 2013-2023</w:t>
      </w:r>
    </w:p>
    <w:p w14:paraId="57C6FDD9" w14:textId="4FBAAAB7" w:rsidR="0032465E" w:rsidRPr="00AD66B1" w:rsidRDefault="0032465E" w:rsidP="009F63F5">
      <w:pPr>
        <w:spacing w:line="276" w:lineRule="auto"/>
        <w:jc w:val="both"/>
        <w:rPr>
          <w:rFonts w:ascii="Arial" w:hAnsi="Arial" w:cs="Arial"/>
          <w:b/>
        </w:rPr>
      </w:pPr>
      <w:r w:rsidRPr="00AD66B1">
        <w:rPr>
          <w:rFonts w:ascii="Arial" w:hAnsi="Arial" w:cs="Arial"/>
          <w:b/>
          <w:noProof/>
        </w:rPr>
        <w:drawing>
          <wp:inline distT="0" distB="0" distL="0" distR="0" wp14:anchorId="4733FC42" wp14:editId="237175B2">
            <wp:extent cx="5716890" cy="3251863"/>
            <wp:effectExtent l="19050" t="19050" r="17780" b="24765"/>
            <wp:docPr id="687099555"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099555" name="Imagem 1" descr="Gráfico, Gráfico de linhas&#10;&#10;O conteúdo gerado por IA pode estar incorreto."/>
                    <pic:cNvPicPr/>
                  </pic:nvPicPr>
                  <pic:blipFill>
                    <a:blip r:embed="rId11">
                      <a:extLst>
                        <a:ext uri="{28A0092B-C50C-407E-A947-70E740481C1C}">
                          <a14:useLocalDpi xmlns:a14="http://schemas.microsoft.com/office/drawing/2010/main" val="0"/>
                        </a:ext>
                      </a:extLst>
                    </a:blip>
                    <a:stretch>
                      <a:fillRect/>
                    </a:stretch>
                  </pic:blipFill>
                  <pic:spPr>
                    <a:xfrm>
                      <a:off x="0" y="0"/>
                      <a:ext cx="5764354" cy="3278861"/>
                    </a:xfrm>
                    <a:prstGeom prst="rect">
                      <a:avLst/>
                    </a:prstGeom>
                    <a:ln>
                      <a:solidFill>
                        <a:schemeClr val="tx1"/>
                      </a:solidFill>
                    </a:ln>
                  </pic:spPr>
                </pic:pic>
              </a:graphicData>
            </a:graphic>
          </wp:inline>
        </w:drawing>
      </w:r>
    </w:p>
    <w:tbl>
      <w:tblPr>
        <w:tblStyle w:val="Tabelacomgrade"/>
        <w:tblpPr w:leftFromText="141" w:rightFromText="141" w:vertAnchor="text" w:horzAnchor="page" w:tblpX="2761" w:tblpY="55"/>
        <w:tblW w:w="0" w:type="auto"/>
        <w:tblLook w:val="04A0" w:firstRow="1" w:lastRow="0" w:firstColumn="1" w:lastColumn="0" w:noHBand="0" w:noVBand="1"/>
      </w:tblPr>
      <w:tblGrid>
        <w:gridCol w:w="284"/>
        <w:gridCol w:w="1129"/>
        <w:gridCol w:w="2693"/>
      </w:tblGrid>
      <w:tr w:rsidR="0032465E" w:rsidRPr="00AD66B1" w14:paraId="454B0861" w14:textId="77777777" w:rsidTr="0032465E">
        <w:tc>
          <w:tcPr>
            <w:tcW w:w="284" w:type="dxa"/>
            <w:shd w:val="clear" w:color="auto" w:fill="E5B8B7" w:themeFill="accent2" w:themeFillTint="66"/>
          </w:tcPr>
          <w:p w14:paraId="736E076F" w14:textId="77777777" w:rsidR="0032465E" w:rsidRPr="00AD66B1" w:rsidRDefault="0032465E" w:rsidP="0032465E">
            <w:pPr>
              <w:spacing w:line="276" w:lineRule="auto"/>
              <w:rPr>
                <w:rFonts w:ascii="Arial" w:hAnsi="Arial" w:cs="Arial"/>
                <w:bCs/>
                <w:sz w:val="20"/>
                <w:szCs w:val="20"/>
              </w:rPr>
            </w:pPr>
          </w:p>
        </w:tc>
        <w:tc>
          <w:tcPr>
            <w:tcW w:w="1129" w:type="dxa"/>
          </w:tcPr>
          <w:p w14:paraId="5F201D6A" w14:textId="77777777" w:rsidR="0032465E" w:rsidRPr="00AD66B1" w:rsidRDefault="0032465E" w:rsidP="005F3121">
            <w:pPr>
              <w:jc w:val="center"/>
              <w:rPr>
                <w:rFonts w:ascii="Arial" w:hAnsi="Arial" w:cs="Arial"/>
                <w:bCs/>
                <w:sz w:val="20"/>
                <w:szCs w:val="20"/>
              </w:rPr>
            </w:pPr>
            <w:r w:rsidRPr="00AD66B1">
              <w:rPr>
                <w:rFonts w:ascii="Arial" w:hAnsi="Arial" w:cs="Arial"/>
                <w:bCs/>
                <w:sz w:val="20"/>
                <w:szCs w:val="20"/>
              </w:rPr>
              <w:t>0 – 0,4</w:t>
            </w:r>
          </w:p>
        </w:tc>
        <w:tc>
          <w:tcPr>
            <w:tcW w:w="2693" w:type="dxa"/>
          </w:tcPr>
          <w:p w14:paraId="6E156184" w14:textId="77777777" w:rsidR="0032465E" w:rsidRPr="00AD66B1" w:rsidRDefault="0032465E" w:rsidP="005F3121">
            <w:pPr>
              <w:rPr>
                <w:rFonts w:ascii="Arial" w:hAnsi="Arial" w:cs="Arial"/>
                <w:bCs/>
                <w:sz w:val="20"/>
                <w:szCs w:val="20"/>
              </w:rPr>
            </w:pPr>
            <w:r w:rsidRPr="00AD66B1">
              <w:rPr>
                <w:rFonts w:ascii="Arial" w:hAnsi="Arial" w:cs="Arial"/>
                <w:bCs/>
                <w:sz w:val="20"/>
                <w:szCs w:val="20"/>
              </w:rPr>
              <w:t>Desenvolvimento Crítico</w:t>
            </w:r>
          </w:p>
        </w:tc>
      </w:tr>
      <w:tr w:rsidR="0032465E" w:rsidRPr="00AD66B1" w14:paraId="7E43699F" w14:textId="77777777" w:rsidTr="00B221EB">
        <w:tc>
          <w:tcPr>
            <w:tcW w:w="284" w:type="dxa"/>
            <w:shd w:val="clear" w:color="auto" w:fill="FFCC66"/>
          </w:tcPr>
          <w:p w14:paraId="6A8D3BCA" w14:textId="77777777" w:rsidR="0032465E" w:rsidRPr="00AD66B1" w:rsidRDefault="0032465E" w:rsidP="0032465E">
            <w:pPr>
              <w:spacing w:line="276" w:lineRule="auto"/>
              <w:rPr>
                <w:rFonts w:ascii="Arial" w:hAnsi="Arial" w:cs="Arial"/>
                <w:bCs/>
                <w:sz w:val="20"/>
                <w:szCs w:val="20"/>
              </w:rPr>
            </w:pPr>
          </w:p>
        </w:tc>
        <w:tc>
          <w:tcPr>
            <w:tcW w:w="1129" w:type="dxa"/>
          </w:tcPr>
          <w:p w14:paraId="473BAA52" w14:textId="77777777" w:rsidR="0032465E" w:rsidRPr="00AD66B1" w:rsidRDefault="0032465E" w:rsidP="005F3121">
            <w:pPr>
              <w:jc w:val="center"/>
              <w:rPr>
                <w:rFonts w:ascii="Arial" w:hAnsi="Arial" w:cs="Arial"/>
                <w:bCs/>
                <w:sz w:val="20"/>
                <w:szCs w:val="20"/>
              </w:rPr>
            </w:pPr>
            <w:r w:rsidRPr="00AD66B1">
              <w:rPr>
                <w:rFonts w:ascii="Arial" w:hAnsi="Arial" w:cs="Arial"/>
                <w:bCs/>
                <w:sz w:val="20"/>
                <w:szCs w:val="20"/>
              </w:rPr>
              <w:t>0,4 – 0,6</w:t>
            </w:r>
          </w:p>
        </w:tc>
        <w:tc>
          <w:tcPr>
            <w:tcW w:w="2693" w:type="dxa"/>
          </w:tcPr>
          <w:p w14:paraId="5701E1E1" w14:textId="77777777" w:rsidR="0032465E" w:rsidRPr="00AD66B1" w:rsidRDefault="0032465E" w:rsidP="005F3121">
            <w:pPr>
              <w:rPr>
                <w:rFonts w:ascii="Arial" w:hAnsi="Arial" w:cs="Arial"/>
                <w:bCs/>
                <w:sz w:val="20"/>
                <w:szCs w:val="20"/>
              </w:rPr>
            </w:pPr>
            <w:r w:rsidRPr="00AD66B1">
              <w:rPr>
                <w:rFonts w:ascii="Arial" w:hAnsi="Arial" w:cs="Arial"/>
                <w:bCs/>
                <w:sz w:val="20"/>
                <w:szCs w:val="20"/>
              </w:rPr>
              <w:t>Desenvolvimento Baixo</w:t>
            </w:r>
          </w:p>
        </w:tc>
      </w:tr>
      <w:tr w:rsidR="0032465E" w:rsidRPr="00AD66B1" w14:paraId="0D7DFF80" w14:textId="77777777" w:rsidTr="00B221EB">
        <w:tc>
          <w:tcPr>
            <w:tcW w:w="284" w:type="dxa"/>
            <w:shd w:val="clear" w:color="auto" w:fill="66FF99"/>
          </w:tcPr>
          <w:p w14:paraId="7B3806BF" w14:textId="77777777" w:rsidR="0032465E" w:rsidRPr="00AD66B1" w:rsidRDefault="0032465E" w:rsidP="0032465E">
            <w:pPr>
              <w:spacing w:line="276" w:lineRule="auto"/>
              <w:rPr>
                <w:rFonts w:ascii="Arial" w:hAnsi="Arial" w:cs="Arial"/>
                <w:bCs/>
                <w:sz w:val="20"/>
                <w:szCs w:val="20"/>
              </w:rPr>
            </w:pPr>
          </w:p>
        </w:tc>
        <w:tc>
          <w:tcPr>
            <w:tcW w:w="1129" w:type="dxa"/>
          </w:tcPr>
          <w:p w14:paraId="2F67D5AF" w14:textId="77777777" w:rsidR="0032465E" w:rsidRPr="00AD66B1" w:rsidRDefault="0032465E" w:rsidP="005F3121">
            <w:pPr>
              <w:jc w:val="center"/>
              <w:rPr>
                <w:rFonts w:ascii="Arial" w:hAnsi="Arial" w:cs="Arial"/>
                <w:bCs/>
                <w:sz w:val="20"/>
                <w:szCs w:val="20"/>
              </w:rPr>
            </w:pPr>
            <w:r w:rsidRPr="00AD66B1">
              <w:rPr>
                <w:rFonts w:ascii="Arial" w:hAnsi="Arial" w:cs="Arial"/>
                <w:bCs/>
                <w:sz w:val="20"/>
                <w:szCs w:val="20"/>
              </w:rPr>
              <w:t>0,6 – 0,8</w:t>
            </w:r>
          </w:p>
        </w:tc>
        <w:tc>
          <w:tcPr>
            <w:tcW w:w="2693" w:type="dxa"/>
          </w:tcPr>
          <w:p w14:paraId="3D7D5DA3" w14:textId="77777777" w:rsidR="0032465E" w:rsidRPr="00AD66B1" w:rsidRDefault="0032465E" w:rsidP="005F3121">
            <w:pPr>
              <w:rPr>
                <w:rFonts w:ascii="Arial" w:hAnsi="Arial" w:cs="Arial"/>
                <w:bCs/>
                <w:spacing w:val="-4"/>
                <w:sz w:val="20"/>
                <w:szCs w:val="20"/>
              </w:rPr>
            </w:pPr>
            <w:r w:rsidRPr="00AD66B1">
              <w:rPr>
                <w:rFonts w:ascii="Arial" w:hAnsi="Arial" w:cs="Arial"/>
                <w:bCs/>
                <w:spacing w:val="-4"/>
                <w:sz w:val="20"/>
                <w:szCs w:val="20"/>
              </w:rPr>
              <w:t>Desenvolvimento Moderado</w:t>
            </w:r>
          </w:p>
        </w:tc>
      </w:tr>
      <w:tr w:rsidR="0032465E" w:rsidRPr="00AD66B1" w14:paraId="7C9B1F93" w14:textId="77777777" w:rsidTr="00B221EB">
        <w:tc>
          <w:tcPr>
            <w:tcW w:w="284" w:type="dxa"/>
            <w:shd w:val="clear" w:color="auto" w:fill="95B3D7" w:themeFill="accent1" w:themeFillTint="99"/>
          </w:tcPr>
          <w:p w14:paraId="35BF7757" w14:textId="77777777" w:rsidR="0032465E" w:rsidRPr="00AD66B1" w:rsidRDefault="0032465E" w:rsidP="0032465E">
            <w:pPr>
              <w:spacing w:line="276" w:lineRule="auto"/>
              <w:rPr>
                <w:rFonts w:ascii="Arial" w:hAnsi="Arial" w:cs="Arial"/>
                <w:bCs/>
                <w:sz w:val="20"/>
                <w:szCs w:val="20"/>
              </w:rPr>
            </w:pPr>
          </w:p>
        </w:tc>
        <w:tc>
          <w:tcPr>
            <w:tcW w:w="1129" w:type="dxa"/>
          </w:tcPr>
          <w:p w14:paraId="0D521408" w14:textId="77777777" w:rsidR="0032465E" w:rsidRPr="00AD66B1" w:rsidRDefault="0032465E" w:rsidP="005F3121">
            <w:pPr>
              <w:jc w:val="center"/>
              <w:rPr>
                <w:rFonts w:ascii="Arial" w:hAnsi="Arial" w:cs="Arial"/>
                <w:bCs/>
                <w:sz w:val="20"/>
                <w:szCs w:val="20"/>
              </w:rPr>
            </w:pPr>
            <w:r w:rsidRPr="00AD66B1">
              <w:rPr>
                <w:rFonts w:ascii="Arial" w:hAnsi="Arial" w:cs="Arial"/>
                <w:bCs/>
                <w:sz w:val="20"/>
                <w:szCs w:val="20"/>
              </w:rPr>
              <w:t>0,8 – 1</w:t>
            </w:r>
          </w:p>
        </w:tc>
        <w:tc>
          <w:tcPr>
            <w:tcW w:w="2693" w:type="dxa"/>
          </w:tcPr>
          <w:p w14:paraId="20D73F10" w14:textId="77777777" w:rsidR="0032465E" w:rsidRPr="00AD66B1" w:rsidRDefault="0032465E" w:rsidP="005F3121">
            <w:pPr>
              <w:rPr>
                <w:rFonts w:ascii="Arial" w:hAnsi="Arial" w:cs="Arial"/>
                <w:bCs/>
                <w:sz w:val="20"/>
                <w:szCs w:val="20"/>
              </w:rPr>
            </w:pPr>
            <w:r w:rsidRPr="00AD66B1">
              <w:rPr>
                <w:rFonts w:ascii="Arial" w:hAnsi="Arial" w:cs="Arial"/>
                <w:bCs/>
                <w:sz w:val="20"/>
                <w:szCs w:val="20"/>
              </w:rPr>
              <w:t>Desenvolvimento Alto</w:t>
            </w:r>
          </w:p>
        </w:tc>
      </w:tr>
    </w:tbl>
    <w:p w14:paraId="2BE6C24F" w14:textId="556C310E" w:rsidR="0032465E" w:rsidRPr="00AD66B1" w:rsidRDefault="0032465E" w:rsidP="005F3121">
      <w:pPr>
        <w:rPr>
          <w:rFonts w:ascii="Arial" w:hAnsi="Arial" w:cs="Arial"/>
          <w:bCs/>
          <w:sz w:val="20"/>
          <w:szCs w:val="20"/>
        </w:rPr>
      </w:pPr>
      <w:r w:rsidRPr="00AD66B1">
        <w:rPr>
          <w:rFonts w:ascii="Arial" w:hAnsi="Arial" w:cs="Arial"/>
          <w:bCs/>
          <w:sz w:val="20"/>
          <w:szCs w:val="20"/>
        </w:rPr>
        <w:t xml:space="preserve">Legenda: </w:t>
      </w:r>
    </w:p>
    <w:p w14:paraId="4A99451D" w14:textId="77777777" w:rsidR="0032465E" w:rsidRPr="00AD66B1" w:rsidRDefault="0032465E" w:rsidP="0032465E">
      <w:pPr>
        <w:spacing w:line="276" w:lineRule="auto"/>
        <w:jc w:val="both"/>
        <w:rPr>
          <w:rFonts w:ascii="Arial" w:hAnsi="Arial" w:cs="Arial"/>
          <w:bCs/>
          <w:sz w:val="20"/>
          <w:szCs w:val="20"/>
        </w:rPr>
      </w:pPr>
    </w:p>
    <w:p w14:paraId="36364735" w14:textId="77777777" w:rsidR="0032465E" w:rsidRPr="00AD66B1" w:rsidRDefault="0032465E" w:rsidP="00990E9E">
      <w:pPr>
        <w:spacing w:line="276" w:lineRule="auto"/>
        <w:rPr>
          <w:rFonts w:ascii="Arial" w:hAnsi="Arial" w:cs="Arial"/>
          <w:bCs/>
          <w:sz w:val="20"/>
          <w:szCs w:val="20"/>
        </w:rPr>
      </w:pPr>
    </w:p>
    <w:p w14:paraId="2D7A0626" w14:textId="77777777" w:rsidR="0032465E" w:rsidRPr="00AD66B1" w:rsidRDefault="0032465E" w:rsidP="00990E9E">
      <w:pPr>
        <w:spacing w:line="276" w:lineRule="auto"/>
        <w:rPr>
          <w:rFonts w:ascii="Arial" w:hAnsi="Arial" w:cs="Arial"/>
          <w:bCs/>
          <w:sz w:val="20"/>
          <w:szCs w:val="20"/>
        </w:rPr>
      </w:pPr>
    </w:p>
    <w:p w14:paraId="7200D751" w14:textId="77777777" w:rsidR="0032465E" w:rsidRPr="00AD66B1" w:rsidRDefault="0032465E" w:rsidP="00990E9E">
      <w:pPr>
        <w:spacing w:line="276" w:lineRule="auto"/>
        <w:rPr>
          <w:rFonts w:ascii="Arial" w:hAnsi="Arial" w:cs="Arial"/>
          <w:bCs/>
          <w:sz w:val="16"/>
          <w:szCs w:val="16"/>
        </w:rPr>
      </w:pPr>
    </w:p>
    <w:p w14:paraId="3E60042B" w14:textId="2882EF26" w:rsidR="0032465E" w:rsidRPr="00AD66B1" w:rsidRDefault="0032465E" w:rsidP="00990E9E">
      <w:pPr>
        <w:spacing w:line="276" w:lineRule="auto"/>
        <w:rPr>
          <w:rFonts w:ascii="Arial" w:hAnsi="Arial" w:cs="Arial"/>
          <w:sz w:val="20"/>
          <w:szCs w:val="20"/>
        </w:rPr>
      </w:pPr>
      <w:r w:rsidRPr="00AD66B1">
        <w:rPr>
          <w:rFonts w:ascii="Arial" w:hAnsi="Arial" w:cs="Arial"/>
          <w:bCs/>
          <w:sz w:val="20"/>
          <w:szCs w:val="20"/>
        </w:rPr>
        <w:t xml:space="preserve">Fonte: </w:t>
      </w:r>
      <w:r w:rsidR="00B221EB" w:rsidRPr="00AD66B1">
        <w:rPr>
          <w:rFonts w:ascii="Arial" w:hAnsi="Arial" w:cs="Arial"/>
          <w:sz w:val="20"/>
          <w:szCs w:val="20"/>
        </w:rPr>
        <w:t>Elaboração própria com base em dados da FIRJAN, 2025</w:t>
      </w:r>
      <w:r w:rsidR="00D9230F" w:rsidRPr="00AD66B1">
        <w:rPr>
          <w:rFonts w:ascii="Arial" w:hAnsi="Arial" w:cs="Arial"/>
          <w:sz w:val="20"/>
          <w:szCs w:val="20"/>
        </w:rPr>
        <w:t>.</w:t>
      </w:r>
    </w:p>
    <w:p w14:paraId="79B3BD0F" w14:textId="77777777" w:rsidR="00AC5E82" w:rsidRDefault="00AC5E82" w:rsidP="00AC5E82">
      <w:pPr>
        <w:pStyle w:val="Corpo"/>
        <w:spacing w:after="0" w:line="360" w:lineRule="auto"/>
        <w:ind w:firstLine="851"/>
        <w:jc w:val="both"/>
        <w:rPr>
          <w:rStyle w:val="Nenhum"/>
        </w:rPr>
      </w:pPr>
      <w:r w:rsidRPr="00CF5895">
        <w:rPr>
          <w:rStyle w:val="Nenhum"/>
        </w:rPr>
        <w:lastRenderedPageBreak/>
        <w:t xml:space="preserve">Falando de Itapemirim, </w:t>
      </w:r>
      <w:r>
        <w:rPr>
          <w:rStyle w:val="Nenhum"/>
        </w:rPr>
        <w:t xml:space="preserve">Como pôde ser visto no GRAF. 4, </w:t>
      </w:r>
      <w:r w:rsidRPr="00CF5895">
        <w:rPr>
          <w:rStyle w:val="Nenhum"/>
        </w:rPr>
        <w:t>o IFDM geral melhorou de 2013 para 2023, passando de baixo para moderado. A melhora nas áreas de educação e emprego&amp;renda contribuíram para a evolução positiva do desenvolvimento municipal.  A educação foi a área que apresentou o melhor resultado, indo de valor baixo, próximo do crítico para moderado, tendendo a ir para valor alto. Já a saúde foi o indicador que apresentou o pior resultado, permanecendo com valor baixo em todo o período pesquisado e apresentando valores próximos do crítico em 2013 e 2021.</w:t>
      </w:r>
      <w:r>
        <w:rPr>
          <w:rStyle w:val="Nenhum"/>
        </w:rPr>
        <w:t xml:space="preserve"> </w:t>
      </w:r>
    </w:p>
    <w:p w14:paraId="5FA4EAC0" w14:textId="42C3F625" w:rsidR="00AC5E82" w:rsidRDefault="00AC5E82" w:rsidP="00AC5E82">
      <w:pPr>
        <w:pStyle w:val="Corpo"/>
        <w:spacing w:after="0" w:line="360" w:lineRule="auto"/>
        <w:ind w:firstLine="851"/>
        <w:jc w:val="both"/>
        <w:rPr>
          <w:rStyle w:val="Nenhum"/>
        </w:rPr>
      </w:pPr>
      <w:r w:rsidRPr="00CF5895">
        <w:rPr>
          <w:rStyle w:val="Nenhum"/>
        </w:rPr>
        <w:t>O IFDM de Marataízes</w:t>
      </w:r>
      <w:r>
        <w:rPr>
          <w:rStyle w:val="Nenhum"/>
        </w:rPr>
        <w:t xml:space="preserve">, mostrado no GRAF. 5, </w:t>
      </w:r>
      <w:r w:rsidRPr="00CF5895">
        <w:rPr>
          <w:rStyle w:val="Nenhum"/>
        </w:rPr>
        <w:t>apresentou-se de forma semelhante ao de Itapemirim. A educação foi a área que melhor evoluiu, passando de baixa, muito próximo de crítica para moderada, com tendência ascendente. Emprego&amp;renda manteve-se baixo, apresentando melhora mais significativa em 2023, passando para moderado. A saúde apresentou oscilação para melhor ou pior de acordo com o ano</w:t>
      </w:r>
      <w:r>
        <w:rPr>
          <w:rStyle w:val="Nenhum"/>
        </w:rPr>
        <w:t>, permanecendo todo o período no nível baixo. Em 2019, apresentou maior queda.</w:t>
      </w:r>
    </w:p>
    <w:p w14:paraId="202DF318" w14:textId="77777777" w:rsidR="00D9230F" w:rsidRPr="00AD66B1" w:rsidRDefault="00D9230F" w:rsidP="00990E9E">
      <w:pPr>
        <w:spacing w:line="276" w:lineRule="auto"/>
        <w:rPr>
          <w:rFonts w:ascii="Arial" w:hAnsi="Arial" w:cs="Arial"/>
          <w:sz w:val="20"/>
          <w:szCs w:val="20"/>
        </w:rPr>
      </w:pPr>
    </w:p>
    <w:p w14:paraId="1561D83C" w14:textId="7B77D5B5" w:rsidR="00D9230F" w:rsidRPr="00AD66B1" w:rsidRDefault="00D9230F" w:rsidP="00D9230F">
      <w:pPr>
        <w:spacing w:line="276" w:lineRule="auto"/>
        <w:jc w:val="center"/>
        <w:rPr>
          <w:rFonts w:ascii="Arial" w:hAnsi="Arial" w:cs="Arial"/>
          <w:sz w:val="20"/>
          <w:szCs w:val="20"/>
        </w:rPr>
      </w:pPr>
      <w:r w:rsidRPr="00AD66B1">
        <w:rPr>
          <w:rFonts w:ascii="Arial" w:hAnsi="Arial" w:cs="Arial"/>
          <w:sz w:val="20"/>
          <w:szCs w:val="20"/>
        </w:rPr>
        <w:t xml:space="preserve">Gráfico </w:t>
      </w:r>
      <w:r w:rsidR="000007C5" w:rsidRPr="00AD66B1">
        <w:rPr>
          <w:rFonts w:ascii="Arial" w:hAnsi="Arial" w:cs="Arial"/>
          <w:sz w:val="20"/>
          <w:szCs w:val="20"/>
        </w:rPr>
        <w:t>5</w:t>
      </w:r>
      <w:r w:rsidRPr="00AD66B1">
        <w:rPr>
          <w:rFonts w:ascii="Arial" w:hAnsi="Arial" w:cs="Arial"/>
          <w:sz w:val="20"/>
          <w:szCs w:val="20"/>
        </w:rPr>
        <w:t xml:space="preserve"> – IFDM de Marataízes 20</w:t>
      </w:r>
      <w:r w:rsidR="00933A7D" w:rsidRPr="00AD66B1">
        <w:rPr>
          <w:rFonts w:ascii="Arial" w:hAnsi="Arial" w:cs="Arial"/>
          <w:sz w:val="20"/>
          <w:szCs w:val="20"/>
        </w:rPr>
        <w:t>1</w:t>
      </w:r>
      <w:r w:rsidRPr="00AD66B1">
        <w:rPr>
          <w:rFonts w:ascii="Arial" w:hAnsi="Arial" w:cs="Arial"/>
          <w:sz w:val="20"/>
          <w:szCs w:val="20"/>
        </w:rPr>
        <w:t>3-20</w:t>
      </w:r>
      <w:r w:rsidR="00933A7D" w:rsidRPr="00AD66B1">
        <w:rPr>
          <w:rFonts w:ascii="Arial" w:hAnsi="Arial" w:cs="Arial"/>
          <w:sz w:val="20"/>
          <w:szCs w:val="20"/>
        </w:rPr>
        <w:t>2</w:t>
      </w:r>
      <w:r w:rsidRPr="00AD66B1">
        <w:rPr>
          <w:rFonts w:ascii="Arial" w:hAnsi="Arial" w:cs="Arial"/>
          <w:sz w:val="20"/>
          <w:szCs w:val="20"/>
        </w:rPr>
        <w:t>3</w:t>
      </w:r>
    </w:p>
    <w:p w14:paraId="3B00F50A" w14:textId="27E81E93" w:rsidR="00D9230F" w:rsidRPr="00AD66B1" w:rsidRDefault="00762675" w:rsidP="009F63F5">
      <w:pPr>
        <w:spacing w:line="276" w:lineRule="auto"/>
        <w:jc w:val="both"/>
        <w:rPr>
          <w:rFonts w:ascii="Arial" w:hAnsi="Arial" w:cs="Arial"/>
          <w:sz w:val="20"/>
          <w:szCs w:val="20"/>
        </w:rPr>
      </w:pPr>
      <w:r>
        <w:rPr>
          <w:rFonts w:ascii="Arial" w:hAnsi="Arial" w:cs="Arial"/>
          <w:noProof/>
          <w:sz w:val="20"/>
          <w:szCs w:val="20"/>
        </w:rPr>
        <w:drawing>
          <wp:inline distT="0" distB="0" distL="0" distR="0" wp14:anchorId="0EE9A65A" wp14:editId="6443AB28">
            <wp:extent cx="5714365" cy="3486150"/>
            <wp:effectExtent l="19050" t="19050" r="19685" b="19050"/>
            <wp:docPr id="100581842" name="Imagem 7"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842" name="Imagem 7" descr="Gráfico, Gráfico de linhas&#10;&#10;O conteúdo gerado por IA pode estar incorreto."/>
                    <pic:cNvPicPr/>
                  </pic:nvPicPr>
                  <pic:blipFill>
                    <a:blip r:embed="rId12">
                      <a:extLst>
                        <a:ext uri="{28A0092B-C50C-407E-A947-70E740481C1C}">
                          <a14:useLocalDpi xmlns:a14="http://schemas.microsoft.com/office/drawing/2010/main" val="0"/>
                        </a:ext>
                      </a:extLst>
                    </a:blip>
                    <a:stretch>
                      <a:fillRect/>
                    </a:stretch>
                  </pic:blipFill>
                  <pic:spPr>
                    <a:xfrm>
                      <a:off x="0" y="0"/>
                      <a:ext cx="5725493" cy="3492939"/>
                    </a:xfrm>
                    <a:prstGeom prst="rect">
                      <a:avLst/>
                    </a:prstGeom>
                    <a:ln>
                      <a:solidFill>
                        <a:schemeClr val="tx1"/>
                      </a:solidFill>
                    </a:ln>
                  </pic:spPr>
                </pic:pic>
              </a:graphicData>
            </a:graphic>
          </wp:inline>
        </w:drawing>
      </w:r>
    </w:p>
    <w:tbl>
      <w:tblPr>
        <w:tblStyle w:val="Tabelacomgrade"/>
        <w:tblpPr w:leftFromText="141" w:rightFromText="141" w:vertAnchor="text" w:horzAnchor="page" w:tblpX="2718" w:tblpY="47"/>
        <w:tblW w:w="0" w:type="auto"/>
        <w:tblLook w:val="04A0" w:firstRow="1" w:lastRow="0" w:firstColumn="1" w:lastColumn="0" w:noHBand="0" w:noVBand="1"/>
      </w:tblPr>
      <w:tblGrid>
        <w:gridCol w:w="284"/>
        <w:gridCol w:w="1129"/>
        <w:gridCol w:w="2693"/>
      </w:tblGrid>
      <w:tr w:rsidR="002B2358" w:rsidRPr="00AD66B1" w14:paraId="35A36A7F" w14:textId="77777777" w:rsidTr="002B2358">
        <w:tc>
          <w:tcPr>
            <w:tcW w:w="284" w:type="dxa"/>
            <w:shd w:val="clear" w:color="auto" w:fill="E5B8B7" w:themeFill="accent2" w:themeFillTint="66"/>
          </w:tcPr>
          <w:p w14:paraId="3AF4080A" w14:textId="77777777" w:rsidR="002B2358" w:rsidRPr="00AD66B1" w:rsidRDefault="002B2358" w:rsidP="002B2358">
            <w:pPr>
              <w:spacing w:line="276" w:lineRule="auto"/>
              <w:rPr>
                <w:rFonts w:ascii="Arial" w:hAnsi="Arial" w:cs="Arial"/>
                <w:bCs/>
                <w:sz w:val="20"/>
                <w:szCs w:val="20"/>
              </w:rPr>
            </w:pPr>
          </w:p>
        </w:tc>
        <w:tc>
          <w:tcPr>
            <w:tcW w:w="1129" w:type="dxa"/>
          </w:tcPr>
          <w:p w14:paraId="3EE53615" w14:textId="77777777" w:rsidR="002B2358" w:rsidRPr="00AD66B1" w:rsidRDefault="002B2358" w:rsidP="002B2358">
            <w:pPr>
              <w:spacing w:line="276" w:lineRule="auto"/>
              <w:jc w:val="center"/>
              <w:rPr>
                <w:rFonts w:ascii="Arial" w:hAnsi="Arial" w:cs="Arial"/>
                <w:bCs/>
                <w:sz w:val="20"/>
                <w:szCs w:val="20"/>
              </w:rPr>
            </w:pPr>
            <w:r w:rsidRPr="00AD66B1">
              <w:rPr>
                <w:rFonts w:ascii="Arial" w:hAnsi="Arial" w:cs="Arial"/>
                <w:bCs/>
                <w:sz w:val="20"/>
                <w:szCs w:val="20"/>
              </w:rPr>
              <w:t>0 – 0,4</w:t>
            </w:r>
          </w:p>
        </w:tc>
        <w:tc>
          <w:tcPr>
            <w:tcW w:w="2693" w:type="dxa"/>
          </w:tcPr>
          <w:p w14:paraId="7A58A448" w14:textId="77777777" w:rsidR="002B2358" w:rsidRPr="00AD66B1" w:rsidRDefault="002B2358" w:rsidP="002B2358">
            <w:pPr>
              <w:spacing w:line="276" w:lineRule="auto"/>
              <w:rPr>
                <w:rFonts w:ascii="Arial" w:hAnsi="Arial" w:cs="Arial"/>
                <w:bCs/>
                <w:sz w:val="20"/>
                <w:szCs w:val="20"/>
              </w:rPr>
            </w:pPr>
            <w:r w:rsidRPr="00AD66B1">
              <w:rPr>
                <w:rFonts w:ascii="Arial" w:hAnsi="Arial" w:cs="Arial"/>
                <w:bCs/>
                <w:sz w:val="20"/>
                <w:szCs w:val="20"/>
              </w:rPr>
              <w:t>Desenvolvimento Crítico</w:t>
            </w:r>
          </w:p>
        </w:tc>
      </w:tr>
      <w:tr w:rsidR="002B2358" w:rsidRPr="00AD66B1" w14:paraId="743FF5C9" w14:textId="77777777" w:rsidTr="002B2358">
        <w:tc>
          <w:tcPr>
            <w:tcW w:w="284" w:type="dxa"/>
            <w:shd w:val="clear" w:color="auto" w:fill="FFCC66"/>
          </w:tcPr>
          <w:p w14:paraId="59396C37" w14:textId="77777777" w:rsidR="002B2358" w:rsidRPr="00AD66B1" w:rsidRDefault="002B2358" w:rsidP="002B2358">
            <w:pPr>
              <w:spacing w:line="276" w:lineRule="auto"/>
              <w:rPr>
                <w:rFonts w:ascii="Arial" w:hAnsi="Arial" w:cs="Arial"/>
                <w:bCs/>
                <w:sz w:val="20"/>
                <w:szCs w:val="20"/>
              </w:rPr>
            </w:pPr>
          </w:p>
        </w:tc>
        <w:tc>
          <w:tcPr>
            <w:tcW w:w="1129" w:type="dxa"/>
          </w:tcPr>
          <w:p w14:paraId="0AF97145" w14:textId="77777777" w:rsidR="002B2358" w:rsidRPr="00AD66B1" w:rsidRDefault="002B2358" w:rsidP="002B2358">
            <w:pPr>
              <w:spacing w:line="276" w:lineRule="auto"/>
              <w:jc w:val="center"/>
              <w:rPr>
                <w:rFonts w:ascii="Arial" w:hAnsi="Arial" w:cs="Arial"/>
                <w:bCs/>
                <w:sz w:val="20"/>
                <w:szCs w:val="20"/>
              </w:rPr>
            </w:pPr>
            <w:r w:rsidRPr="00AD66B1">
              <w:rPr>
                <w:rFonts w:ascii="Arial" w:hAnsi="Arial" w:cs="Arial"/>
                <w:bCs/>
                <w:sz w:val="20"/>
                <w:szCs w:val="20"/>
              </w:rPr>
              <w:t>0,4 – 0,6</w:t>
            </w:r>
          </w:p>
        </w:tc>
        <w:tc>
          <w:tcPr>
            <w:tcW w:w="2693" w:type="dxa"/>
          </w:tcPr>
          <w:p w14:paraId="1E7B1E23" w14:textId="77777777" w:rsidR="002B2358" w:rsidRPr="00AD66B1" w:rsidRDefault="002B2358" w:rsidP="002B2358">
            <w:pPr>
              <w:spacing w:line="276" w:lineRule="auto"/>
              <w:rPr>
                <w:rFonts w:ascii="Arial" w:hAnsi="Arial" w:cs="Arial"/>
                <w:bCs/>
                <w:sz w:val="20"/>
                <w:szCs w:val="20"/>
              </w:rPr>
            </w:pPr>
            <w:r w:rsidRPr="00AD66B1">
              <w:rPr>
                <w:rFonts w:ascii="Arial" w:hAnsi="Arial" w:cs="Arial"/>
                <w:bCs/>
                <w:sz w:val="20"/>
                <w:szCs w:val="20"/>
              </w:rPr>
              <w:t>Desenvolvimento Baixo</w:t>
            </w:r>
          </w:p>
        </w:tc>
      </w:tr>
      <w:tr w:rsidR="002B2358" w:rsidRPr="00AD66B1" w14:paraId="17823E59" w14:textId="77777777" w:rsidTr="002B2358">
        <w:tc>
          <w:tcPr>
            <w:tcW w:w="284" w:type="dxa"/>
            <w:shd w:val="clear" w:color="auto" w:fill="66FF99"/>
          </w:tcPr>
          <w:p w14:paraId="54C50E63" w14:textId="77777777" w:rsidR="002B2358" w:rsidRPr="00AD66B1" w:rsidRDefault="002B2358" w:rsidP="002B2358">
            <w:pPr>
              <w:spacing w:line="276" w:lineRule="auto"/>
              <w:rPr>
                <w:rFonts w:ascii="Arial" w:hAnsi="Arial" w:cs="Arial"/>
                <w:bCs/>
                <w:sz w:val="20"/>
                <w:szCs w:val="20"/>
              </w:rPr>
            </w:pPr>
          </w:p>
        </w:tc>
        <w:tc>
          <w:tcPr>
            <w:tcW w:w="1129" w:type="dxa"/>
          </w:tcPr>
          <w:p w14:paraId="26C5DB3C" w14:textId="77777777" w:rsidR="002B2358" w:rsidRPr="00AD66B1" w:rsidRDefault="002B2358" w:rsidP="002B2358">
            <w:pPr>
              <w:spacing w:line="276" w:lineRule="auto"/>
              <w:jc w:val="center"/>
              <w:rPr>
                <w:rFonts w:ascii="Arial" w:hAnsi="Arial" w:cs="Arial"/>
                <w:bCs/>
                <w:sz w:val="20"/>
                <w:szCs w:val="20"/>
              </w:rPr>
            </w:pPr>
            <w:r w:rsidRPr="00AD66B1">
              <w:rPr>
                <w:rFonts w:ascii="Arial" w:hAnsi="Arial" w:cs="Arial"/>
                <w:bCs/>
                <w:sz w:val="20"/>
                <w:szCs w:val="20"/>
              </w:rPr>
              <w:t>0,6 – 0,8</w:t>
            </w:r>
          </w:p>
        </w:tc>
        <w:tc>
          <w:tcPr>
            <w:tcW w:w="2693" w:type="dxa"/>
          </w:tcPr>
          <w:p w14:paraId="0F785C86" w14:textId="77777777" w:rsidR="002B2358" w:rsidRPr="00AD66B1" w:rsidRDefault="002B2358" w:rsidP="002B2358">
            <w:pPr>
              <w:spacing w:line="276" w:lineRule="auto"/>
              <w:rPr>
                <w:rFonts w:ascii="Arial" w:hAnsi="Arial" w:cs="Arial"/>
                <w:bCs/>
                <w:spacing w:val="-4"/>
                <w:sz w:val="20"/>
                <w:szCs w:val="20"/>
              </w:rPr>
            </w:pPr>
            <w:r w:rsidRPr="00AD66B1">
              <w:rPr>
                <w:rFonts w:ascii="Arial" w:hAnsi="Arial" w:cs="Arial"/>
                <w:bCs/>
                <w:spacing w:val="-4"/>
                <w:sz w:val="20"/>
                <w:szCs w:val="20"/>
              </w:rPr>
              <w:t>Desenvolvimento Moderado</w:t>
            </w:r>
          </w:p>
        </w:tc>
      </w:tr>
      <w:tr w:rsidR="002B2358" w:rsidRPr="00AD66B1" w14:paraId="13124569" w14:textId="77777777" w:rsidTr="002B2358">
        <w:tc>
          <w:tcPr>
            <w:tcW w:w="284" w:type="dxa"/>
            <w:shd w:val="clear" w:color="auto" w:fill="95B3D7" w:themeFill="accent1" w:themeFillTint="99"/>
          </w:tcPr>
          <w:p w14:paraId="7A9EA29D" w14:textId="77777777" w:rsidR="002B2358" w:rsidRPr="00AD66B1" w:rsidRDefault="002B2358" w:rsidP="002B2358">
            <w:pPr>
              <w:spacing w:line="276" w:lineRule="auto"/>
              <w:rPr>
                <w:rFonts w:ascii="Arial" w:hAnsi="Arial" w:cs="Arial"/>
                <w:bCs/>
                <w:sz w:val="20"/>
                <w:szCs w:val="20"/>
              </w:rPr>
            </w:pPr>
          </w:p>
        </w:tc>
        <w:tc>
          <w:tcPr>
            <w:tcW w:w="1129" w:type="dxa"/>
          </w:tcPr>
          <w:p w14:paraId="32D14969" w14:textId="77777777" w:rsidR="002B2358" w:rsidRPr="00AD66B1" w:rsidRDefault="002B2358" w:rsidP="002B2358">
            <w:pPr>
              <w:spacing w:line="276" w:lineRule="auto"/>
              <w:jc w:val="center"/>
              <w:rPr>
                <w:rFonts w:ascii="Arial" w:hAnsi="Arial" w:cs="Arial"/>
                <w:bCs/>
                <w:sz w:val="20"/>
                <w:szCs w:val="20"/>
              </w:rPr>
            </w:pPr>
            <w:r w:rsidRPr="00AD66B1">
              <w:rPr>
                <w:rFonts w:ascii="Arial" w:hAnsi="Arial" w:cs="Arial"/>
                <w:bCs/>
                <w:sz w:val="20"/>
                <w:szCs w:val="20"/>
              </w:rPr>
              <w:t>0,8 – 1</w:t>
            </w:r>
          </w:p>
        </w:tc>
        <w:tc>
          <w:tcPr>
            <w:tcW w:w="2693" w:type="dxa"/>
          </w:tcPr>
          <w:p w14:paraId="21FA1C09" w14:textId="77777777" w:rsidR="002B2358" w:rsidRPr="00AD66B1" w:rsidRDefault="002B2358" w:rsidP="002B2358">
            <w:pPr>
              <w:spacing w:line="276" w:lineRule="auto"/>
              <w:rPr>
                <w:rFonts w:ascii="Arial" w:hAnsi="Arial" w:cs="Arial"/>
                <w:bCs/>
                <w:sz w:val="20"/>
                <w:szCs w:val="20"/>
              </w:rPr>
            </w:pPr>
            <w:r w:rsidRPr="00AD66B1">
              <w:rPr>
                <w:rFonts w:ascii="Arial" w:hAnsi="Arial" w:cs="Arial"/>
                <w:bCs/>
                <w:sz w:val="20"/>
                <w:szCs w:val="20"/>
              </w:rPr>
              <w:t>Desenvolvimento Alto</w:t>
            </w:r>
          </w:p>
        </w:tc>
      </w:tr>
    </w:tbl>
    <w:p w14:paraId="25B6C297" w14:textId="77777777" w:rsidR="002B2358" w:rsidRPr="00AD66B1" w:rsidRDefault="002B2358" w:rsidP="002B2358">
      <w:pPr>
        <w:spacing w:line="276" w:lineRule="auto"/>
        <w:rPr>
          <w:rFonts w:ascii="Arial" w:hAnsi="Arial" w:cs="Arial"/>
          <w:bCs/>
          <w:sz w:val="20"/>
          <w:szCs w:val="20"/>
        </w:rPr>
      </w:pPr>
      <w:r w:rsidRPr="00AD66B1">
        <w:rPr>
          <w:rFonts w:ascii="Arial" w:hAnsi="Arial" w:cs="Arial"/>
          <w:bCs/>
          <w:sz w:val="20"/>
          <w:szCs w:val="20"/>
        </w:rPr>
        <w:t xml:space="preserve">Legenda: </w:t>
      </w:r>
    </w:p>
    <w:p w14:paraId="66D2B855" w14:textId="18879DA0" w:rsidR="002B2358" w:rsidRPr="00AD66B1" w:rsidRDefault="002B2358" w:rsidP="002B2358">
      <w:pPr>
        <w:spacing w:line="276" w:lineRule="auto"/>
        <w:rPr>
          <w:rFonts w:ascii="Arial" w:hAnsi="Arial" w:cs="Arial"/>
          <w:bCs/>
          <w:sz w:val="20"/>
          <w:szCs w:val="20"/>
        </w:rPr>
      </w:pPr>
    </w:p>
    <w:p w14:paraId="3CF68858" w14:textId="77777777" w:rsidR="002B2358" w:rsidRPr="00AD66B1" w:rsidRDefault="002B2358" w:rsidP="002B2358">
      <w:pPr>
        <w:spacing w:line="276" w:lineRule="auto"/>
        <w:jc w:val="both"/>
        <w:rPr>
          <w:rFonts w:ascii="Arial" w:hAnsi="Arial" w:cs="Arial"/>
          <w:bCs/>
          <w:sz w:val="20"/>
          <w:szCs w:val="20"/>
        </w:rPr>
      </w:pPr>
    </w:p>
    <w:p w14:paraId="58D96E49" w14:textId="77777777" w:rsidR="002B2358" w:rsidRPr="00AD66B1" w:rsidRDefault="002B2358" w:rsidP="002B2358">
      <w:pPr>
        <w:spacing w:line="276" w:lineRule="auto"/>
        <w:rPr>
          <w:rFonts w:ascii="Arial" w:hAnsi="Arial" w:cs="Arial"/>
          <w:bCs/>
          <w:sz w:val="20"/>
          <w:szCs w:val="20"/>
        </w:rPr>
      </w:pPr>
    </w:p>
    <w:p w14:paraId="2868C9F3" w14:textId="77777777" w:rsidR="002B2358" w:rsidRPr="00AD66B1" w:rsidRDefault="002B2358" w:rsidP="002B2358">
      <w:pPr>
        <w:spacing w:line="276" w:lineRule="auto"/>
        <w:rPr>
          <w:rFonts w:ascii="Arial" w:hAnsi="Arial" w:cs="Arial"/>
          <w:bCs/>
          <w:sz w:val="16"/>
          <w:szCs w:val="16"/>
        </w:rPr>
      </w:pPr>
    </w:p>
    <w:p w14:paraId="59F0731D" w14:textId="77777777" w:rsidR="002B2358" w:rsidRPr="00AD66B1" w:rsidRDefault="002B2358" w:rsidP="002B2358">
      <w:pPr>
        <w:spacing w:line="276" w:lineRule="auto"/>
        <w:rPr>
          <w:rFonts w:ascii="Arial" w:hAnsi="Arial" w:cs="Arial"/>
          <w:sz w:val="20"/>
          <w:szCs w:val="20"/>
        </w:rPr>
      </w:pPr>
      <w:r w:rsidRPr="00AD66B1">
        <w:rPr>
          <w:rFonts w:ascii="Arial" w:hAnsi="Arial" w:cs="Arial"/>
          <w:bCs/>
          <w:sz w:val="20"/>
          <w:szCs w:val="20"/>
        </w:rPr>
        <w:t xml:space="preserve">Fonte: </w:t>
      </w:r>
      <w:r w:rsidRPr="00AD66B1">
        <w:rPr>
          <w:rFonts w:ascii="Arial" w:hAnsi="Arial" w:cs="Arial"/>
          <w:sz w:val="20"/>
          <w:szCs w:val="20"/>
        </w:rPr>
        <w:t>Elaboração própria com base em dados da FIRJAN, 2025.</w:t>
      </w:r>
    </w:p>
    <w:p w14:paraId="1CB5585C" w14:textId="7034A169" w:rsidR="00AC5E82" w:rsidRPr="00CF5895" w:rsidRDefault="00AC5E82" w:rsidP="00AC5E82">
      <w:pPr>
        <w:pStyle w:val="Corpo"/>
        <w:spacing w:after="0" w:line="360" w:lineRule="auto"/>
        <w:ind w:firstLine="709"/>
        <w:jc w:val="both"/>
        <w:rPr>
          <w:rStyle w:val="Nenhum"/>
        </w:rPr>
      </w:pPr>
      <w:r>
        <w:rPr>
          <w:rStyle w:val="Nenhum"/>
        </w:rPr>
        <w:lastRenderedPageBreak/>
        <w:t xml:space="preserve">Em relação a Presidente Kennedy, o maior recebedor de rendas petrolíferas, entre os três municípios e o maior PIB </w:t>
      </w:r>
      <w:r w:rsidRPr="0030602F">
        <w:rPr>
          <w:rStyle w:val="Nenhum"/>
          <w:i/>
          <w:iCs/>
        </w:rPr>
        <w:t>per capita</w:t>
      </w:r>
      <w:r>
        <w:rPr>
          <w:rStyle w:val="Nenhum"/>
        </w:rPr>
        <w:t xml:space="preserve"> e valor </w:t>
      </w:r>
      <w:r w:rsidRPr="0030602F">
        <w:rPr>
          <w:rStyle w:val="Nenhum"/>
          <w:i/>
          <w:iCs/>
        </w:rPr>
        <w:t>per capita</w:t>
      </w:r>
      <w:r>
        <w:rPr>
          <w:rStyle w:val="Nenhum"/>
        </w:rPr>
        <w:t xml:space="preserve"> de </w:t>
      </w:r>
      <w:r w:rsidRPr="0030602F">
        <w:rPr>
          <w:rStyle w:val="Nenhum"/>
          <w:i/>
          <w:iCs/>
        </w:rPr>
        <w:t>royaltie</w:t>
      </w:r>
      <w:r>
        <w:rPr>
          <w:rStyle w:val="Nenhum"/>
        </w:rPr>
        <w:t xml:space="preserve">s e participações especiais, houve a maior evolução positiva, principalmente na educação. Conforme é mostrado no GRAF. 6, o IFDM geral passou de baixo para moderado. A educação avançou de crítica em 2013 a moderada, próximo da alta em 2023. Saúde e emprego&amp;renda passaram de baixo para moderado. A saúde apresentou queda em 2017 e 2019, com os piores valores do período. Por sua vez, em 2016 a educação apresentou queda. Das três áreas, emprego&amp;renda foi a que menos cresceu no período pesquisado. Até conseguiu mudar de nível, porém com valor muito próximo, limítrofe ao nível inferior. </w:t>
      </w:r>
    </w:p>
    <w:p w14:paraId="787CF759" w14:textId="77777777" w:rsidR="002B2358" w:rsidRPr="00AD66B1" w:rsidRDefault="002B2358" w:rsidP="002B2358">
      <w:pPr>
        <w:spacing w:line="276" w:lineRule="auto"/>
        <w:rPr>
          <w:rFonts w:ascii="Arial" w:hAnsi="Arial" w:cs="Arial"/>
          <w:sz w:val="20"/>
          <w:szCs w:val="20"/>
        </w:rPr>
      </w:pPr>
    </w:p>
    <w:p w14:paraId="7372700D" w14:textId="410F5040" w:rsidR="00D9230F" w:rsidRPr="00AD66B1" w:rsidRDefault="00D9230F" w:rsidP="00D9230F">
      <w:pPr>
        <w:spacing w:line="276" w:lineRule="auto"/>
        <w:jc w:val="center"/>
        <w:rPr>
          <w:rFonts w:ascii="Arial" w:hAnsi="Arial" w:cs="Arial"/>
          <w:sz w:val="20"/>
          <w:szCs w:val="20"/>
        </w:rPr>
      </w:pPr>
      <w:r w:rsidRPr="00AD66B1">
        <w:rPr>
          <w:rFonts w:ascii="Arial" w:hAnsi="Arial" w:cs="Arial"/>
          <w:sz w:val="20"/>
          <w:szCs w:val="20"/>
        </w:rPr>
        <w:t xml:space="preserve">Gráfico </w:t>
      </w:r>
      <w:r w:rsidR="000007C5" w:rsidRPr="00AD66B1">
        <w:rPr>
          <w:rFonts w:ascii="Arial" w:hAnsi="Arial" w:cs="Arial"/>
          <w:sz w:val="20"/>
          <w:szCs w:val="20"/>
        </w:rPr>
        <w:t>6</w:t>
      </w:r>
      <w:r w:rsidRPr="00AD66B1">
        <w:rPr>
          <w:rFonts w:ascii="Arial" w:hAnsi="Arial" w:cs="Arial"/>
          <w:sz w:val="20"/>
          <w:szCs w:val="20"/>
        </w:rPr>
        <w:t xml:space="preserve"> – IFDM de Presidente Kennedy 20</w:t>
      </w:r>
      <w:r w:rsidR="00933A7D" w:rsidRPr="00AD66B1">
        <w:rPr>
          <w:rFonts w:ascii="Arial" w:hAnsi="Arial" w:cs="Arial"/>
          <w:sz w:val="20"/>
          <w:szCs w:val="20"/>
        </w:rPr>
        <w:t>13</w:t>
      </w:r>
      <w:r w:rsidRPr="00AD66B1">
        <w:rPr>
          <w:rFonts w:ascii="Arial" w:hAnsi="Arial" w:cs="Arial"/>
          <w:sz w:val="20"/>
          <w:szCs w:val="20"/>
        </w:rPr>
        <w:t>-20</w:t>
      </w:r>
      <w:r w:rsidR="00933A7D" w:rsidRPr="00AD66B1">
        <w:rPr>
          <w:rFonts w:ascii="Arial" w:hAnsi="Arial" w:cs="Arial"/>
          <w:sz w:val="20"/>
          <w:szCs w:val="20"/>
        </w:rPr>
        <w:t>2</w:t>
      </w:r>
      <w:r w:rsidRPr="00AD66B1">
        <w:rPr>
          <w:rFonts w:ascii="Arial" w:hAnsi="Arial" w:cs="Arial"/>
          <w:sz w:val="20"/>
          <w:szCs w:val="20"/>
        </w:rPr>
        <w:t>3</w:t>
      </w:r>
    </w:p>
    <w:p w14:paraId="1C1F2F9E" w14:textId="12D2A91E" w:rsidR="00D9230F" w:rsidRPr="00AD66B1" w:rsidRDefault="00762675" w:rsidP="009F63F5">
      <w:pPr>
        <w:spacing w:line="276" w:lineRule="auto"/>
        <w:jc w:val="both"/>
        <w:rPr>
          <w:rFonts w:ascii="Arial" w:hAnsi="Arial" w:cs="Arial"/>
          <w:sz w:val="20"/>
          <w:szCs w:val="20"/>
        </w:rPr>
      </w:pPr>
      <w:r>
        <w:rPr>
          <w:rFonts w:ascii="Arial" w:hAnsi="Arial" w:cs="Arial"/>
          <w:noProof/>
          <w:sz w:val="20"/>
          <w:szCs w:val="20"/>
        </w:rPr>
        <w:drawing>
          <wp:inline distT="0" distB="0" distL="0" distR="0" wp14:anchorId="36AEA576" wp14:editId="399E26E7">
            <wp:extent cx="5753599" cy="3817951"/>
            <wp:effectExtent l="19050" t="19050" r="19050" b="11430"/>
            <wp:docPr id="579158979" name="Imagem 8"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58979" name="Imagem 8" descr="Gráfico, Gráfico de linhas&#10;&#10;O conteúdo gerado por IA pode estar incorreto."/>
                    <pic:cNvPicPr/>
                  </pic:nvPicPr>
                  <pic:blipFill>
                    <a:blip r:embed="rId13">
                      <a:extLst>
                        <a:ext uri="{28A0092B-C50C-407E-A947-70E740481C1C}">
                          <a14:useLocalDpi xmlns:a14="http://schemas.microsoft.com/office/drawing/2010/main" val="0"/>
                        </a:ext>
                      </a:extLst>
                    </a:blip>
                    <a:stretch>
                      <a:fillRect/>
                    </a:stretch>
                  </pic:blipFill>
                  <pic:spPr>
                    <a:xfrm>
                      <a:off x="0" y="0"/>
                      <a:ext cx="5753599" cy="3817951"/>
                    </a:xfrm>
                    <a:prstGeom prst="rect">
                      <a:avLst/>
                    </a:prstGeom>
                    <a:ln>
                      <a:solidFill>
                        <a:schemeClr val="tx1"/>
                      </a:solidFill>
                    </a:ln>
                  </pic:spPr>
                </pic:pic>
              </a:graphicData>
            </a:graphic>
          </wp:inline>
        </w:drawing>
      </w:r>
    </w:p>
    <w:tbl>
      <w:tblPr>
        <w:tblStyle w:val="Tabelacomgrade"/>
        <w:tblpPr w:leftFromText="141" w:rightFromText="141" w:vertAnchor="text" w:horzAnchor="page" w:tblpX="2776" w:tblpY="49"/>
        <w:tblW w:w="0" w:type="auto"/>
        <w:tblLook w:val="04A0" w:firstRow="1" w:lastRow="0" w:firstColumn="1" w:lastColumn="0" w:noHBand="0" w:noVBand="1"/>
      </w:tblPr>
      <w:tblGrid>
        <w:gridCol w:w="284"/>
        <w:gridCol w:w="1129"/>
        <w:gridCol w:w="2693"/>
      </w:tblGrid>
      <w:tr w:rsidR="002B2358" w:rsidRPr="00AD66B1" w14:paraId="7B9BD482" w14:textId="77777777" w:rsidTr="002B2358">
        <w:tc>
          <w:tcPr>
            <w:tcW w:w="284" w:type="dxa"/>
            <w:shd w:val="clear" w:color="auto" w:fill="E5B8B7" w:themeFill="accent2" w:themeFillTint="66"/>
          </w:tcPr>
          <w:p w14:paraId="3D17378A" w14:textId="77777777" w:rsidR="002B2358" w:rsidRPr="00AD66B1" w:rsidRDefault="002B2358" w:rsidP="002B2358">
            <w:pPr>
              <w:spacing w:line="276" w:lineRule="auto"/>
              <w:rPr>
                <w:rFonts w:ascii="Arial" w:hAnsi="Arial" w:cs="Arial"/>
                <w:bCs/>
                <w:sz w:val="20"/>
                <w:szCs w:val="20"/>
              </w:rPr>
            </w:pPr>
          </w:p>
        </w:tc>
        <w:tc>
          <w:tcPr>
            <w:tcW w:w="1129" w:type="dxa"/>
          </w:tcPr>
          <w:p w14:paraId="3EBA75DC" w14:textId="77777777" w:rsidR="002B2358" w:rsidRPr="00AD66B1" w:rsidRDefault="002B2358" w:rsidP="002B2358">
            <w:pPr>
              <w:spacing w:line="276" w:lineRule="auto"/>
              <w:jc w:val="center"/>
              <w:rPr>
                <w:rFonts w:ascii="Arial" w:hAnsi="Arial" w:cs="Arial"/>
                <w:bCs/>
                <w:sz w:val="20"/>
                <w:szCs w:val="20"/>
              </w:rPr>
            </w:pPr>
            <w:r w:rsidRPr="00AD66B1">
              <w:rPr>
                <w:rFonts w:ascii="Arial" w:hAnsi="Arial" w:cs="Arial"/>
                <w:bCs/>
                <w:sz w:val="20"/>
                <w:szCs w:val="20"/>
              </w:rPr>
              <w:t>0 – 0,4</w:t>
            </w:r>
          </w:p>
        </w:tc>
        <w:tc>
          <w:tcPr>
            <w:tcW w:w="2693" w:type="dxa"/>
          </w:tcPr>
          <w:p w14:paraId="124852C4" w14:textId="77777777" w:rsidR="002B2358" w:rsidRPr="00AD66B1" w:rsidRDefault="002B2358" w:rsidP="002B2358">
            <w:pPr>
              <w:spacing w:line="276" w:lineRule="auto"/>
              <w:rPr>
                <w:rFonts w:ascii="Arial" w:hAnsi="Arial" w:cs="Arial"/>
                <w:bCs/>
                <w:sz w:val="20"/>
                <w:szCs w:val="20"/>
              </w:rPr>
            </w:pPr>
            <w:r w:rsidRPr="00AD66B1">
              <w:rPr>
                <w:rFonts w:ascii="Arial" w:hAnsi="Arial" w:cs="Arial"/>
                <w:bCs/>
                <w:sz w:val="20"/>
                <w:szCs w:val="20"/>
              </w:rPr>
              <w:t>Desenvolvimento Crítico</w:t>
            </w:r>
          </w:p>
        </w:tc>
      </w:tr>
      <w:tr w:rsidR="002B2358" w:rsidRPr="00AD66B1" w14:paraId="18E8316D" w14:textId="77777777" w:rsidTr="002B2358">
        <w:tc>
          <w:tcPr>
            <w:tcW w:w="284" w:type="dxa"/>
            <w:shd w:val="clear" w:color="auto" w:fill="FFCC66"/>
          </w:tcPr>
          <w:p w14:paraId="24347EFB" w14:textId="77777777" w:rsidR="002B2358" w:rsidRPr="00AD66B1" w:rsidRDefault="002B2358" w:rsidP="002B2358">
            <w:pPr>
              <w:spacing w:line="276" w:lineRule="auto"/>
              <w:rPr>
                <w:rFonts w:ascii="Arial" w:hAnsi="Arial" w:cs="Arial"/>
                <w:bCs/>
                <w:sz w:val="20"/>
                <w:szCs w:val="20"/>
              </w:rPr>
            </w:pPr>
          </w:p>
        </w:tc>
        <w:tc>
          <w:tcPr>
            <w:tcW w:w="1129" w:type="dxa"/>
          </w:tcPr>
          <w:p w14:paraId="0CF8317D" w14:textId="77777777" w:rsidR="002B2358" w:rsidRPr="00AD66B1" w:rsidRDefault="002B2358" w:rsidP="002B2358">
            <w:pPr>
              <w:spacing w:line="276" w:lineRule="auto"/>
              <w:jc w:val="center"/>
              <w:rPr>
                <w:rFonts w:ascii="Arial" w:hAnsi="Arial" w:cs="Arial"/>
                <w:bCs/>
                <w:sz w:val="20"/>
                <w:szCs w:val="20"/>
              </w:rPr>
            </w:pPr>
            <w:r w:rsidRPr="00AD66B1">
              <w:rPr>
                <w:rFonts w:ascii="Arial" w:hAnsi="Arial" w:cs="Arial"/>
                <w:bCs/>
                <w:sz w:val="20"/>
                <w:szCs w:val="20"/>
              </w:rPr>
              <w:t>0,4 – 0,6</w:t>
            </w:r>
          </w:p>
        </w:tc>
        <w:tc>
          <w:tcPr>
            <w:tcW w:w="2693" w:type="dxa"/>
          </w:tcPr>
          <w:p w14:paraId="288F34C5" w14:textId="77777777" w:rsidR="002B2358" w:rsidRPr="00AD66B1" w:rsidRDefault="002B2358" w:rsidP="002B2358">
            <w:pPr>
              <w:spacing w:line="276" w:lineRule="auto"/>
              <w:rPr>
                <w:rFonts w:ascii="Arial" w:hAnsi="Arial" w:cs="Arial"/>
                <w:bCs/>
                <w:sz w:val="20"/>
                <w:szCs w:val="20"/>
              </w:rPr>
            </w:pPr>
            <w:r w:rsidRPr="00AD66B1">
              <w:rPr>
                <w:rFonts w:ascii="Arial" w:hAnsi="Arial" w:cs="Arial"/>
                <w:bCs/>
                <w:sz w:val="20"/>
                <w:szCs w:val="20"/>
              </w:rPr>
              <w:t>Desenvolvimento Baixo</w:t>
            </w:r>
          </w:p>
        </w:tc>
      </w:tr>
      <w:tr w:rsidR="002B2358" w:rsidRPr="00AD66B1" w14:paraId="1348460C" w14:textId="77777777" w:rsidTr="002B2358">
        <w:tc>
          <w:tcPr>
            <w:tcW w:w="284" w:type="dxa"/>
            <w:shd w:val="clear" w:color="auto" w:fill="66FF99"/>
          </w:tcPr>
          <w:p w14:paraId="1EBCDD7E" w14:textId="77777777" w:rsidR="002B2358" w:rsidRPr="00AD66B1" w:rsidRDefault="002B2358" w:rsidP="002B2358">
            <w:pPr>
              <w:spacing w:line="276" w:lineRule="auto"/>
              <w:rPr>
                <w:rFonts w:ascii="Arial" w:hAnsi="Arial" w:cs="Arial"/>
                <w:bCs/>
                <w:sz w:val="20"/>
                <w:szCs w:val="20"/>
              </w:rPr>
            </w:pPr>
          </w:p>
        </w:tc>
        <w:tc>
          <w:tcPr>
            <w:tcW w:w="1129" w:type="dxa"/>
          </w:tcPr>
          <w:p w14:paraId="4E89FBC5" w14:textId="77777777" w:rsidR="002B2358" w:rsidRPr="00AD66B1" w:rsidRDefault="002B2358" w:rsidP="002B2358">
            <w:pPr>
              <w:spacing w:line="276" w:lineRule="auto"/>
              <w:jc w:val="center"/>
              <w:rPr>
                <w:rFonts w:ascii="Arial" w:hAnsi="Arial" w:cs="Arial"/>
                <w:bCs/>
                <w:sz w:val="20"/>
                <w:szCs w:val="20"/>
              </w:rPr>
            </w:pPr>
            <w:r w:rsidRPr="00AD66B1">
              <w:rPr>
                <w:rFonts w:ascii="Arial" w:hAnsi="Arial" w:cs="Arial"/>
                <w:bCs/>
                <w:sz w:val="20"/>
                <w:szCs w:val="20"/>
              </w:rPr>
              <w:t>0,6 – 0,8</w:t>
            </w:r>
          </w:p>
        </w:tc>
        <w:tc>
          <w:tcPr>
            <w:tcW w:w="2693" w:type="dxa"/>
          </w:tcPr>
          <w:p w14:paraId="1E8C9BF8" w14:textId="77777777" w:rsidR="002B2358" w:rsidRPr="00AD66B1" w:rsidRDefault="002B2358" w:rsidP="002B2358">
            <w:pPr>
              <w:spacing w:line="276" w:lineRule="auto"/>
              <w:rPr>
                <w:rFonts w:ascii="Arial" w:hAnsi="Arial" w:cs="Arial"/>
                <w:bCs/>
                <w:spacing w:val="-4"/>
                <w:sz w:val="20"/>
                <w:szCs w:val="20"/>
              </w:rPr>
            </w:pPr>
            <w:r w:rsidRPr="00AD66B1">
              <w:rPr>
                <w:rFonts w:ascii="Arial" w:hAnsi="Arial" w:cs="Arial"/>
                <w:bCs/>
                <w:spacing w:val="-4"/>
                <w:sz w:val="20"/>
                <w:szCs w:val="20"/>
              </w:rPr>
              <w:t>Desenvolvimento Moderado</w:t>
            </w:r>
          </w:p>
        </w:tc>
      </w:tr>
      <w:tr w:rsidR="002B2358" w:rsidRPr="00AD66B1" w14:paraId="410D795A" w14:textId="77777777" w:rsidTr="002B2358">
        <w:tc>
          <w:tcPr>
            <w:tcW w:w="284" w:type="dxa"/>
            <w:shd w:val="clear" w:color="auto" w:fill="95B3D7" w:themeFill="accent1" w:themeFillTint="99"/>
          </w:tcPr>
          <w:p w14:paraId="56B402BD" w14:textId="77777777" w:rsidR="002B2358" w:rsidRPr="00AD66B1" w:rsidRDefault="002B2358" w:rsidP="002B2358">
            <w:pPr>
              <w:spacing w:line="276" w:lineRule="auto"/>
              <w:rPr>
                <w:rFonts w:ascii="Arial" w:hAnsi="Arial" w:cs="Arial"/>
                <w:bCs/>
                <w:sz w:val="20"/>
                <w:szCs w:val="20"/>
              </w:rPr>
            </w:pPr>
          </w:p>
        </w:tc>
        <w:tc>
          <w:tcPr>
            <w:tcW w:w="1129" w:type="dxa"/>
          </w:tcPr>
          <w:p w14:paraId="52D9F855" w14:textId="77777777" w:rsidR="002B2358" w:rsidRPr="00AD66B1" w:rsidRDefault="002B2358" w:rsidP="002B2358">
            <w:pPr>
              <w:spacing w:line="276" w:lineRule="auto"/>
              <w:jc w:val="center"/>
              <w:rPr>
                <w:rFonts w:ascii="Arial" w:hAnsi="Arial" w:cs="Arial"/>
                <w:bCs/>
                <w:sz w:val="20"/>
                <w:szCs w:val="20"/>
              </w:rPr>
            </w:pPr>
            <w:r w:rsidRPr="00AD66B1">
              <w:rPr>
                <w:rFonts w:ascii="Arial" w:hAnsi="Arial" w:cs="Arial"/>
                <w:bCs/>
                <w:sz w:val="20"/>
                <w:szCs w:val="20"/>
              </w:rPr>
              <w:t>0,8 – 1</w:t>
            </w:r>
          </w:p>
        </w:tc>
        <w:tc>
          <w:tcPr>
            <w:tcW w:w="2693" w:type="dxa"/>
          </w:tcPr>
          <w:p w14:paraId="0F18AF65" w14:textId="77777777" w:rsidR="002B2358" w:rsidRPr="00AD66B1" w:rsidRDefault="002B2358" w:rsidP="002B2358">
            <w:pPr>
              <w:spacing w:line="276" w:lineRule="auto"/>
              <w:rPr>
                <w:rFonts w:ascii="Arial" w:hAnsi="Arial" w:cs="Arial"/>
                <w:bCs/>
                <w:sz w:val="20"/>
                <w:szCs w:val="20"/>
              </w:rPr>
            </w:pPr>
            <w:r w:rsidRPr="00AD66B1">
              <w:rPr>
                <w:rFonts w:ascii="Arial" w:hAnsi="Arial" w:cs="Arial"/>
                <w:bCs/>
                <w:sz w:val="20"/>
                <w:szCs w:val="20"/>
              </w:rPr>
              <w:t>Desenvolvimento Alto</w:t>
            </w:r>
          </w:p>
        </w:tc>
      </w:tr>
    </w:tbl>
    <w:p w14:paraId="6B611DED" w14:textId="77777777" w:rsidR="002B2358" w:rsidRPr="00AD66B1" w:rsidRDefault="002B2358" w:rsidP="002B2358">
      <w:pPr>
        <w:spacing w:line="276" w:lineRule="auto"/>
        <w:rPr>
          <w:rFonts w:ascii="Arial" w:hAnsi="Arial" w:cs="Arial"/>
          <w:bCs/>
          <w:sz w:val="20"/>
          <w:szCs w:val="20"/>
        </w:rPr>
      </w:pPr>
      <w:r w:rsidRPr="00AD66B1">
        <w:rPr>
          <w:rFonts w:ascii="Arial" w:hAnsi="Arial" w:cs="Arial"/>
          <w:bCs/>
          <w:sz w:val="20"/>
          <w:szCs w:val="20"/>
        </w:rPr>
        <w:t xml:space="preserve">Legenda: </w:t>
      </w:r>
    </w:p>
    <w:p w14:paraId="1CA3F0DF" w14:textId="3A4B073A" w:rsidR="002B2358" w:rsidRPr="00AD66B1" w:rsidRDefault="002B2358" w:rsidP="002B2358">
      <w:pPr>
        <w:spacing w:line="276" w:lineRule="auto"/>
        <w:rPr>
          <w:rFonts w:ascii="Arial" w:hAnsi="Arial" w:cs="Arial"/>
          <w:bCs/>
          <w:sz w:val="20"/>
          <w:szCs w:val="20"/>
        </w:rPr>
      </w:pPr>
    </w:p>
    <w:p w14:paraId="585C657D" w14:textId="77777777" w:rsidR="002B2358" w:rsidRPr="00AD66B1" w:rsidRDefault="002B2358" w:rsidP="002B2358">
      <w:pPr>
        <w:spacing w:line="276" w:lineRule="auto"/>
        <w:rPr>
          <w:rFonts w:ascii="Arial" w:hAnsi="Arial" w:cs="Arial"/>
          <w:bCs/>
          <w:sz w:val="20"/>
          <w:szCs w:val="20"/>
        </w:rPr>
      </w:pPr>
    </w:p>
    <w:p w14:paraId="6BAE5B60" w14:textId="77777777" w:rsidR="002B2358" w:rsidRPr="00AD66B1" w:rsidRDefault="002B2358" w:rsidP="002B2358">
      <w:pPr>
        <w:spacing w:line="276" w:lineRule="auto"/>
        <w:jc w:val="both"/>
        <w:rPr>
          <w:rFonts w:ascii="Arial" w:hAnsi="Arial" w:cs="Arial"/>
          <w:bCs/>
          <w:sz w:val="20"/>
          <w:szCs w:val="20"/>
        </w:rPr>
      </w:pPr>
    </w:p>
    <w:p w14:paraId="1AF47274" w14:textId="77777777" w:rsidR="002B2358" w:rsidRPr="00AD66B1" w:rsidRDefault="002B2358" w:rsidP="002B2358">
      <w:pPr>
        <w:spacing w:line="276" w:lineRule="auto"/>
        <w:rPr>
          <w:rFonts w:ascii="Arial" w:hAnsi="Arial" w:cs="Arial"/>
          <w:bCs/>
          <w:sz w:val="16"/>
          <w:szCs w:val="16"/>
        </w:rPr>
      </w:pPr>
    </w:p>
    <w:p w14:paraId="2046F408" w14:textId="77777777" w:rsidR="002B2358" w:rsidRDefault="002B2358" w:rsidP="002B2358">
      <w:pPr>
        <w:spacing w:line="276" w:lineRule="auto"/>
        <w:rPr>
          <w:rFonts w:ascii="Arial" w:hAnsi="Arial" w:cs="Arial"/>
          <w:sz w:val="20"/>
          <w:szCs w:val="20"/>
        </w:rPr>
      </w:pPr>
      <w:r w:rsidRPr="00AD66B1">
        <w:rPr>
          <w:rFonts w:ascii="Arial" w:hAnsi="Arial" w:cs="Arial"/>
          <w:bCs/>
          <w:sz w:val="20"/>
          <w:szCs w:val="20"/>
        </w:rPr>
        <w:t xml:space="preserve">Fonte: </w:t>
      </w:r>
      <w:r w:rsidRPr="00AD66B1">
        <w:rPr>
          <w:rFonts w:ascii="Arial" w:hAnsi="Arial" w:cs="Arial"/>
          <w:sz w:val="20"/>
          <w:szCs w:val="20"/>
        </w:rPr>
        <w:t>Elaboração própria com base em dados da FIRJAN, 2025.</w:t>
      </w:r>
    </w:p>
    <w:p w14:paraId="47D928BD" w14:textId="77777777" w:rsidR="00AC5E82" w:rsidRPr="00C96837" w:rsidRDefault="00AC5E82" w:rsidP="00C96837">
      <w:pPr>
        <w:spacing w:line="360" w:lineRule="auto"/>
        <w:rPr>
          <w:rFonts w:ascii="Arial" w:hAnsi="Arial" w:cs="Arial"/>
        </w:rPr>
      </w:pPr>
    </w:p>
    <w:p w14:paraId="3DD37A29" w14:textId="6EEF3CA9" w:rsidR="00D42933" w:rsidRPr="00A71993" w:rsidRDefault="00D42933" w:rsidP="00D42933">
      <w:pPr>
        <w:pStyle w:val="Corpo"/>
        <w:spacing w:after="0" w:line="360" w:lineRule="auto"/>
        <w:ind w:firstLine="851"/>
        <w:jc w:val="both"/>
        <w:rPr>
          <w:rStyle w:val="Nenhum"/>
        </w:rPr>
      </w:pPr>
      <w:r w:rsidRPr="00A71993">
        <w:rPr>
          <w:rStyle w:val="Nenhum"/>
        </w:rPr>
        <w:t xml:space="preserve">O estudo de Postali e </w:t>
      </w:r>
      <w:proofErr w:type="spellStart"/>
      <w:r w:rsidRPr="00A71993">
        <w:rPr>
          <w:rStyle w:val="Nenhum"/>
        </w:rPr>
        <w:t>Nishijima</w:t>
      </w:r>
      <w:proofErr w:type="spellEnd"/>
      <w:r w:rsidRPr="00A71993">
        <w:rPr>
          <w:rStyle w:val="Nenhum"/>
        </w:rPr>
        <w:t xml:space="preserve"> (2011)</w:t>
      </w:r>
      <w:r w:rsidR="00A1313A" w:rsidRPr="00A71993">
        <w:rPr>
          <w:rStyle w:val="Nenhum"/>
        </w:rPr>
        <w:t xml:space="preserve"> corrobora com os resultados mostrados no presente trabalho,</w:t>
      </w:r>
      <w:r w:rsidRPr="00A71993">
        <w:rPr>
          <w:rStyle w:val="Nenhum"/>
        </w:rPr>
        <w:t xml:space="preserve"> mostr</w:t>
      </w:r>
      <w:r w:rsidR="00A1313A" w:rsidRPr="00A71993">
        <w:rPr>
          <w:rStyle w:val="Nenhum"/>
        </w:rPr>
        <w:t>ando</w:t>
      </w:r>
      <w:r w:rsidRPr="00A71993">
        <w:rPr>
          <w:rStyle w:val="Nenhum"/>
        </w:rPr>
        <w:t xml:space="preserve"> que, no período de 2000 a 2007, o alto valor de </w:t>
      </w:r>
      <w:r w:rsidRPr="00A71993">
        <w:rPr>
          <w:rStyle w:val="Nenhum"/>
          <w:i/>
          <w:iCs/>
        </w:rPr>
        <w:t>royalties</w:t>
      </w:r>
      <w:r w:rsidRPr="00A71993">
        <w:rPr>
          <w:rStyle w:val="Nenhum"/>
        </w:rPr>
        <w:t xml:space="preserve"> </w:t>
      </w:r>
      <w:r w:rsidRPr="00A71993">
        <w:rPr>
          <w:rStyle w:val="Nenhum"/>
          <w:i/>
          <w:iCs/>
        </w:rPr>
        <w:t>per capita</w:t>
      </w:r>
      <w:r w:rsidRPr="00A71993">
        <w:rPr>
          <w:rStyle w:val="Nenhum"/>
        </w:rPr>
        <w:t xml:space="preserve"> não influenciou positivamente no IFDM</w:t>
      </w:r>
      <w:r w:rsidR="006308F9" w:rsidRPr="00A71993">
        <w:rPr>
          <w:rStyle w:val="Nenhum"/>
        </w:rPr>
        <w:t xml:space="preserve">. Os autores constataram </w:t>
      </w:r>
      <w:r w:rsidR="006308F9" w:rsidRPr="00A71993">
        <w:rPr>
          <w:rStyle w:val="Nenhum"/>
        </w:rPr>
        <w:lastRenderedPageBreak/>
        <w:t xml:space="preserve">uma relação de dependência quanto ao </w:t>
      </w:r>
      <w:r w:rsidRPr="00A71993">
        <w:rPr>
          <w:rStyle w:val="Nenhum"/>
        </w:rPr>
        <w:t xml:space="preserve">indicador </w:t>
      </w:r>
      <w:r w:rsidRPr="00A71993">
        <w:rPr>
          <w:rStyle w:val="Nenhum"/>
          <w:i/>
          <w:iCs/>
        </w:rPr>
        <w:t>royalties</w:t>
      </w:r>
      <w:r w:rsidRPr="00A71993">
        <w:rPr>
          <w:rStyle w:val="Nenhum"/>
        </w:rPr>
        <w:t xml:space="preserve"> sobre receita corrente municipal, </w:t>
      </w:r>
      <w:r w:rsidR="006308F9" w:rsidRPr="00A71993">
        <w:rPr>
          <w:rStyle w:val="Nenhum"/>
        </w:rPr>
        <w:t>em que</w:t>
      </w:r>
      <w:r w:rsidRPr="00A71993">
        <w:rPr>
          <w:rStyle w:val="Nenhum"/>
        </w:rPr>
        <w:t xml:space="preserve"> municípios mais dependentes de rendas petrolíferas</w:t>
      </w:r>
      <w:r w:rsidR="006308F9" w:rsidRPr="00A71993">
        <w:rPr>
          <w:rStyle w:val="Nenhum"/>
        </w:rPr>
        <w:t xml:space="preserve"> apresentavam </w:t>
      </w:r>
      <w:r w:rsidRPr="00A71993">
        <w:rPr>
          <w:rStyle w:val="Nenhum"/>
        </w:rPr>
        <w:t>IFDM</w:t>
      </w:r>
      <w:r w:rsidR="006308F9" w:rsidRPr="00A71993">
        <w:rPr>
          <w:rStyle w:val="Nenhum"/>
        </w:rPr>
        <w:t xml:space="preserve"> pior </w:t>
      </w:r>
      <w:r w:rsidRPr="00A71993">
        <w:rPr>
          <w:rStyle w:val="Nenhum"/>
        </w:rPr>
        <w:t>em relação à média nacional</w:t>
      </w:r>
      <w:r w:rsidR="006308F9" w:rsidRPr="00A71993">
        <w:rPr>
          <w:rStyle w:val="Nenhum"/>
        </w:rPr>
        <w:t xml:space="preserve">. Ainda, segundo os autores, </w:t>
      </w:r>
      <w:r w:rsidRPr="00A71993">
        <w:rPr>
          <w:rStyle w:val="Nenhum"/>
        </w:rPr>
        <w:t>a bonança de rendas petrolíferas não teve efeito significativo</w:t>
      </w:r>
      <w:r w:rsidR="006308F9" w:rsidRPr="00A71993">
        <w:rPr>
          <w:rStyle w:val="Nenhum"/>
        </w:rPr>
        <w:t xml:space="preserve"> na</w:t>
      </w:r>
      <w:r w:rsidRPr="00A71993">
        <w:rPr>
          <w:rStyle w:val="Nenhum"/>
        </w:rPr>
        <w:t xml:space="preserve"> saúde e educação</w:t>
      </w:r>
      <w:r w:rsidR="006308F9" w:rsidRPr="00A71993">
        <w:rPr>
          <w:rStyle w:val="Nenhum"/>
        </w:rPr>
        <w:t>, sendo pior ainda</w:t>
      </w:r>
      <w:r w:rsidRPr="00A71993">
        <w:rPr>
          <w:rStyle w:val="Nenhum"/>
        </w:rPr>
        <w:t xml:space="preserve"> </w:t>
      </w:r>
      <w:r w:rsidR="006308F9" w:rsidRPr="00A71993">
        <w:rPr>
          <w:rStyle w:val="Nenhum"/>
        </w:rPr>
        <w:t xml:space="preserve">em </w:t>
      </w:r>
      <w:r w:rsidRPr="00A71993">
        <w:rPr>
          <w:rStyle w:val="Nenhum"/>
        </w:rPr>
        <w:t>emprego</w:t>
      </w:r>
      <w:r w:rsidR="006308F9" w:rsidRPr="00A71993">
        <w:rPr>
          <w:rStyle w:val="Nenhum"/>
        </w:rPr>
        <w:t>&amp;</w:t>
      </w:r>
      <w:r w:rsidRPr="00A71993">
        <w:rPr>
          <w:rStyle w:val="Nenhum"/>
        </w:rPr>
        <w:t xml:space="preserve">renda, </w:t>
      </w:r>
      <w:r w:rsidR="006308F9" w:rsidRPr="00A71993">
        <w:rPr>
          <w:rStyle w:val="Nenhum"/>
        </w:rPr>
        <w:t xml:space="preserve">numa relação inversamente proporcional de </w:t>
      </w:r>
      <w:r w:rsidRPr="00A71993">
        <w:rPr>
          <w:rStyle w:val="Nenhum"/>
        </w:rPr>
        <w:t>quanto maior a dependência</w:t>
      </w:r>
      <w:r w:rsidR="006308F9" w:rsidRPr="00A71993">
        <w:rPr>
          <w:rStyle w:val="Nenhum"/>
        </w:rPr>
        <w:t xml:space="preserve"> de rendas petrolíferas</w:t>
      </w:r>
      <w:r w:rsidRPr="00A71993">
        <w:rPr>
          <w:rStyle w:val="Nenhum"/>
        </w:rPr>
        <w:t xml:space="preserve">, menor o IFDM Emprego &amp; Renda. </w:t>
      </w:r>
    </w:p>
    <w:p w14:paraId="23B45B62" w14:textId="5ECA3AB2" w:rsidR="00A1313A" w:rsidRPr="00A71993" w:rsidRDefault="00A1313A" w:rsidP="00A1313A">
      <w:pPr>
        <w:pStyle w:val="Corpo"/>
        <w:spacing w:after="0" w:line="360" w:lineRule="auto"/>
        <w:ind w:firstLine="709"/>
        <w:jc w:val="both"/>
      </w:pPr>
      <w:r w:rsidRPr="00A71993">
        <w:rPr>
          <w:rStyle w:val="Nenhum"/>
        </w:rPr>
        <w:t xml:space="preserve">De forma similar, Caçador e Monte (2013) não encontraram resultados significativos em emprego&amp;renda, um efeito muito baixo na saúde e somente efeito positivo na educação nos municípios petrorrentistas capixabas. Assim, os autores concluíram que não ocorreu melhoria dos indicadores de desenvolvimento dos municípios capixabas proporcionada pelo recebimento de </w:t>
      </w:r>
      <w:r w:rsidRPr="00A71993">
        <w:rPr>
          <w:rStyle w:val="Nenhum"/>
          <w:i/>
          <w:iCs/>
        </w:rPr>
        <w:t>royalti</w:t>
      </w:r>
      <w:r w:rsidRPr="00A71993">
        <w:rPr>
          <w:rStyle w:val="Nenhum"/>
        </w:rPr>
        <w:t xml:space="preserve">es, principalmente em relação aos municípios </w:t>
      </w:r>
      <w:r w:rsidR="006F6272" w:rsidRPr="00A71993">
        <w:rPr>
          <w:rStyle w:val="Nenhum"/>
        </w:rPr>
        <w:t>capixabas não</w:t>
      </w:r>
      <w:r w:rsidRPr="00A71993">
        <w:rPr>
          <w:rStyle w:val="Nenhum"/>
        </w:rPr>
        <w:t xml:space="preserve"> petrorrentistas.</w:t>
      </w:r>
    </w:p>
    <w:p w14:paraId="24870DB6" w14:textId="77777777" w:rsidR="00A1313A" w:rsidRPr="00A71993" w:rsidRDefault="00A1313A" w:rsidP="00C96837">
      <w:pPr>
        <w:pStyle w:val="Corpo"/>
        <w:spacing w:after="0" w:line="360" w:lineRule="auto"/>
        <w:ind w:firstLine="851"/>
        <w:jc w:val="both"/>
      </w:pPr>
    </w:p>
    <w:p w14:paraId="0F3AAD09" w14:textId="29D87A29" w:rsidR="006F6272" w:rsidRPr="00A71993" w:rsidRDefault="006F6272" w:rsidP="008C4A3C">
      <w:pPr>
        <w:pStyle w:val="Corpo"/>
        <w:spacing w:after="0" w:line="240" w:lineRule="auto"/>
        <w:ind w:left="709" w:hanging="709"/>
        <w:rPr>
          <w:rStyle w:val="Nenhum"/>
        </w:rPr>
      </w:pPr>
      <w:r w:rsidRPr="00A71993">
        <w:rPr>
          <w:rStyle w:val="Nenhum"/>
        </w:rPr>
        <w:t>3.2.2 IDSC</w:t>
      </w:r>
    </w:p>
    <w:p w14:paraId="6F13DA14" w14:textId="77777777" w:rsidR="00DC4344" w:rsidRPr="00A71993" w:rsidRDefault="00DC4344" w:rsidP="00C96837">
      <w:pPr>
        <w:pStyle w:val="Corpo"/>
        <w:spacing w:after="0" w:line="360" w:lineRule="auto"/>
        <w:ind w:left="851" w:hanging="851"/>
        <w:rPr>
          <w:rStyle w:val="Nenhum"/>
        </w:rPr>
      </w:pPr>
    </w:p>
    <w:p w14:paraId="092F97F8" w14:textId="2F4EADE6" w:rsidR="00DC4344" w:rsidRPr="00A71993" w:rsidRDefault="00DC4344" w:rsidP="008C4A3C">
      <w:pPr>
        <w:pStyle w:val="Corpo"/>
        <w:spacing w:after="0" w:line="360" w:lineRule="auto"/>
        <w:ind w:firstLine="851"/>
        <w:jc w:val="both"/>
        <w:rPr>
          <w:rStyle w:val="Nenhum"/>
        </w:rPr>
      </w:pPr>
      <w:r w:rsidRPr="00A71993">
        <w:rPr>
          <w:rStyle w:val="Nenhum"/>
        </w:rPr>
        <w:t xml:space="preserve">Em relação ao desenvolvimento sustentável e cumprimento dos objetivos de desenvolvimento sustentável (ODS), pelos resultados </w:t>
      </w:r>
      <w:r w:rsidR="00C96837">
        <w:rPr>
          <w:rStyle w:val="Nenhum"/>
        </w:rPr>
        <w:t>obtidos</w:t>
      </w:r>
      <w:r w:rsidRPr="00A71993">
        <w:rPr>
          <w:rStyle w:val="Nenhum"/>
        </w:rPr>
        <w:t xml:space="preserve">, </w:t>
      </w:r>
      <w:r w:rsidR="00C96837">
        <w:rPr>
          <w:rStyle w:val="Nenhum"/>
        </w:rPr>
        <w:t>pôde-se perceber</w:t>
      </w:r>
      <w:r w:rsidRPr="00A71993">
        <w:rPr>
          <w:rStyle w:val="Nenhum"/>
        </w:rPr>
        <w:t xml:space="preserve"> que nenhum dos três municípios apresentou desenvolvimento sustentável considerado alto ou muito alto. Ou seja, pelo IDSC, não foi possível notar a riqueza das rendas petrolíferas sendo traduzida no cumprimento dos ODS, trazendo efeitos positivos significativos nos municípios petrorrentistas.</w:t>
      </w:r>
    </w:p>
    <w:p w14:paraId="15E9B016" w14:textId="048DA1F4" w:rsidR="0009155A" w:rsidRPr="00A71993" w:rsidRDefault="0009155A" w:rsidP="0009155A">
      <w:pPr>
        <w:pStyle w:val="Corpo"/>
        <w:spacing w:after="0" w:line="360" w:lineRule="auto"/>
        <w:ind w:firstLine="851"/>
        <w:jc w:val="both"/>
      </w:pPr>
      <w:r w:rsidRPr="00A71993">
        <w:rPr>
          <w:rStyle w:val="Nenhum"/>
        </w:rPr>
        <w:t xml:space="preserve">Abordando separadamente, Itapemirim piorou seu IDSC em relação a 2015, passando de médio para baixo desenvolvimento sustentável a partir de 2022, com pior resultado apresentado em 2024 (IDSC = 46,05). Já Marataízes, apesar de ter se mantido todo o período no nível médio de desenvolvimento sustentável, apresentou ligeira melhora no indicador, passando de IDSC = 53,10 para IDSC = 56,81. Presidente Kennedy foi o único que ascendeu de nível de desenvolvimento sustentável, passando do nível baixo de 2015 a 2024 para o nível médio em 2025. Portanto, juntando às demais informações socioeconômicas encontradas, o IDSC mostra a não utilização efetiva das rendas petrolíferas na busca por atingir </w:t>
      </w:r>
      <w:r w:rsidR="001A14A7" w:rsidRPr="00A71993">
        <w:rPr>
          <w:rStyle w:val="Nenhum"/>
        </w:rPr>
        <w:t>as metas dos</w:t>
      </w:r>
      <w:r w:rsidRPr="00A71993">
        <w:rPr>
          <w:rStyle w:val="Nenhum"/>
        </w:rPr>
        <w:t xml:space="preserve"> 17 ODS, dentre os quais consta a erradicação da pobreza, educação de qualidade, saneamento, trabalho decente e crescimento econômico</w:t>
      </w:r>
      <w:r w:rsidR="00E450C5" w:rsidRPr="00A71993">
        <w:rPr>
          <w:rStyle w:val="Nenhum"/>
        </w:rPr>
        <w:t xml:space="preserve"> e cidades sustentáveis.</w:t>
      </w:r>
      <w:r w:rsidR="00C96837">
        <w:rPr>
          <w:rStyle w:val="Nenhum"/>
        </w:rPr>
        <w:t xml:space="preserve">  O</w:t>
      </w:r>
      <w:r w:rsidR="00C96837" w:rsidRPr="00A71993">
        <w:rPr>
          <w:rStyle w:val="Nenhum"/>
        </w:rPr>
        <w:t xml:space="preserve"> GRAF. 7</w:t>
      </w:r>
      <w:r w:rsidR="00C96837">
        <w:rPr>
          <w:rStyle w:val="Nenhum"/>
        </w:rPr>
        <w:t xml:space="preserve"> ilustra os resultados encontrados e sua evolução.</w:t>
      </w:r>
    </w:p>
    <w:p w14:paraId="178F3037" w14:textId="77777777" w:rsidR="00A71993" w:rsidRDefault="00A71993" w:rsidP="00994CFA">
      <w:pPr>
        <w:spacing w:line="276" w:lineRule="auto"/>
        <w:jc w:val="center"/>
        <w:rPr>
          <w:rFonts w:ascii="Arial" w:hAnsi="Arial" w:cs="Arial"/>
          <w:sz w:val="20"/>
          <w:szCs w:val="20"/>
        </w:rPr>
      </w:pPr>
    </w:p>
    <w:p w14:paraId="1E8B89A3" w14:textId="4E5E6D2D" w:rsidR="00994CFA" w:rsidRPr="00AD66B1" w:rsidRDefault="00994CFA" w:rsidP="000D25FB">
      <w:pPr>
        <w:jc w:val="center"/>
        <w:rPr>
          <w:rFonts w:ascii="Arial" w:hAnsi="Arial" w:cs="Arial"/>
          <w:sz w:val="20"/>
          <w:szCs w:val="20"/>
        </w:rPr>
      </w:pPr>
      <w:r w:rsidRPr="00AD66B1">
        <w:rPr>
          <w:rFonts w:ascii="Arial" w:hAnsi="Arial" w:cs="Arial"/>
          <w:sz w:val="20"/>
          <w:szCs w:val="20"/>
        </w:rPr>
        <w:lastRenderedPageBreak/>
        <w:t xml:space="preserve">Gráfico </w:t>
      </w:r>
      <w:r w:rsidR="000007C5" w:rsidRPr="00AD66B1">
        <w:rPr>
          <w:rFonts w:ascii="Arial" w:hAnsi="Arial" w:cs="Arial"/>
          <w:sz w:val="20"/>
          <w:szCs w:val="20"/>
        </w:rPr>
        <w:t>7</w:t>
      </w:r>
      <w:r w:rsidRPr="00AD66B1">
        <w:rPr>
          <w:rFonts w:ascii="Arial" w:hAnsi="Arial" w:cs="Arial"/>
          <w:sz w:val="20"/>
          <w:szCs w:val="20"/>
        </w:rPr>
        <w:t xml:space="preserve"> – I</w:t>
      </w:r>
      <w:r w:rsidR="00933A7D" w:rsidRPr="00AD66B1">
        <w:rPr>
          <w:rFonts w:ascii="Arial" w:hAnsi="Arial" w:cs="Arial"/>
          <w:sz w:val="20"/>
          <w:szCs w:val="20"/>
        </w:rPr>
        <w:t>DSC</w:t>
      </w:r>
      <w:r w:rsidRPr="00AD66B1">
        <w:rPr>
          <w:rFonts w:ascii="Arial" w:hAnsi="Arial" w:cs="Arial"/>
          <w:sz w:val="20"/>
          <w:szCs w:val="20"/>
        </w:rPr>
        <w:t xml:space="preserve"> 20</w:t>
      </w:r>
      <w:r w:rsidR="00933A7D" w:rsidRPr="00AD66B1">
        <w:rPr>
          <w:rFonts w:ascii="Arial" w:hAnsi="Arial" w:cs="Arial"/>
          <w:sz w:val="20"/>
          <w:szCs w:val="20"/>
        </w:rPr>
        <w:t>15</w:t>
      </w:r>
      <w:r w:rsidRPr="00AD66B1">
        <w:rPr>
          <w:rFonts w:ascii="Arial" w:hAnsi="Arial" w:cs="Arial"/>
          <w:sz w:val="20"/>
          <w:szCs w:val="20"/>
        </w:rPr>
        <w:t>-20</w:t>
      </w:r>
      <w:r w:rsidR="00933A7D" w:rsidRPr="00AD66B1">
        <w:rPr>
          <w:rFonts w:ascii="Arial" w:hAnsi="Arial" w:cs="Arial"/>
          <w:sz w:val="20"/>
          <w:szCs w:val="20"/>
        </w:rPr>
        <w:t>25</w:t>
      </w:r>
    </w:p>
    <w:p w14:paraId="6A2BECBB" w14:textId="78C11809" w:rsidR="00994CFA" w:rsidRPr="00AD66B1" w:rsidRDefault="00933A7D" w:rsidP="009F63F5">
      <w:pPr>
        <w:spacing w:line="276" w:lineRule="auto"/>
        <w:jc w:val="both"/>
        <w:rPr>
          <w:rFonts w:ascii="Arial" w:hAnsi="Arial" w:cs="Arial"/>
          <w:sz w:val="20"/>
          <w:szCs w:val="20"/>
        </w:rPr>
      </w:pPr>
      <w:r w:rsidRPr="00AD66B1">
        <w:rPr>
          <w:rFonts w:ascii="Arial" w:hAnsi="Arial" w:cs="Arial"/>
          <w:noProof/>
          <w:sz w:val="20"/>
          <w:szCs w:val="20"/>
        </w:rPr>
        <w:drawing>
          <wp:inline distT="0" distB="0" distL="0" distR="0" wp14:anchorId="2A810F80" wp14:editId="15AFFFB6">
            <wp:extent cx="5710699" cy="3562985"/>
            <wp:effectExtent l="19050" t="19050" r="23495" b="18415"/>
            <wp:docPr id="1541894841" name="Imagem 4" descr="Uma imagem contendo 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94841" name="Imagem 4" descr="Uma imagem contendo Gráfico&#10;&#10;O conteúdo gerado por IA pode estar incorreto."/>
                    <pic:cNvPicPr/>
                  </pic:nvPicPr>
                  <pic:blipFill>
                    <a:blip r:embed="rId14">
                      <a:extLst>
                        <a:ext uri="{28A0092B-C50C-407E-A947-70E740481C1C}">
                          <a14:useLocalDpi xmlns:a14="http://schemas.microsoft.com/office/drawing/2010/main" val="0"/>
                        </a:ext>
                      </a:extLst>
                    </a:blip>
                    <a:stretch>
                      <a:fillRect/>
                    </a:stretch>
                  </pic:blipFill>
                  <pic:spPr>
                    <a:xfrm>
                      <a:off x="0" y="0"/>
                      <a:ext cx="5718000" cy="3567540"/>
                    </a:xfrm>
                    <a:prstGeom prst="rect">
                      <a:avLst/>
                    </a:prstGeom>
                    <a:ln>
                      <a:solidFill>
                        <a:schemeClr val="tx1"/>
                      </a:solidFill>
                    </a:ln>
                  </pic:spPr>
                </pic:pic>
              </a:graphicData>
            </a:graphic>
          </wp:inline>
        </w:drawing>
      </w:r>
    </w:p>
    <w:tbl>
      <w:tblPr>
        <w:tblStyle w:val="Tabelacomgrade"/>
        <w:tblpPr w:leftFromText="141" w:rightFromText="141" w:vertAnchor="text" w:horzAnchor="page" w:tblpX="2776" w:tblpY="49"/>
        <w:tblW w:w="0" w:type="auto"/>
        <w:tblLook w:val="04A0" w:firstRow="1" w:lastRow="0" w:firstColumn="1" w:lastColumn="0" w:noHBand="0" w:noVBand="1"/>
      </w:tblPr>
      <w:tblGrid>
        <w:gridCol w:w="284"/>
        <w:gridCol w:w="1271"/>
        <w:gridCol w:w="4252"/>
      </w:tblGrid>
      <w:tr w:rsidR="00994CFA" w:rsidRPr="00AD66B1" w14:paraId="0D44200A" w14:textId="77777777" w:rsidTr="00933A7D">
        <w:tc>
          <w:tcPr>
            <w:tcW w:w="284" w:type="dxa"/>
            <w:shd w:val="clear" w:color="auto" w:fill="E5B8B7" w:themeFill="accent2" w:themeFillTint="66"/>
          </w:tcPr>
          <w:p w14:paraId="3225BCD1" w14:textId="77777777" w:rsidR="00994CFA" w:rsidRPr="00AD66B1" w:rsidRDefault="00994CFA" w:rsidP="007951A4">
            <w:pPr>
              <w:spacing w:line="276" w:lineRule="auto"/>
              <w:rPr>
                <w:rFonts w:ascii="Arial" w:hAnsi="Arial" w:cs="Arial"/>
                <w:bCs/>
                <w:sz w:val="20"/>
                <w:szCs w:val="20"/>
              </w:rPr>
            </w:pPr>
          </w:p>
        </w:tc>
        <w:tc>
          <w:tcPr>
            <w:tcW w:w="1271" w:type="dxa"/>
          </w:tcPr>
          <w:p w14:paraId="6CC97391" w14:textId="57871105" w:rsidR="00994CFA" w:rsidRPr="00AD66B1" w:rsidRDefault="00994CFA" w:rsidP="007951A4">
            <w:pPr>
              <w:spacing w:line="276" w:lineRule="auto"/>
              <w:jc w:val="center"/>
              <w:rPr>
                <w:rFonts w:ascii="Arial" w:hAnsi="Arial" w:cs="Arial"/>
                <w:bCs/>
                <w:sz w:val="20"/>
                <w:szCs w:val="20"/>
              </w:rPr>
            </w:pPr>
            <w:r w:rsidRPr="00AD66B1">
              <w:rPr>
                <w:rFonts w:ascii="Arial" w:hAnsi="Arial" w:cs="Arial"/>
                <w:bCs/>
                <w:sz w:val="20"/>
                <w:szCs w:val="20"/>
              </w:rPr>
              <w:t xml:space="preserve">0 – </w:t>
            </w:r>
            <w:r w:rsidR="00933A7D" w:rsidRPr="00AD66B1">
              <w:rPr>
                <w:rFonts w:ascii="Arial" w:hAnsi="Arial" w:cs="Arial"/>
                <w:bCs/>
                <w:sz w:val="20"/>
                <w:szCs w:val="20"/>
              </w:rPr>
              <w:t>39</w:t>
            </w:r>
            <w:r w:rsidRPr="00AD66B1">
              <w:rPr>
                <w:rFonts w:ascii="Arial" w:hAnsi="Arial" w:cs="Arial"/>
                <w:bCs/>
                <w:sz w:val="20"/>
                <w:szCs w:val="20"/>
              </w:rPr>
              <w:t>,</w:t>
            </w:r>
            <w:r w:rsidR="00933A7D" w:rsidRPr="00AD66B1">
              <w:rPr>
                <w:rFonts w:ascii="Arial" w:hAnsi="Arial" w:cs="Arial"/>
                <w:bCs/>
                <w:sz w:val="20"/>
                <w:szCs w:val="20"/>
              </w:rPr>
              <w:t>99</w:t>
            </w:r>
          </w:p>
        </w:tc>
        <w:tc>
          <w:tcPr>
            <w:tcW w:w="4252" w:type="dxa"/>
          </w:tcPr>
          <w:p w14:paraId="0763731F" w14:textId="19F1D8B6" w:rsidR="00994CFA" w:rsidRPr="00AD66B1" w:rsidRDefault="00994CFA" w:rsidP="007951A4">
            <w:pPr>
              <w:spacing w:line="276" w:lineRule="auto"/>
              <w:rPr>
                <w:rFonts w:ascii="Arial" w:hAnsi="Arial" w:cs="Arial"/>
                <w:bCs/>
                <w:sz w:val="20"/>
                <w:szCs w:val="20"/>
              </w:rPr>
            </w:pPr>
            <w:r w:rsidRPr="00AD66B1">
              <w:rPr>
                <w:rFonts w:ascii="Arial" w:hAnsi="Arial" w:cs="Arial"/>
                <w:bCs/>
                <w:sz w:val="20"/>
                <w:szCs w:val="20"/>
              </w:rPr>
              <w:t xml:space="preserve">Desenvolvimento </w:t>
            </w:r>
            <w:r w:rsidR="00933A7D" w:rsidRPr="00AD66B1">
              <w:rPr>
                <w:rFonts w:ascii="Arial" w:hAnsi="Arial" w:cs="Arial"/>
                <w:bCs/>
                <w:sz w:val="20"/>
                <w:szCs w:val="20"/>
              </w:rPr>
              <w:t>Sustentável Muito Baixo</w:t>
            </w:r>
          </w:p>
        </w:tc>
      </w:tr>
      <w:tr w:rsidR="003B7BEE" w:rsidRPr="00AD66B1" w14:paraId="065AA07A" w14:textId="77777777" w:rsidTr="003B7BEE">
        <w:tc>
          <w:tcPr>
            <w:tcW w:w="284" w:type="dxa"/>
            <w:shd w:val="clear" w:color="auto" w:fill="FFDB93"/>
          </w:tcPr>
          <w:p w14:paraId="098DE6D1" w14:textId="77777777" w:rsidR="00933A7D" w:rsidRPr="00AD66B1" w:rsidRDefault="00933A7D" w:rsidP="00933A7D">
            <w:pPr>
              <w:spacing w:line="276" w:lineRule="auto"/>
              <w:rPr>
                <w:rFonts w:ascii="Arial" w:hAnsi="Arial" w:cs="Arial"/>
                <w:bCs/>
                <w:sz w:val="20"/>
                <w:szCs w:val="20"/>
              </w:rPr>
            </w:pPr>
          </w:p>
        </w:tc>
        <w:tc>
          <w:tcPr>
            <w:tcW w:w="1271" w:type="dxa"/>
          </w:tcPr>
          <w:p w14:paraId="23DCA8D5" w14:textId="78E21325" w:rsidR="00933A7D" w:rsidRPr="00AD66B1" w:rsidRDefault="00933A7D" w:rsidP="00933A7D">
            <w:pPr>
              <w:spacing w:line="276" w:lineRule="auto"/>
              <w:jc w:val="center"/>
              <w:rPr>
                <w:rFonts w:ascii="Arial" w:hAnsi="Arial" w:cs="Arial"/>
                <w:bCs/>
                <w:sz w:val="20"/>
                <w:szCs w:val="20"/>
              </w:rPr>
            </w:pPr>
            <w:r w:rsidRPr="00AD66B1">
              <w:rPr>
                <w:rFonts w:ascii="Arial" w:hAnsi="Arial" w:cs="Arial"/>
                <w:bCs/>
                <w:sz w:val="20"/>
                <w:szCs w:val="20"/>
              </w:rPr>
              <w:t>40 – 49,99</w:t>
            </w:r>
          </w:p>
        </w:tc>
        <w:tc>
          <w:tcPr>
            <w:tcW w:w="4252" w:type="dxa"/>
          </w:tcPr>
          <w:p w14:paraId="6345C31A" w14:textId="30D5CB1E" w:rsidR="00933A7D" w:rsidRPr="00AD66B1" w:rsidRDefault="00933A7D" w:rsidP="00933A7D">
            <w:pPr>
              <w:spacing w:line="276" w:lineRule="auto"/>
              <w:rPr>
                <w:rFonts w:ascii="Arial" w:hAnsi="Arial" w:cs="Arial"/>
                <w:bCs/>
                <w:sz w:val="20"/>
                <w:szCs w:val="20"/>
              </w:rPr>
            </w:pPr>
            <w:r w:rsidRPr="00AD66B1">
              <w:rPr>
                <w:rFonts w:ascii="Arial" w:hAnsi="Arial" w:cs="Arial"/>
                <w:bCs/>
                <w:sz w:val="20"/>
                <w:szCs w:val="20"/>
              </w:rPr>
              <w:t>Desenvolvimento Sustentável Baixo</w:t>
            </w:r>
          </w:p>
        </w:tc>
      </w:tr>
      <w:tr w:rsidR="00933A7D" w:rsidRPr="00AD66B1" w14:paraId="6FCAE92D" w14:textId="77777777" w:rsidTr="00E61CE7">
        <w:tc>
          <w:tcPr>
            <w:tcW w:w="284" w:type="dxa"/>
            <w:shd w:val="clear" w:color="auto" w:fill="FFE4C9"/>
          </w:tcPr>
          <w:p w14:paraId="2356ED43" w14:textId="77777777" w:rsidR="00933A7D" w:rsidRPr="00AD66B1" w:rsidRDefault="00933A7D" w:rsidP="00933A7D">
            <w:pPr>
              <w:spacing w:line="276" w:lineRule="auto"/>
              <w:rPr>
                <w:rFonts w:ascii="Arial" w:hAnsi="Arial" w:cs="Arial"/>
                <w:bCs/>
                <w:sz w:val="20"/>
                <w:szCs w:val="20"/>
              </w:rPr>
            </w:pPr>
          </w:p>
        </w:tc>
        <w:tc>
          <w:tcPr>
            <w:tcW w:w="1271" w:type="dxa"/>
          </w:tcPr>
          <w:p w14:paraId="58D8DF95" w14:textId="4E99A15B" w:rsidR="00933A7D" w:rsidRPr="00AD66B1" w:rsidRDefault="00933A7D" w:rsidP="00933A7D">
            <w:pPr>
              <w:spacing w:line="276" w:lineRule="auto"/>
              <w:jc w:val="center"/>
              <w:rPr>
                <w:rFonts w:ascii="Arial" w:hAnsi="Arial" w:cs="Arial"/>
                <w:bCs/>
                <w:sz w:val="20"/>
                <w:szCs w:val="20"/>
              </w:rPr>
            </w:pPr>
            <w:r w:rsidRPr="00AD66B1">
              <w:rPr>
                <w:rFonts w:ascii="Arial" w:hAnsi="Arial" w:cs="Arial"/>
                <w:bCs/>
                <w:sz w:val="20"/>
                <w:szCs w:val="20"/>
              </w:rPr>
              <w:t>50 – 59,99</w:t>
            </w:r>
          </w:p>
        </w:tc>
        <w:tc>
          <w:tcPr>
            <w:tcW w:w="4252" w:type="dxa"/>
          </w:tcPr>
          <w:p w14:paraId="13063278" w14:textId="41267534" w:rsidR="00933A7D" w:rsidRPr="00AD66B1" w:rsidRDefault="00933A7D" w:rsidP="00933A7D">
            <w:pPr>
              <w:spacing w:line="276" w:lineRule="auto"/>
              <w:rPr>
                <w:rFonts w:ascii="Arial" w:hAnsi="Arial" w:cs="Arial"/>
                <w:bCs/>
                <w:sz w:val="20"/>
                <w:szCs w:val="20"/>
              </w:rPr>
            </w:pPr>
            <w:r w:rsidRPr="00AD66B1">
              <w:rPr>
                <w:rFonts w:ascii="Arial" w:hAnsi="Arial" w:cs="Arial"/>
                <w:bCs/>
                <w:sz w:val="20"/>
                <w:szCs w:val="20"/>
              </w:rPr>
              <w:t>Desenvolvimento Sustentável Médio</w:t>
            </w:r>
          </w:p>
        </w:tc>
      </w:tr>
      <w:tr w:rsidR="00933A7D" w:rsidRPr="00AD66B1" w14:paraId="0DD2C97B" w14:textId="77777777" w:rsidTr="00933A7D">
        <w:tc>
          <w:tcPr>
            <w:tcW w:w="284" w:type="dxa"/>
            <w:shd w:val="clear" w:color="auto" w:fill="95B3D7" w:themeFill="accent1" w:themeFillTint="99"/>
          </w:tcPr>
          <w:p w14:paraId="5DCB2E9A" w14:textId="77777777" w:rsidR="00933A7D" w:rsidRPr="00AD66B1" w:rsidRDefault="00933A7D" w:rsidP="00933A7D">
            <w:pPr>
              <w:spacing w:line="276" w:lineRule="auto"/>
              <w:rPr>
                <w:rFonts w:ascii="Arial" w:hAnsi="Arial" w:cs="Arial"/>
                <w:bCs/>
                <w:sz w:val="20"/>
                <w:szCs w:val="20"/>
              </w:rPr>
            </w:pPr>
          </w:p>
        </w:tc>
        <w:tc>
          <w:tcPr>
            <w:tcW w:w="1271" w:type="dxa"/>
          </w:tcPr>
          <w:p w14:paraId="56C7B252" w14:textId="5F577244" w:rsidR="00933A7D" w:rsidRPr="00AD66B1" w:rsidRDefault="00933A7D" w:rsidP="00933A7D">
            <w:pPr>
              <w:spacing w:line="276" w:lineRule="auto"/>
              <w:jc w:val="center"/>
              <w:rPr>
                <w:rFonts w:ascii="Arial" w:hAnsi="Arial" w:cs="Arial"/>
                <w:bCs/>
                <w:sz w:val="20"/>
                <w:szCs w:val="20"/>
              </w:rPr>
            </w:pPr>
            <w:r w:rsidRPr="00AD66B1">
              <w:rPr>
                <w:rFonts w:ascii="Arial" w:hAnsi="Arial" w:cs="Arial"/>
                <w:bCs/>
                <w:sz w:val="20"/>
                <w:szCs w:val="20"/>
              </w:rPr>
              <w:t>60 – 79,99</w:t>
            </w:r>
          </w:p>
        </w:tc>
        <w:tc>
          <w:tcPr>
            <w:tcW w:w="4252" w:type="dxa"/>
          </w:tcPr>
          <w:p w14:paraId="4610CE9A" w14:textId="6BFAF458" w:rsidR="00933A7D" w:rsidRPr="00AD66B1" w:rsidRDefault="00933A7D" w:rsidP="00933A7D">
            <w:pPr>
              <w:spacing w:line="276" w:lineRule="auto"/>
              <w:rPr>
                <w:rFonts w:ascii="Arial" w:hAnsi="Arial" w:cs="Arial"/>
                <w:bCs/>
                <w:spacing w:val="-4"/>
                <w:sz w:val="20"/>
                <w:szCs w:val="20"/>
              </w:rPr>
            </w:pPr>
            <w:r w:rsidRPr="00AD66B1">
              <w:rPr>
                <w:rFonts w:ascii="Arial" w:hAnsi="Arial" w:cs="Arial"/>
                <w:bCs/>
                <w:sz w:val="20"/>
                <w:szCs w:val="20"/>
              </w:rPr>
              <w:t>Desenvolvimento Sustentável Alto</w:t>
            </w:r>
          </w:p>
        </w:tc>
      </w:tr>
      <w:tr w:rsidR="00933A7D" w:rsidRPr="00AD66B1" w14:paraId="638BF4D6" w14:textId="77777777" w:rsidTr="00933A7D">
        <w:tc>
          <w:tcPr>
            <w:tcW w:w="284" w:type="dxa"/>
            <w:shd w:val="clear" w:color="auto" w:fill="66FF99"/>
          </w:tcPr>
          <w:p w14:paraId="6A883DDC" w14:textId="77777777" w:rsidR="00933A7D" w:rsidRPr="00AD66B1" w:rsidRDefault="00933A7D" w:rsidP="00933A7D">
            <w:pPr>
              <w:spacing w:line="276" w:lineRule="auto"/>
              <w:rPr>
                <w:rFonts w:ascii="Arial" w:hAnsi="Arial" w:cs="Arial"/>
                <w:bCs/>
                <w:sz w:val="20"/>
                <w:szCs w:val="20"/>
              </w:rPr>
            </w:pPr>
          </w:p>
        </w:tc>
        <w:tc>
          <w:tcPr>
            <w:tcW w:w="1271" w:type="dxa"/>
          </w:tcPr>
          <w:p w14:paraId="07BA1A62" w14:textId="7F5B617A" w:rsidR="00933A7D" w:rsidRPr="00AD66B1" w:rsidRDefault="00933A7D" w:rsidP="00933A7D">
            <w:pPr>
              <w:spacing w:line="276" w:lineRule="auto"/>
              <w:jc w:val="center"/>
              <w:rPr>
                <w:rFonts w:ascii="Arial" w:hAnsi="Arial" w:cs="Arial"/>
                <w:bCs/>
                <w:sz w:val="20"/>
                <w:szCs w:val="20"/>
              </w:rPr>
            </w:pPr>
            <w:r w:rsidRPr="00AD66B1">
              <w:rPr>
                <w:rFonts w:ascii="Arial" w:hAnsi="Arial" w:cs="Arial"/>
                <w:bCs/>
                <w:sz w:val="20"/>
                <w:szCs w:val="20"/>
              </w:rPr>
              <w:t>80 – 100</w:t>
            </w:r>
          </w:p>
        </w:tc>
        <w:tc>
          <w:tcPr>
            <w:tcW w:w="4252" w:type="dxa"/>
          </w:tcPr>
          <w:p w14:paraId="0992E5F1" w14:textId="207630FE" w:rsidR="00933A7D" w:rsidRPr="00AD66B1" w:rsidRDefault="00933A7D" w:rsidP="00933A7D">
            <w:pPr>
              <w:spacing w:line="276" w:lineRule="auto"/>
              <w:rPr>
                <w:rFonts w:ascii="Arial" w:hAnsi="Arial" w:cs="Arial"/>
                <w:bCs/>
                <w:sz w:val="20"/>
                <w:szCs w:val="20"/>
              </w:rPr>
            </w:pPr>
            <w:r w:rsidRPr="00AD66B1">
              <w:rPr>
                <w:rFonts w:ascii="Arial" w:hAnsi="Arial" w:cs="Arial"/>
                <w:bCs/>
                <w:sz w:val="20"/>
                <w:szCs w:val="20"/>
              </w:rPr>
              <w:t>Desenvolvimento Sustentável Muito Alto</w:t>
            </w:r>
          </w:p>
        </w:tc>
      </w:tr>
    </w:tbl>
    <w:p w14:paraId="0B3CAEFB" w14:textId="77777777" w:rsidR="00994CFA" w:rsidRPr="00AD66B1" w:rsidRDefault="00994CFA" w:rsidP="000D25FB">
      <w:pPr>
        <w:rPr>
          <w:rFonts w:ascii="Arial" w:hAnsi="Arial" w:cs="Arial"/>
          <w:bCs/>
          <w:sz w:val="20"/>
          <w:szCs w:val="20"/>
        </w:rPr>
      </w:pPr>
      <w:r w:rsidRPr="00AD66B1">
        <w:rPr>
          <w:rFonts w:ascii="Arial" w:hAnsi="Arial" w:cs="Arial"/>
          <w:bCs/>
          <w:sz w:val="20"/>
          <w:szCs w:val="20"/>
        </w:rPr>
        <w:t xml:space="preserve">Legenda: </w:t>
      </w:r>
    </w:p>
    <w:p w14:paraId="3211829D" w14:textId="77777777" w:rsidR="00994CFA" w:rsidRPr="00AD66B1" w:rsidRDefault="00994CFA" w:rsidP="000D25FB">
      <w:pPr>
        <w:rPr>
          <w:rFonts w:ascii="Arial" w:hAnsi="Arial" w:cs="Arial"/>
          <w:bCs/>
          <w:sz w:val="20"/>
          <w:szCs w:val="20"/>
        </w:rPr>
      </w:pPr>
    </w:p>
    <w:p w14:paraId="64CC9A0C" w14:textId="77777777" w:rsidR="00994CFA" w:rsidRPr="00AD66B1" w:rsidRDefault="00994CFA" w:rsidP="000D25FB">
      <w:pPr>
        <w:rPr>
          <w:rFonts w:ascii="Arial" w:hAnsi="Arial" w:cs="Arial"/>
          <w:bCs/>
          <w:sz w:val="20"/>
          <w:szCs w:val="20"/>
        </w:rPr>
      </w:pPr>
    </w:p>
    <w:p w14:paraId="183EB679" w14:textId="77777777" w:rsidR="00994CFA" w:rsidRPr="00AD66B1" w:rsidRDefault="00994CFA" w:rsidP="000D25FB">
      <w:pPr>
        <w:jc w:val="both"/>
        <w:rPr>
          <w:rFonts w:ascii="Arial" w:hAnsi="Arial" w:cs="Arial"/>
          <w:bCs/>
          <w:sz w:val="20"/>
          <w:szCs w:val="20"/>
        </w:rPr>
      </w:pPr>
    </w:p>
    <w:p w14:paraId="38EAF9F4" w14:textId="77777777" w:rsidR="00994CFA" w:rsidRPr="00AD66B1" w:rsidRDefault="00994CFA" w:rsidP="000D25FB">
      <w:pPr>
        <w:rPr>
          <w:rFonts w:ascii="Arial" w:hAnsi="Arial" w:cs="Arial"/>
          <w:bCs/>
          <w:sz w:val="20"/>
          <w:szCs w:val="20"/>
        </w:rPr>
      </w:pPr>
    </w:p>
    <w:p w14:paraId="578B98F1" w14:textId="77777777" w:rsidR="00633ABD" w:rsidRPr="00AD66B1" w:rsidRDefault="00633ABD" w:rsidP="000D25FB">
      <w:pPr>
        <w:rPr>
          <w:rFonts w:ascii="Arial" w:hAnsi="Arial" w:cs="Arial"/>
          <w:bCs/>
          <w:sz w:val="16"/>
          <w:szCs w:val="16"/>
        </w:rPr>
      </w:pPr>
    </w:p>
    <w:p w14:paraId="30C90FA3" w14:textId="77777777" w:rsidR="000D25FB" w:rsidRPr="000D25FB" w:rsidRDefault="000D25FB" w:rsidP="000D25FB">
      <w:pPr>
        <w:rPr>
          <w:rFonts w:ascii="Arial" w:hAnsi="Arial" w:cs="Arial"/>
          <w:bCs/>
          <w:sz w:val="16"/>
          <w:szCs w:val="16"/>
        </w:rPr>
      </w:pPr>
    </w:p>
    <w:p w14:paraId="2983CFBF" w14:textId="60F84DAF" w:rsidR="00994CFA" w:rsidRPr="00AD66B1" w:rsidRDefault="00994CFA" w:rsidP="000D25FB">
      <w:pPr>
        <w:rPr>
          <w:rFonts w:ascii="Arial" w:hAnsi="Arial" w:cs="Arial"/>
          <w:sz w:val="20"/>
          <w:szCs w:val="20"/>
        </w:rPr>
      </w:pPr>
      <w:r w:rsidRPr="00AD66B1">
        <w:rPr>
          <w:rFonts w:ascii="Arial" w:hAnsi="Arial" w:cs="Arial"/>
          <w:bCs/>
          <w:sz w:val="20"/>
          <w:szCs w:val="20"/>
        </w:rPr>
        <w:t xml:space="preserve">Fonte: </w:t>
      </w:r>
      <w:r w:rsidRPr="00AD66B1">
        <w:rPr>
          <w:rFonts w:ascii="Arial" w:hAnsi="Arial" w:cs="Arial"/>
          <w:sz w:val="20"/>
          <w:szCs w:val="20"/>
        </w:rPr>
        <w:t>Elaboração própria com base em dados d</w:t>
      </w:r>
      <w:r w:rsidR="0065276E" w:rsidRPr="00AD66B1">
        <w:rPr>
          <w:rFonts w:ascii="Arial" w:hAnsi="Arial" w:cs="Arial"/>
          <w:sz w:val="20"/>
          <w:szCs w:val="20"/>
        </w:rPr>
        <w:t>o Instituto Cidades Sustentáveis</w:t>
      </w:r>
      <w:r w:rsidRPr="00AD66B1">
        <w:rPr>
          <w:rFonts w:ascii="Arial" w:hAnsi="Arial" w:cs="Arial"/>
          <w:sz w:val="20"/>
          <w:szCs w:val="20"/>
        </w:rPr>
        <w:t>, 2025.</w:t>
      </w:r>
    </w:p>
    <w:p w14:paraId="785EF668" w14:textId="77777777" w:rsidR="00994CFA" w:rsidRPr="00AD66B1" w:rsidRDefault="00994CFA" w:rsidP="00994CFA">
      <w:pPr>
        <w:spacing w:line="276" w:lineRule="auto"/>
        <w:rPr>
          <w:rFonts w:ascii="Arial" w:hAnsi="Arial" w:cs="Arial"/>
          <w:bCs/>
          <w:sz w:val="20"/>
          <w:szCs w:val="20"/>
        </w:rPr>
      </w:pPr>
    </w:p>
    <w:p w14:paraId="0296E310" w14:textId="1FEB9D44" w:rsidR="00A43087" w:rsidRDefault="00A43087" w:rsidP="008C4A3C">
      <w:pPr>
        <w:pStyle w:val="Corpo"/>
        <w:spacing w:after="0" w:line="240" w:lineRule="auto"/>
        <w:ind w:left="709" w:hanging="709"/>
        <w:rPr>
          <w:rStyle w:val="Nenhum"/>
        </w:rPr>
      </w:pPr>
      <w:r>
        <w:rPr>
          <w:rStyle w:val="Nenhum"/>
        </w:rPr>
        <w:t>3.2.</w:t>
      </w:r>
      <w:r w:rsidR="003B7BEE">
        <w:rPr>
          <w:rStyle w:val="Nenhum"/>
        </w:rPr>
        <w:t>3</w:t>
      </w:r>
      <w:r w:rsidRPr="000F54D6">
        <w:rPr>
          <w:rStyle w:val="Nenhum"/>
        </w:rPr>
        <w:t xml:space="preserve"> I</w:t>
      </w:r>
      <w:r>
        <w:rPr>
          <w:rStyle w:val="Nenhum"/>
        </w:rPr>
        <w:t>PS</w:t>
      </w:r>
    </w:p>
    <w:p w14:paraId="3368FB54" w14:textId="77777777" w:rsidR="008C4A3C" w:rsidRDefault="008C4A3C" w:rsidP="00C46EEE">
      <w:pPr>
        <w:pStyle w:val="Corpo"/>
        <w:spacing w:after="0" w:line="360" w:lineRule="auto"/>
        <w:ind w:left="709" w:hanging="709"/>
        <w:rPr>
          <w:rStyle w:val="Nenhum"/>
        </w:rPr>
      </w:pPr>
    </w:p>
    <w:p w14:paraId="3256AC42" w14:textId="77777777" w:rsidR="006C2DC3" w:rsidRDefault="006C2DC3" w:rsidP="006C2DC3">
      <w:pPr>
        <w:pStyle w:val="Corpo"/>
        <w:spacing w:before="120" w:after="120" w:line="240" w:lineRule="auto"/>
        <w:ind w:left="2268"/>
        <w:jc w:val="both"/>
        <w:rPr>
          <w:sz w:val="20"/>
          <w:szCs w:val="20"/>
        </w:rPr>
      </w:pPr>
      <w:r w:rsidRPr="00391666">
        <w:rPr>
          <w:sz w:val="20"/>
          <w:szCs w:val="20"/>
        </w:rPr>
        <w:t>O progresso social é a capacidade de uma sociedade de atender às necessidades humanas básicas de seus cidadãos, estabelecer os pilares que permitem que cidadãos e comunidades melhorem e sustentem a qualidade de suas vidas, e criem as condições para que todos os indivíduos alcancem seu pleno potencial (IPS BRASIL, 2025)</w:t>
      </w:r>
      <w:r>
        <w:rPr>
          <w:sz w:val="20"/>
          <w:szCs w:val="20"/>
        </w:rPr>
        <w:t>.</w:t>
      </w:r>
    </w:p>
    <w:p w14:paraId="3D542FF1" w14:textId="77777777" w:rsidR="00C46EEE" w:rsidRPr="00391666" w:rsidRDefault="00C46EEE" w:rsidP="00C46EEE">
      <w:pPr>
        <w:pStyle w:val="Corpo"/>
        <w:spacing w:before="120" w:after="120" w:line="240" w:lineRule="auto"/>
        <w:ind w:left="2268"/>
        <w:jc w:val="both"/>
        <w:rPr>
          <w:sz w:val="20"/>
          <w:szCs w:val="20"/>
        </w:rPr>
      </w:pPr>
    </w:p>
    <w:p w14:paraId="421B1BD8" w14:textId="77777777" w:rsidR="006C2DC3" w:rsidRDefault="006C2DC3" w:rsidP="006C2DC3">
      <w:pPr>
        <w:pStyle w:val="Corpo"/>
        <w:spacing w:after="0" w:line="360" w:lineRule="auto"/>
        <w:ind w:firstLine="851"/>
        <w:jc w:val="both"/>
      </w:pPr>
      <w:r>
        <w:t>Iniciando a discussão sobre o IPS, com a sua definição, procura-se revelar que a metodologia do índice busca responder, de forma interrelacionada, três questões: primeira, as necessidades humanas básicas estão sendo atendidas; segunda, os fundamentos de bem-estar estão sendo garantidos; e a terceira, há igualdade de oportunidades para todos. Assim, no IPS não importa quantidade de infraestrutura ou recurso investido, mas o resultado que um ou outro trás para toda a população.</w:t>
      </w:r>
    </w:p>
    <w:p w14:paraId="25080C54" w14:textId="77777777" w:rsidR="006C2DC3" w:rsidRDefault="006C2DC3" w:rsidP="006C2DC3">
      <w:pPr>
        <w:pStyle w:val="Corpo"/>
        <w:spacing w:after="0" w:line="360" w:lineRule="auto"/>
        <w:ind w:firstLine="851"/>
        <w:jc w:val="both"/>
      </w:pPr>
      <w:r>
        <w:lastRenderedPageBreak/>
        <w:t xml:space="preserve">Um outro ponto interessante a destacar é que a classificação do IPS não é em termos absolutos, mas relativa aos municípios com mesma faixa de PIB </w:t>
      </w:r>
      <w:r w:rsidRPr="00134CD0">
        <w:rPr>
          <w:i/>
          <w:iCs/>
        </w:rPr>
        <w:t>per capita</w:t>
      </w:r>
      <w:r>
        <w:t xml:space="preserve"> por ano. À vista disso, o município pode ser forte, neutro ou fraco relativamente.</w:t>
      </w:r>
    </w:p>
    <w:p w14:paraId="40CDCAB5" w14:textId="77777777" w:rsidR="006C2DC3" w:rsidRDefault="006C2DC3" w:rsidP="006C2DC3">
      <w:pPr>
        <w:pStyle w:val="Corpo"/>
        <w:spacing w:after="0" w:line="360" w:lineRule="auto"/>
        <w:ind w:firstLine="851"/>
        <w:jc w:val="both"/>
      </w:pPr>
      <w:r>
        <w:t xml:space="preserve">Baseado nos resultados mostrados no GRAF. 8, constata-se que os três municípios tiveram a progressão social relativamente neutra em relação aos demais municípios de mesmo PIB </w:t>
      </w:r>
      <w:r w:rsidRPr="0030550B">
        <w:rPr>
          <w:i/>
          <w:iCs/>
        </w:rPr>
        <w:t>per capita</w:t>
      </w:r>
      <w:r>
        <w:t xml:space="preserve"> no ano de 2021 (valor mais recente divulgado pelo IBGE</w:t>
      </w:r>
      <w:r>
        <w:rPr>
          <w:rStyle w:val="Refdenotaderodap"/>
        </w:rPr>
        <w:footnoteReference w:id="8"/>
      </w:r>
      <w:r>
        <w:t>). O que reforça os resultados do IFDM e IDSC, com relação ao desenvolvimento desses municípios petrorrentistas não transparecer os investimentos necessários utilizando as rendas petrolíferas.</w:t>
      </w:r>
    </w:p>
    <w:p w14:paraId="31E65394" w14:textId="77777777" w:rsidR="006C2DC3" w:rsidRDefault="006C2DC3" w:rsidP="006C2DC3">
      <w:pPr>
        <w:pStyle w:val="Corpo"/>
        <w:spacing w:after="0" w:line="360" w:lineRule="auto"/>
        <w:ind w:firstLine="851"/>
        <w:jc w:val="both"/>
      </w:pPr>
      <w:r>
        <w:t xml:space="preserve">De forma semelhante, todos os municípios apresentaram melhora de 2024 para 2025. Marataízes foi o que mais evoluiu positivamente, passando de IPS = 59,52 para IPS = 63,96. Em contraposição, de modo inversamente proporcional, Presidente Kennedy, município de maior PIB </w:t>
      </w:r>
      <w:r w:rsidRPr="009C590A">
        <w:rPr>
          <w:i/>
          <w:iCs/>
        </w:rPr>
        <w:t>per capita</w:t>
      </w:r>
      <w:r>
        <w:t xml:space="preserve"> dentre os três, foi o que apresentou o pior resultado nos dois anos de divulgação do índice e a menor evolução.</w:t>
      </w:r>
    </w:p>
    <w:p w14:paraId="19E915B6" w14:textId="77777777" w:rsidR="00A43087" w:rsidRDefault="00A43087" w:rsidP="00A43087">
      <w:pPr>
        <w:spacing w:line="276" w:lineRule="auto"/>
        <w:jc w:val="both"/>
        <w:rPr>
          <w:rFonts w:ascii="Arial" w:hAnsi="Arial" w:cs="Arial"/>
          <w:sz w:val="20"/>
          <w:szCs w:val="20"/>
        </w:rPr>
      </w:pPr>
    </w:p>
    <w:p w14:paraId="63B8DE79" w14:textId="67E366BC" w:rsidR="00994CFA" w:rsidRPr="00AD66B1" w:rsidRDefault="00994CFA" w:rsidP="00C46EEE">
      <w:pPr>
        <w:jc w:val="center"/>
        <w:rPr>
          <w:rFonts w:ascii="Arial" w:hAnsi="Arial" w:cs="Arial"/>
          <w:sz w:val="20"/>
          <w:szCs w:val="20"/>
        </w:rPr>
      </w:pPr>
      <w:r w:rsidRPr="00AD66B1">
        <w:rPr>
          <w:rFonts w:ascii="Arial" w:hAnsi="Arial" w:cs="Arial"/>
          <w:sz w:val="20"/>
          <w:szCs w:val="20"/>
        </w:rPr>
        <w:t xml:space="preserve">Gráfico </w:t>
      </w:r>
      <w:r w:rsidR="000007C5" w:rsidRPr="00AD66B1">
        <w:rPr>
          <w:rFonts w:ascii="Arial" w:hAnsi="Arial" w:cs="Arial"/>
          <w:sz w:val="20"/>
          <w:szCs w:val="20"/>
        </w:rPr>
        <w:t>8</w:t>
      </w:r>
      <w:r w:rsidRPr="00AD66B1">
        <w:rPr>
          <w:rFonts w:ascii="Arial" w:hAnsi="Arial" w:cs="Arial"/>
          <w:sz w:val="20"/>
          <w:szCs w:val="20"/>
        </w:rPr>
        <w:t xml:space="preserve"> – I</w:t>
      </w:r>
      <w:r w:rsidR="00D755C2" w:rsidRPr="00AD66B1">
        <w:rPr>
          <w:rFonts w:ascii="Arial" w:hAnsi="Arial" w:cs="Arial"/>
          <w:sz w:val="20"/>
          <w:szCs w:val="20"/>
        </w:rPr>
        <w:t>PS</w:t>
      </w:r>
      <w:r w:rsidRPr="00AD66B1">
        <w:rPr>
          <w:rFonts w:ascii="Arial" w:hAnsi="Arial" w:cs="Arial"/>
          <w:sz w:val="20"/>
          <w:szCs w:val="20"/>
        </w:rPr>
        <w:t xml:space="preserve"> 20</w:t>
      </w:r>
      <w:r w:rsidR="00D755C2" w:rsidRPr="00AD66B1">
        <w:rPr>
          <w:rFonts w:ascii="Arial" w:hAnsi="Arial" w:cs="Arial"/>
          <w:sz w:val="20"/>
          <w:szCs w:val="20"/>
        </w:rPr>
        <w:t>24</w:t>
      </w:r>
      <w:r w:rsidRPr="00AD66B1">
        <w:rPr>
          <w:rFonts w:ascii="Arial" w:hAnsi="Arial" w:cs="Arial"/>
          <w:sz w:val="20"/>
          <w:szCs w:val="20"/>
        </w:rPr>
        <w:t>-20</w:t>
      </w:r>
      <w:r w:rsidR="00D755C2" w:rsidRPr="00AD66B1">
        <w:rPr>
          <w:rFonts w:ascii="Arial" w:hAnsi="Arial" w:cs="Arial"/>
          <w:sz w:val="20"/>
          <w:szCs w:val="20"/>
        </w:rPr>
        <w:t>25</w:t>
      </w:r>
    </w:p>
    <w:p w14:paraId="461BAC83" w14:textId="0D6E07CC" w:rsidR="00D755C2" w:rsidRPr="00AD66B1" w:rsidRDefault="00D755C2" w:rsidP="00994CFA">
      <w:pPr>
        <w:spacing w:line="276" w:lineRule="auto"/>
        <w:jc w:val="center"/>
        <w:rPr>
          <w:rFonts w:ascii="Arial" w:hAnsi="Arial" w:cs="Arial"/>
          <w:sz w:val="20"/>
          <w:szCs w:val="20"/>
        </w:rPr>
      </w:pPr>
      <w:r w:rsidRPr="00AD66B1">
        <w:rPr>
          <w:noProof/>
        </w:rPr>
        <w:drawing>
          <wp:inline distT="0" distB="0" distL="0" distR="0" wp14:anchorId="512DD681" wp14:editId="094A3848">
            <wp:extent cx="5758815" cy="3198125"/>
            <wp:effectExtent l="0" t="0" r="13335" b="2540"/>
            <wp:docPr id="1077353166" name="Gráfico 1">
              <a:extLst xmlns:a="http://schemas.openxmlformats.org/drawingml/2006/main">
                <a:ext uri="{FF2B5EF4-FFF2-40B4-BE49-F238E27FC236}">
                  <a16:creationId xmlns:a16="http://schemas.microsoft.com/office/drawing/2014/main" id="{1BF20336-7789-AC3B-A7B7-CBA74BED6F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Style w:val="Tabelacomgrade"/>
        <w:tblpPr w:leftFromText="141" w:rightFromText="141" w:vertAnchor="text" w:horzAnchor="margin" w:tblpXSpec="right" w:tblpY="52"/>
        <w:tblW w:w="0" w:type="auto"/>
        <w:tblLook w:val="04A0" w:firstRow="1" w:lastRow="0" w:firstColumn="1" w:lastColumn="0" w:noHBand="0" w:noVBand="1"/>
      </w:tblPr>
      <w:tblGrid>
        <w:gridCol w:w="421"/>
        <w:gridCol w:w="7621"/>
      </w:tblGrid>
      <w:tr w:rsidR="008A5469" w:rsidRPr="00AD66B1" w14:paraId="7301CE91" w14:textId="77777777" w:rsidTr="006446A0">
        <w:tc>
          <w:tcPr>
            <w:tcW w:w="421" w:type="dxa"/>
            <w:tcBorders>
              <w:right w:val="single" w:sz="4" w:space="0" w:color="auto"/>
            </w:tcBorders>
            <w:shd w:val="clear" w:color="auto" w:fill="FFCC66"/>
          </w:tcPr>
          <w:p w14:paraId="5BEBD4CF" w14:textId="77777777" w:rsidR="005C2585" w:rsidRPr="00AD66B1" w:rsidRDefault="005C2585" w:rsidP="005C2585">
            <w:pPr>
              <w:spacing w:line="276" w:lineRule="auto"/>
              <w:rPr>
                <w:rFonts w:ascii="Arial" w:hAnsi="Arial" w:cs="Arial"/>
                <w:bCs/>
                <w:sz w:val="20"/>
                <w:szCs w:val="20"/>
              </w:rPr>
            </w:pPr>
          </w:p>
        </w:tc>
        <w:tc>
          <w:tcPr>
            <w:tcW w:w="7621" w:type="dxa"/>
            <w:tcBorders>
              <w:top w:val="nil"/>
              <w:left w:val="single" w:sz="4" w:space="0" w:color="auto"/>
              <w:bottom w:val="nil"/>
              <w:right w:val="nil"/>
            </w:tcBorders>
          </w:tcPr>
          <w:p w14:paraId="014FF1F4" w14:textId="77777777" w:rsidR="005C2585" w:rsidRPr="00AD66B1" w:rsidRDefault="005C2585" w:rsidP="005C2585">
            <w:pPr>
              <w:spacing w:line="276" w:lineRule="auto"/>
              <w:rPr>
                <w:rFonts w:ascii="Arial" w:hAnsi="Arial" w:cs="Arial"/>
                <w:bCs/>
                <w:sz w:val="20"/>
                <w:szCs w:val="20"/>
              </w:rPr>
            </w:pPr>
            <w:r w:rsidRPr="00AD66B1">
              <w:rPr>
                <w:rFonts w:ascii="Arial" w:hAnsi="Arial" w:cs="Arial"/>
                <w:bCs/>
                <w:sz w:val="20"/>
                <w:szCs w:val="20"/>
              </w:rPr>
              <w:t>Progresso Social Relativamente Neutro em relação a outros municípios na mesma faixa de PIB per capita em 2021</w:t>
            </w:r>
          </w:p>
        </w:tc>
      </w:tr>
    </w:tbl>
    <w:p w14:paraId="2F494B97" w14:textId="1D5D4148" w:rsidR="00DB35B9" w:rsidRPr="00AD66B1" w:rsidRDefault="00DB35B9" w:rsidP="005E2CC7">
      <w:pPr>
        <w:rPr>
          <w:rFonts w:ascii="Arial" w:hAnsi="Arial" w:cs="Arial"/>
          <w:sz w:val="20"/>
          <w:szCs w:val="20"/>
        </w:rPr>
      </w:pPr>
      <w:r w:rsidRPr="00AD66B1">
        <w:rPr>
          <w:rFonts w:ascii="Arial" w:hAnsi="Arial" w:cs="Arial"/>
          <w:bCs/>
          <w:sz w:val="20"/>
          <w:szCs w:val="20"/>
        </w:rPr>
        <w:t>Legenda:</w:t>
      </w:r>
    </w:p>
    <w:p w14:paraId="3E2520F6" w14:textId="77777777" w:rsidR="00DB35B9" w:rsidRPr="00AD66B1" w:rsidRDefault="00DB35B9" w:rsidP="005E2CC7">
      <w:pPr>
        <w:rPr>
          <w:rFonts w:ascii="Arial" w:hAnsi="Arial" w:cs="Arial"/>
          <w:bCs/>
          <w:sz w:val="16"/>
          <w:szCs w:val="16"/>
        </w:rPr>
      </w:pPr>
    </w:p>
    <w:p w14:paraId="15B3859E" w14:textId="44E975F3" w:rsidR="00E90BB9" w:rsidRDefault="00DB35B9" w:rsidP="005E2CC7">
      <w:pPr>
        <w:rPr>
          <w:rFonts w:ascii="Arial" w:hAnsi="Arial" w:cs="Arial"/>
          <w:sz w:val="20"/>
          <w:szCs w:val="20"/>
        </w:rPr>
      </w:pPr>
      <w:r w:rsidRPr="00AD66B1">
        <w:rPr>
          <w:rFonts w:ascii="Arial" w:hAnsi="Arial" w:cs="Arial"/>
          <w:bCs/>
          <w:sz w:val="20"/>
          <w:szCs w:val="20"/>
        </w:rPr>
        <w:t xml:space="preserve">                  </w:t>
      </w:r>
      <w:r w:rsidR="00E90BB9" w:rsidRPr="00AD66B1">
        <w:rPr>
          <w:rFonts w:ascii="Arial" w:hAnsi="Arial" w:cs="Arial"/>
          <w:bCs/>
          <w:sz w:val="20"/>
          <w:szCs w:val="20"/>
        </w:rPr>
        <w:t xml:space="preserve">Fonte: </w:t>
      </w:r>
      <w:r w:rsidR="00E90BB9" w:rsidRPr="00AD66B1">
        <w:rPr>
          <w:rFonts w:ascii="Arial" w:hAnsi="Arial" w:cs="Arial"/>
          <w:sz w:val="20"/>
          <w:szCs w:val="20"/>
        </w:rPr>
        <w:t>Elaboração própria com base em dados do IPS Brasil, 2025.</w:t>
      </w:r>
    </w:p>
    <w:p w14:paraId="6CED5587" w14:textId="77777777" w:rsidR="00A937B2" w:rsidRDefault="00A937B2" w:rsidP="005E2CC7">
      <w:pPr>
        <w:pStyle w:val="Corpo"/>
        <w:spacing w:after="0" w:line="360" w:lineRule="auto"/>
        <w:ind w:left="709" w:hanging="709"/>
        <w:rPr>
          <w:rStyle w:val="Nenhum"/>
        </w:rPr>
      </w:pPr>
    </w:p>
    <w:p w14:paraId="242F1D0A" w14:textId="77777777" w:rsidR="005E2CC7" w:rsidRDefault="005E2CC7" w:rsidP="00A937B2">
      <w:pPr>
        <w:pStyle w:val="Corpo"/>
        <w:spacing w:after="0" w:line="240" w:lineRule="auto"/>
        <w:ind w:left="709" w:hanging="709"/>
        <w:rPr>
          <w:rStyle w:val="Nenhum"/>
        </w:rPr>
      </w:pPr>
    </w:p>
    <w:p w14:paraId="324A7035" w14:textId="5E3EA43A" w:rsidR="00696EFA" w:rsidRDefault="00696EFA" w:rsidP="00A937B2">
      <w:pPr>
        <w:pStyle w:val="Corpo"/>
        <w:spacing w:after="0" w:line="240" w:lineRule="auto"/>
        <w:ind w:left="709" w:hanging="709"/>
        <w:rPr>
          <w:rStyle w:val="Nenhum"/>
        </w:rPr>
      </w:pPr>
      <w:r>
        <w:rPr>
          <w:rStyle w:val="Nenhum"/>
        </w:rPr>
        <w:lastRenderedPageBreak/>
        <w:t>3.2.4</w:t>
      </w:r>
      <w:r w:rsidRPr="000F54D6">
        <w:rPr>
          <w:rStyle w:val="Nenhum"/>
        </w:rPr>
        <w:t xml:space="preserve"> </w:t>
      </w:r>
      <w:r w:rsidR="003D01D1">
        <w:rPr>
          <w:rStyle w:val="Nenhum"/>
        </w:rPr>
        <w:t>IEGM</w:t>
      </w:r>
    </w:p>
    <w:p w14:paraId="2DAD23D8" w14:textId="77777777" w:rsidR="00A937B2" w:rsidRDefault="00A937B2" w:rsidP="001A0BEA">
      <w:pPr>
        <w:pStyle w:val="Corpo"/>
        <w:spacing w:after="0" w:line="360" w:lineRule="auto"/>
        <w:ind w:left="709" w:hanging="709"/>
        <w:rPr>
          <w:rStyle w:val="Nenhum"/>
        </w:rPr>
      </w:pPr>
    </w:p>
    <w:p w14:paraId="2EF0D586" w14:textId="77777777" w:rsidR="0047529F" w:rsidRDefault="0047529F" w:rsidP="00A937B2">
      <w:pPr>
        <w:pStyle w:val="Corpo"/>
        <w:spacing w:after="0" w:line="360" w:lineRule="auto"/>
        <w:ind w:firstLine="851"/>
        <w:jc w:val="both"/>
      </w:pPr>
      <w:r>
        <w:t>O IEGM, conforme já foi dito, avalia a gestão municipal de acordo com sua competência federativa. Seu cálculo depende do envio de informações pelo município. os resultados apresentados no presente trabalho são dos anos que o Estado do Espírito Santos participou do IEGM. O resultado divulgado de um ano refere-se ao exercício do ano anterior. Outro ponto a ser considerado é que em 2023, o IEGM referente ao exercício de 2022, teve sua metodologia de cálculo atualizada, com manutenção das sete dimensões. Desse modo, o resultado do IEGM do exercício de 2023, foi calculado de forma diferente do IEGM dos exercícios de 2017 e 2018. O que é um fator dificultador para a comparação e, consequentemente, limitador para a pesquisa.</w:t>
      </w:r>
    </w:p>
    <w:p w14:paraId="683C31FF" w14:textId="115B6090" w:rsidR="0047529F" w:rsidRDefault="0047529F" w:rsidP="00A937B2">
      <w:pPr>
        <w:pStyle w:val="Corpo"/>
        <w:spacing w:after="0" w:line="360" w:lineRule="auto"/>
        <w:ind w:firstLine="851"/>
        <w:jc w:val="both"/>
      </w:pPr>
      <w:r>
        <w:t xml:space="preserve">Não foi possível identificar um padrão no IEGM dos três municípios, com resultados bem distintos, conforme é mostrado no GRAF. 9. Itapemirim apresentou melhora na sua gestão, passando da fase de adequação em 2017 para efetiva em 2018. Marataízes manteve-se com gestão efetiva, com ligeira </w:t>
      </w:r>
      <w:r w:rsidR="001B2F7A">
        <w:t>melhora</w:t>
      </w:r>
      <w:r>
        <w:t>, passando de IEGM = 0,6</w:t>
      </w:r>
      <w:r w:rsidR="001B2F7A">
        <w:t>1</w:t>
      </w:r>
      <w:r>
        <w:t xml:space="preserve">7 para IEGM = 0,622 em 2018. Presidente Kennedy apresentou em 2017 e 2016 uma gestão muito efetiva, com o melhor indicador dentre os três municípios. </w:t>
      </w:r>
    </w:p>
    <w:p w14:paraId="5C80834C" w14:textId="77777777" w:rsidR="00A937B2" w:rsidRDefault="00A937B2" w:rsidP="00A937B2">
      <w:pPr>
        <w:pStyle w:val="Corpo"/>
        <w:spacing w:after="0" w:line="360" w:lineRule="auto"/>
        <w:ind w:firstLine="851"/>
        <w:jc w:val="both"/>
      </w:pPr>
    </w:p>
    <w:p w14:paraId="6349F491" w14:textId="7C693A76" w:rsidR="0047529F" w:rsidRPr="00AD66B1" w:rsidRDefault="0047529F" w:rsidP="001A0BEA">
      <w:pPr>
        <w:jc w:val="center"/>
        <w:rPr>
          <w:rFonts w:ascii="Arial" w:hAnsi="Arial" w:cs="Arial"/>
          <w:sz w:val="20"/>
          <w:szCs w:val="20"/>
        </w:rPr>
      </w:pPr>
      <w:r w:rsidRPr="00AD66B1">
        <w:rPr>
          <w:rFonts w:ascii="Arial" w:hAnsi="Arial" w:cs="Arial"/>
          <w:sz w:val="20"/>
          <w:szCs w:val="20"/>
        </w:rPr>
        <w:t xml:space="preserve">Gráfico 9 – </w:t>
      </w:r>
      <w:r>
        <w:rPr>
          <w:rFonts w:ascii="Arial" w:hAnsi="Arial" w:cs="Arial"/>
          <w:sz w:val="20"/>
          <w:szCs w:val="20"/>
        </w:rPr>
        <w:t>IEGM</w:t>
      </w:r>
      <w:r w:rsidRPr="00AD66B1">
        <w:rPr>
          <w:rFonts w:ascii="Arial" w:hAnsi="Arial" w:cs="Arial"/>
          <w:sz w:val="20"/>
          <w:szCs w:val="20"/>
        </w:rPr>
        <w:t xml:space="preserve"> 2017-2018-2023</w:t>
      </w:r>
    </w:p>
    <w:p w14:paraId="27384DDF" w14:textId="77777777" w:rsidR="0047529F" w:rsidRPr="00AD66B1" w:rsidRDefault="0047529F" w:rsidP="0047529F">
      <w:pPr>
        <w:spacing w:line="276" w:lineRule="auto"/>
        <w:jc w:val="both"/>
        <w:rPr>
          <w:rFonts w:ascii="Arial" w:hAnsi="Arial" w:cs="Arial"/>
          <w:sz w:val="20"/>
          <w:szCs w:val="20"/>
        </w:rPr>
      </w:pPr>
      <w:r w:rsidRPr="00AD66B1">
        <w:rPr>
          <w:rFonts w:ascii="Arial" w:hAnsi="Arial" w:cs="Arial"/>
          <w:noProof/>
          <w:sz w:val="20"/>
          <w:szCs w:val="20"/>
        </w:rPr>
        <w:drawing>
          <wp:inline distT="0" distB="0" distL="0" distR="0" wp14:anchorId="30DBE104" wp14:editId="440D5AA5">
            <wp:extent cx="5716133" cy="2553111"/>
            <wp:effectExtent l="19050" t="19050" r="18415" b="19050"/>
            <wp:docPr id="1703528035" name="Imagem 6"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28035" name="Imagem 6" descr="Gráfico, Gráfico de barras&#10;&#10;O conteúdo gerado por IA pode estar incorreto."/>
                    <pic:cNvPicPr/>
                  </pic:nvPicPr>
                  <pic:blipFill>
                    <a:blip r:embed="rId16">
                      <a:extLst>
                        <a:ext uri="{28A0092B-C50C-407E-A947-70E740481C1C}">
                          <a14:useLocalDpi xmlns:a14="http://schemas.microsoft.com/office/drawing/2010/main" val="0"/>
                        </a:ext>
                      </a:extLst>
                    </a:blip>
                    <a:stretch>
                      <a:fillRect/>
                    </a:stretch>
                  </pic:blipFill>
                  <pic:spPr>
                    <a:xfrm>
                      <a:off x="0" y="0"/>
                      <a:ext cx="5776358" cy="2580010"/>
                    </a:xfrm>
                    <a:prstGeom prst="rect">
                      <a:avLst/>
                    </a:prstGeom>
                    <a:ln>
                      <a:solidFill>
                        <a:schemeClr val="tx1"/>
                      </a:solidFill>
                    </a:ln>
                  </pic:spPr>
                </pic:pic>
              </a:graphicData>
            </a:graphic>
          </wp:inline>
        </w:drawing>
      </w:r>
    </w:p>
    <w:tbl>
      <w:tblPr>
        <w:tblStyle w:val="Tabelacomgrade"/>
        <w:tblpPr w:leftFromText="141" w:rightFromText="141" w:vertAnchor="text" w:horzAnchor="page" w:tblpX="2776" w:tblpY="49"/>
        <w:tblW w:w="0" w:type="auto"/>
        <w:tblLook w:val="04A0" w:firstRow="1" w:lastRow="0" w:firstColumn="1" w:lastColumn="0" w:noHBand="0" w:noVBand="1"/>
      </w:tblPr>
      <w:tblGrid>
        <w:gridCol w:w="273"/>
        <w:gridCol w:w="1282"/>
        <w:gridCol w:w="567"/>
        <w:gridCol w:w="2693"/>
      </w:tblGrid>
      <w:tr w:rsidR="0047529F" w:rsidRPr="00AD66B1" w14:paraId="7D79B38A" w14:textId="77777777" w:rsidTr="007951A4">
        <w:tc>
          <w:tcPr>
            <w:tcW w:w="273" w:type="dxa"/>
            <w:shd w:val="clear" w:color="auto" w:fill="E5B8B7" w:themeFill="accent2" w:themeFillTint="66"/>
          </w:tcPr>
          <w:p w14:paraId="36102CC5" w14:textId="77777777" w:rsidR="0047529F" w:rsidRPr="00AD66B1" w:rsidRDefault="0047529F" w:rsidP="007951A4">
            <w:pPr>
              <w:spacing w:line="276" w:lineRule="auto"/>
              <w:rPr>
                <w:rFonts w:ascii="Arial" w:hAnsi="Arial" w:cs="Arial"/>
                <w:bCs/>
                <w:sz w:val="20"/>
                <w:szCs w:val="20"/>
              </w:rPr>
            </w:pPr>
          </w:p>
        </w:tc>
        <w:tc>
          <w:tcPr>
            <w:tcW w:w="1282" w:type="dxa"/>
          </w:tcPr>
          <w:p w14:paraId="2592435B" w14:textId="77777777" w:rsidR="0047529F" w:rsidRPr="00AD66B1" w:rsidRDefault="0047529F" w:rsidP="007951A4">
            <w:pPr>
              <w:spacing w:line="276" w:lineRule="auto"/>
              <w:jc w:val="center"/>
              <w:rPr>
                <w:rFonts w:ascii="Arial" w:hAnsi="Arial" w:cs="Arial"/>
                <w:bCs/>
                <w:sz w:val="20"/>
                <w:szCs w:val="20"/>
              </w:rPr>
            </w:pPr>
            <w:r w:rsidRPr="00AD66B1">
              <w:rPr>
                <w:rFonts w:ascii="Arial" w:hAnsi="Arial" w:cs="Arial"/>
                <w:bCs/>
                <w:sz w:val="20"/>
                <w:szCs w:val="20"/>
              </w:rPr>
              <w:t>0 – 0,5</w:t>
            </w:r>
          </w:p>
        </w:tc>
        <w:tc>
          <w:tcPr>
            <w:tcW w:w="567" w:type="dxa"/>
          </w:tcPr>
          <w:p w14:paraId="772EBFF7" w14:textId="77777777" w:rsidR="0047529F" w:rsidRPr="00AD66B1" w:rsidRDefault="0047529F" w:rsidP="007951A4">
            <w:pPr>
              <w:spacing w:line="276" w:lineRule="auto"/>
              <w:jc w:val="center"/>
              <w:rPr>
                <w:rFonts w:ascii="Arial" w:hAnsi="Arial" w:cs="Arial"/>
                <w:b/>
                <w:sz w:val="20"/>
                <w:szCs w:val="20"/>
              </w:rPr>
            </w:pPr>
            <w:r w:rsidRPr="00AD66B1">
              <w:rPr>
                <w:rFonts w:ascii="Arial" w:hAnsi="Arial" w:cs="Arial"/>
                <w:b/>
                <w:sz w:val="20"/>
                <w:szCs w:val="20"/>
              </w:rPr>
              <w:t>C</w:t>
            </w:r>
          </w:p>
        </w:tc>
        <w:tc>
          <w:tcPr>
            <w:tcW w:w="2693" w:type="dxa"/>
          </w:tcPr>
          <w:p w14:paraId="578752A0" w14:textId="77777777" w:rsidR="0047529F" w:rsidRPr="00AD66B1" w:rsidRDefault="0047529F" w:rsidP="007951A4">
            <w:pPr>
              <w:spacing w:line="276" w:lineRule="auto"/>
              <w:rPr>
                <w:rFonts w:ascii="Arial" w:hAnsi="Arial" w:cs="Arial"/>
                <w:bCs/>
                <w:sz w:val="20"/>
                <w:szCs w:val="20"/>
              </w:rPr>
            </w:pPr>
            <w:r w:rsidRPr="00AD66B1">
              <w:rPr>
                <w:rFonts w:ascii="Arial" w:hAnsi="Arial" w:cs="Arial"/>
                <w:bCs/>
                <w:sz w:val="20"/>
                <w:szCs w:val="20"/>
              </w:rPr>
              <w:t>Baixo Nível de Adequação</w:t>
            </w:r>
          </w:p>
        </w:tc>
      </w:tr>
      <w:tr w:rsidR="0047529F" w:rsidRPr="00AD66B1" w14:paraId="657A7C22" w14:textId="77777777" w:rsidTr="007951A4">
        <w:tc>
          <w:tcPr>
            <w:tcW w:w="273" w:type="dxa"/>
            <w:shd w:val="clear" w:color="auto" w:fill="FFCC66"/>
          </w:tcPr>
          <w:p w14:paraId="40E9B928" w14:textId="77777777" w:rsidR="0047529F" w:rsidRPr="00AD66B1" w:rsidRDefault="0047529F" w:rsidP="007951A4">
            <w:pPr>
              <w:spacing w:line="276" w:lineRule="auto"/>
              <w:rPr>
                <w:rFonts w:ascii="Arial" w:hAnsi="Arial" w:cs="Arial"/>
                <w:bCs/>
                <w:sz w:val="20"/>
                <w:szCs w:val="20"/>
              </w:rPr>
            </w:pPr>
          </w:p>
        </w:tc>
        <w:tc>
          <w:tcPr>
            <w:tcW w:w="1282" w:type="dxa"/>
          </w:tcPr>
          <w:p w14:paraId="61710F77" w14:textId="77777777" w:rsidR="0047529F" w:rsidRPr="00AD66B1" w:rsidRDefault="0047529F" w:rsidP="007951A4">
            <w:pPr>
              <w:spacing w:line="276" w:lineRule="auto"/>
              <w:jc w:val="center"/>
              <w:rPr>
                <w:rFonts w:ascii="Arial" w:hAnsi="Arial" w:cs="Arial"/>
                <w:bCs/>
                <w:sz w:val="20"/>
                <w:szCs w:val="20"/>
              </w:rPr>
            </w:pPr>
            <w:r w:rsidRPr="00AD66B1">
              <w:rPr>
                <w:rFonts w:ascii="Arial" w:hAnsi="Arial" w:cs="Arial"/>
                <w:bCs/>
                <w:sz w:val="20"/>
                <w:szCs w:val="20"/>
              </w:rPr>
              <w:t>0,5 – 0,6</w:t>
            </w:r>
          </w:p>
        </w:tc>
        <w:tc>
          <w:tcPr>
            <w:tcW w:w="567" w:type="dxa"/>
          </w:tcPr>
          <w:p w14:paraId="496B4390" w14:textId="77777777" w:rsidR="0047529F" w:rsidRPr="00AD66B1" w:rsidRDefault="0047529F" w:rsidP="007951A4">
            <w:pPr>
              <w:spacing w:line="276" w:lineRule="auto"/>
              <w:jc w:val="center"/>
              <w:rPr>
                <w:rFonts w:ascii="Arial" w:hAnsi="Arial" w:cs="Arial"/>
                <w:b/>
                <w:sz w:val="20"/>
                <w:szCs w:val="20"/>
              </w:rPr>
            </w:pPr>
            <w:r w:rsidRPr="00AD66B1">
              <w:rPr>
                <w:rFonts w:ascii="Arial" w:hAnsi="Arial" w:cs="Arial"/>
                <w:b/>
                <w:sz w:val="20"/>
                <w:szCs w:val="20"/>
              </w:rPr>
              <w:t>C+</w:t>
            </w:r>
          </w:p>
        </w:tc>
        <w:tc>
          <w:tcPr>
            <w:tcW w:w="2693" w:type="dxa"/>
          </w:tcPr>
          <w:p w14:paraId="330BC467" w14:textId="77777777" w:rsidR="0047529F" w:rsidRPr="00AD66B1" w:rsidRDefault="0047529F" w:rsidP="007951A4">
            <w:pPr>
              <w:spacing w:line="276" w:lineRule="auto"/>
              <w:rPr>
                <w:rFonts w:ascii="Arial" w:hAnsi="Arial" w:cs="Arial"/>
                <w:bCs/>
                <w:sz w:val="20"/>
                <w:szCs w:val="20"/>
              </w:rPr>
            </w:pPr>
            <w:r w:rsidRPr="00AD66B1">
              <w:rPr>
                <w:rFonts w:ascii="Arial" w:hAnsi="Arial" w:cs="Arial"/>
                <w:bCs/>
                <w:sz w:val="20"/>
                <w:szCs w:val="20"/>
              </w:rPr>
              <w:t>Em Fase de Adequação</w:t>
            </w:r>
          </w:p>
        </w:tc>
      </w:tr>
      <w:tr w:rsidR="0047529F" w:rsidRPr="00AD66B1" w14:paraId="6A9C7782" w14:textId="77777777" w:rsidTr="007951A4">
        <w:tc>
          <w:tcPr>
            <w:tcW w:w="273" w:type="dxa"/>
            <w:shd w:val="clear" w:color="auto" w:fill="FFFF99"/>
          </w:tcPr>
          <w:p w14:paraId="26F90097" w14:textId="77777777" w:rsidR="0047529F" w:rsidRPr="00AD66B1" w:rsidRDefault="0047529F" w:rsidP="007951A4">
            <w:pPr>
              <w:spacing w:line="276" w:lineRule="auto"/>
              <w:rPr>
                <w:rFonts w:ascii="Arial" w:hAnsi="Arial" w:cs="Arial"/>
                <w:bCs/>
                <w:sz w:val="20"/>
                <w:szCs w:val="20"/>
              </w:rPr>
            </w:pPr>
          </w:p>
        </w:tc>
        <w:tc>
          <w:tcPr>
            <w:tcW w:w="1282" w:type="dxa"/>
          </w:tcPr>
          <w:p w14:paraId="39986B56" w14:textId="77777777" w:rsidR="0047529F" w:rsidRPr="00AD66B1" w:rsidRDefault="0047529F" w:rsidP="007951A4">
            <w:pPr>
              <w:spacing w:line="276" w:lineRule="auto"/>
              <w:jc w:val="center"/>
              <w:rPr>
                <w:rFonts w:ascii="Arial" w:hAnsi="Arial" w:cs="Arial"/>
                <w:bCs/>
                <w:sz w:val="20"/>
                <w:szCs w:val="20"/>
              </w:rPr>
            </w:pPr>
            <w:r w:rsidRPr="00AD66B1">
              <w:rPr>
                <w:rFonts w:ascii="Arial" w:hAnsi="Arial" w:cs="Arial"/>
                <w:bCs/>
                <w:sz w:val="20"/>
                <w:szCs w:val="20"/>
              </w:rPr>
              <w:t>0,6 – 0,75</w:t>
            </w:r>
          </w:p>
        </w:tc>
        <w:tc>
          <w:tcPr>
            <w:tcW w:w="567" w:type="dxa"/>
          </w:tcPr>
          <w:p w14:paraId="275A8AD9" w14:textId="77777777" w:rsidR="0047529F" w:rsidRPr="00AD66B1" w:rsidRDefault="0047529F" w:rsidP="007951A4">
            <w:pPr>
              <w:spacing w:line="276" w:lineRule="auto"/>
              <w:jc w:val="center"/>
              <w:rPr>
                <w:rFonts w:ascii="Arial" w:hAnsi="Arial" w:cs="Arial"/>
                <w:b/>
                <w:sz w:val="20"/>
                <w:szCs w:val="20"/>
              </w:rPr>
            </w:pPr>
            <w:r w:rsidRPr="00AD66B1">
              <w:rPr>
                <w:rFonts w:ascii="Arial" w:hAnsi="Arial" w:cs="Arial"/>
                <w:b/>
                <w:sz w:val="20"/>
                <w:szCs w:val="20"/>
              </w:rPr>
              <w:t>B</w:t>
            </w:r>
          </w:p>
        </w:tc>
        <w:tc>
          <w:tcPr>
            <w:tcW w:w="2693" w:type="dxa"/>
          </w:tcPr>
          <w:p w14:paraId="578D810B" w14:textId="77777777" w:rsidR="0047529F" w:rsidRPr="00AD66B1" w:rsidRDefault="0047529F" w:rsidP="007951A4">
            <w:pPr>
              <w:spacing w:line="276" w:lineRule="auto"/>
              <w:rPr>
                <w:rFonts w:ascii="Arial" w:hAnsi="Arial" w:cs="Arial"/>
                <w:bCs/>
                <w:sz w:val="20"/>
                <w:szCs w:val="20"/>
              </w:rPr>
            </w:pPr>
            <w:r w:rsidRPr="00AD66B1">
              <w:rPr>
                <w:rFonts w:ascii="Arial" w:hAnsi="Arial" w:cs="Arial"/>
                <w:bCs/>
                <w:sz w:val="20"/>
                <w:szCs w:val="20"/>
              </w:rPr>
              <w:t>Efetiva</w:t>
            </w:r>
          </w:p>
        </w:tc>
      </w:tr>
      <w:tr w:rsidR="0047529F" w:rsidRPr="00AD66B1" w14:paraId="01F419D2" w14:textId="77777777" w:rsidTr="007951A4">
        <w:tc>
          <w:tcPr>
            <w:tcW w:w="273" w:type="dxa"/>
            <w:shd w:val="clear" w:color="auto" w:fill="95B3D7" w:themeFill="accent1" w:themeFillTint="99"/>
          </w:tcPr>
          <w:p w14:paraId="0FA1A161" w14:textId="77777777" w:rsidR="0047529F" w:rsidRPr="00AD66B1" w:rsidRDefault="0047529F" w:rsidP="007951A4">
            <w:pPr>
              <w:spacing w:line="276" w:lineRule="auto"/>
              <w:rPr>
                <w:rFonts w:ascii="Arial" w:hAnsi="Arial" w:cs="Arial"/>
                <w:bCs/>
                <w:sz w:val="20"/>
                <w:szCs w:val="20"/>
              </w:rPr>
            </w:pPr>
          </w:p>
        </w:tc>
        <w:tc>
          <w:tcPr>
            <w:tcW w:w="1282" w:type="dxa"/>
          </w:tcPr>
          <w:p w14:paraId="46B8AFF9" w14:textId="77777777" w:rsidR="0047529F" w:rsidRPr="00AD66B1" w:rsidRDefault="0047529F" w:rsidP="007951A4">
            <w:pPr>
              <w:spacing w:line="276" w:lineRule="auto"/>
              <w:jc w:val="center"/>
              <w:rPr>
                <w:rFonts w:ascii="Arial" w:hAnsi="Arial" w:cs="Arial"/>
                <w:bCs/>
                <w:sz w:val="20"/>
                <w:szCs w:val="20"/>
              </w:rPr>
            </w:pPr>
            <w:r w:rsidRPr="00AD66B1">
              <w:rPr>
                <w:rFonts w:ascii="Arial" w:hAnsi="Arial" w:cs="Arial"/>
                <w:bCs/>
                <w:sz w:val="20"/>
                <w:szCs w:val="20"/>
              </w:rPr>
              <w:t>0,75 – 0,90</w:t>
            </w:r>
          </w:p>
        </w:tc>
        <w:tc>
          <w:tcPr>
            <w:tcW w:w="567" w:type="dxa"/>
          </w:tcPr>
          <w:p w14:paraId="3643C3F7" w14:textId="77777777" w:rsidR="0047529F" w:rsidRPr="00AD66B1" w:rsidRDefault="0047529F" w:rsidP="007951A4">
            <w:pPr>
              <w:spacing w:line="276" w:lineRule="auto"/>
              <w:jc w:val="center"/>
              <w:rPr>
                <w:rFonts w:ascii="Arial" w:hAnsi="Arial" w:cs="Arial"/>
                <w:b/>
                <w:spacing w:val="-4"/>
                <w:sz w:val="20"/>
                <w:szCs w:val="20"/>
              </w:rPr>
            </w:pPr>
            <w:r w:rsidRPr="00AD66B1">
              <w:rPr>
                <w:rFonts w:ascii="Arial" w:hAnsi="Arial" w:cs="Arial"/>
                <w:b/>
                <w:spacing w:val="-4"/>
                <w:sz w:val="20"/>
                <w:szCs w:val="20"/>
              </w:rPr>
              <w:t>B+</w:t>
            </w:r>
          </w:p>
        </w:tc>
        <w:tc>
          <w:tcPr>
            <w:tcW w:w="2693" w:type="dxa"/>
          </w:tcPr>
          <w:p w14:paraId="60C1B2C5" w14:textId="77777777" w:rsidR="0047529F" w:rsidRPr="00AD66B1" w:rsidRDefault="0047529F" w:rsidP="007951A4">
            <w:pPr>
              <w:spacing w:line="276" w:lineRule="auto"/>
              <w:rPr>
                <w:rFonts w:ascii="Arial" w:hAnsi="Arial" w:cs="Arial"/>
                <w:bCs/>
                <w:spacing w:val="-4"/>
                <w:sz w:val="20"/>
                <w:szCs w:val="20"/>
              </w:rPr>
            </w:pPr>
            <w:r w:rsidRPr="00AD66B1">
              <w:rPr>
                <w:rFonts w:ascii="Arial" w:hAnsi="Arial" w:cs="Arial"/>
                <w:bCs/>
                <w:spacing w:val="-4"/>
                <w:sz w:val="20"/>
                <w:szCs w:val="20"/>
              </w:rPr>
              <w:t>Muito Efetiva</w:t>
            </w:r>
          </w:p>
        </w:tc>
      </w:tr>
      <w:tr w:rsidR="0047529F" w:rsidRPr="00AD66B1" w14:paraId="500921DC" w14:textId="77777777" w:rsidTr="007951A4">
        <w:tc>
          <w:tcPr>
            <w:tcW w:w="273" w:type="dxa"/>
            <w:shd w:val="clear" w:color="auto" w:fill="66FF99"/>
          </w:tcPr>
          <w:p w14:paraId="0C8F3022" w14:textId="77777777" w:rsidR="0047529F" w:rsidRPr="00AD66B1" w:rsidRDefault="0047529F" w:rsidP="007951A4">
            <w:pPr>
              <w:spacing w:line="276" w:lineRule="auto"/>
              <w:rPr>
                <w:rFonts w:ascii="Arial" w:hAnsi="Arial" w:cs="Arial"/>
                <w:bCs/>
                <w:sz w:val="20"/>
                <w:szCs w:val="20"/>
              </w:rPr>
            </w:pPr>
          </w:p>
        </w:tc>
        <w:tc>
          <w:tcPr>
            <w:tcW w:w="1282" w:type="dxa"/>
          </w:tcPr>
          <w:p w14:paraId="6C364D96" w14:textId="77777777" w:rsidR="0047529F" w:rsidRPr="00AD66B1" w:rsidRDefault="0047529F" w:rsidP="007951A4">
            <w:pPr>
              <w:spacing w:line="276" w:lineRule="auto"/>
              <w:jc w:val="center"/>
              <w:rPr>
                <w:rFonts w:ascii="Arial" w:hAnsi="Arial" w:cs="Arial"/>
                <w:bCs/>
                <w:sz w:val="20"/>
                <w:szCs w:val="20"/>
              </w:rPr>
            </w:pPr>
            <w:r w:rsidRPr="00AD66B1">
              <w:rPr>
                <w:rFonts w:ascii="Arial" w:hAnsi="Arial" w:cs="Arial"/>
                <w:bCs/>
                <w:sz w:val="20"/>
                <w:szCs w:val="20"/>
              </w:rPr>
              <w:t>0,90 – 1</w:t>
            </w:r>
          </w:p>
        </w:tc>
        <w:tc>
          <w:tcPr>
            <w:tcW w:w="567" w:type="dxa"/>
          </w:tcPr>
          <w:p w14:paraId="7A4B5E07" w14:textId="77777777" w:rsidR="0047529F" w:rsidRPr="00AD66B1" w:rsidRDefault="0047529F" w:rsidP="007951A4">
            <w:pPr>
              <w:spacing w:line="276" w:lineRule="auto"/>
              <w:jc w:val="center"/>
              <w:rPr>
                <w:rFonts w:ascii="Arial" w:hAnsi="Arial" w:cs="Arial"/>
                <w:b/>
                <w:sz w:val="20"/>
                <w:szCs w:val="20"/>
              </w:rPr>
            </w:pPr>
            <w:r w:rsidRPr="00AD66B1">
              <w:rPr>
                <w:rFonts w:ascii="Arial" w:hAnsi="Arial" w:cs="Arial"/>
                <w:b/>
                <w:sz w:val="20"/>
                <w:szCs w:val="20"/>
              </w:rPr>
              <w:t>A</w:t>
            </w:r>
          </w:p>
        </w:tc>
        <w:tc>
          <w:tcPr>
            <w:tcW w:w="2693" w:type="dxa"/>
          </w:tcPr>
          <w:p w14:paraId="38632EDA" w14:textId="77777777" w:rsidR="0047529F" w:rsidRPr="00AD66B1" w:rsidRDefault="0047529F" w:rsidP="007951A4">
            <w:pPr>
              <w:spacing w:line="276" w:lineRule="auto"/>
              <w:rPr>
                <w:rFonts w:ascii="Arial" w:hAnsi="Arial" w:cs="Arial"/>
                <w:bCs/>
                <w:sz w:val="20"/>
                <w:szCs w:val="20"/>
              </w:rPr>
            </w:pPr>
            <w:r w:rsidRPr="00AD66B1">
              <w:rPr>
                <w:rFonts w:ascii="Arial" w:hAnsi="Arial" w:cs="Arial"/>
                <w:bCs/>
                <w:sz w:val="20"/>
                <w:szCs w:val="20"/>
              </w:rPr>
              <w:t>Altamente Efetiva</w:t>
            </w:r>
          </w:p>
        </w:tc>
      </w:tr>
    </w:tbl>
    <w:p w14:paraId="0964C566" w14:textId="77777777" w:rsidR="0047529F" w:rsidRPr="00AD66B1" w:rsidRDefault="0047529F" w:rsidP="001A0BEA">
      <w:pPr>
        <w:rPr>
          <w:rFonts w:ascii="Arial" w:hAnsi="Arial" w:cs="Arial"/>
          <w:bCs/>
          <w:sz w:val="20"/>
          <w:szCs w:val="20"/>
        </w:rPr>
      </w:pPr>
      <w:r w:rsidRPr="00AD66B1">
        <w:rPr>
          <w:rFonts w:ascii="Arial" w:hAnsi="Arial" w:cs="Arial"/>
          <w:bCs/>
          <w:sz w:val="20"/>
          <w:szCs w:val="20"/>
        </w:rPr>
        <w:t xml:space="preserve">Legenda: </w:t>
      </w:r>
    </w:p>
    <w:p w14:paraId="79F590AD" w14:textId="77777777" w:rsidR="0047529F" w:rsidRPr="00AD66B1" w:rsidRDefault="0047529F" w:rsidP="001A0BEA">
      <w:pPr>
        <w:rPr>
          <w:rFonts w:ascii="Arial" w:hAnsi="Arial" w:cs="Arial"/>
          <w:bCs/>
          <w:sz w:val="20"/>
          <w:szCs w:val="20"/>
        </w:rPr>
      </w:pPr>
    </w:p>
    <w:p w14:paraId="5CBC26A5" w14:textId="77777777" w:rsidR="0047529F" w:rsidRPr="00AD66B1" w:rsidRDefault="0047529F" w:rsidP="001A0BEA">
      <w:pPr>
        <w:rPr>
          <w:rFonts w:ascii="Arial" w:hAnsi="Arial" w:cs="Arial"/>
          <w:bCs/>
          <w:sz w:val="20"/>
          <w:szCs w:val="20"/>
        </w:rPr>
      </w:pPr>
    </w:p>
    <w:p w14:paraId="39237410" w14:textId="77777777" w:rsidR="0047529F" w:rsidRPr="00AD66B1" w:rsidRDefault="0047529F" w:rsidP="001A0BEA">
      <w:pPr>
        <w:jc w:val="both"/>
        <w:rPr>
          <w:rFonts w:ascii="Arial" w:hAnsi="Arial" w:cs="Arial"/>
          <w:bCs/>
          <w:sz w:val="20"/>
          <w:szCs w:val="20"/>
        </w:rPr>
      </w:pPr>
    </w:p>
    <w:p w14:paraId="202867C6" w14:textId="77777777" w:rsidR="0047529F" w:rsidRPr="00AD66B1" w:rsidRDefault="0047529F" w:rsidP="001A0BEA">
      <w:pPr>
        <w:rPr>
          <w:rFonts w:ascii="Arial" w:hAnsi="Arial" w:cs="Arial"/>
          <w:bCs/>
          <w:sz w:val="20"/>
          <w:szCs w:val="20"/>
        </w:rPr>
      </w:pPr>
    </w:p>
    <w:p w14:paraId="4921E83A" w14:textId="77777777" w:rsidR="0047529F" w:rsidRPr="00AD66B1" w:rsidRDefault="0047529F" w:rsidP="001A0BEA">
      <w:pPr>
        <w:rPr>
          <w:rFonts w:ascii="Arial" w:hAnsi="Arial" w:cs="Arial"/>
          <w:bCs/>
          <w:sz w:val="16"/>
          <w:szCs w:val="16"/>
        </w:rPr>
      </w:pPr>
    </w:p>
    <w:p w14:paraId="021388D3" w14:textId="77777777" w:rsidR="001A0BEA" w:rsidRDefault="001A0BEA" w:rsidP="001A0BEA">
      <w:pPr>
        <w:rPr>
          <w:rFonts w:ascii="Arial" w:hAnsi="Arial" w:cs="Arial"/>
          <w:bCs/>
          <w:sz w:val="20"/>
          <w:szCs w:val="20"/>
        </w:rPr>
      </w:pPr>
    </w:p>
    <w:p w14:paraId="34D6D5FB" w14:textId="2B40144A" w:rsidR="0047529F" w:rsidRPr="00AD66B1" w:rsidRDefault="0047529F" w:rsidP="001A0BEA">
      <w:pPr>
        <w:rPr>
          <w:rFonts w:ascii="Arial" w:hAnsi="Arial" w:cs="Arial"/>
          <w:sz w:val="20"/>
          <w:szCs w:val="20"/>
        </w:rPr>
      </w:pPr>
      <w:r w:rsidRPr="00AD66B1">
        <w:rPr>
          <w:rFonts w:ascii="Arial" w:hAnsi="Arial" w:cs="Arial"/>
          <w:bCs/>
          <w:sz w:val="20"/>
          <w:szCs w:val="20"/>
        </w:rPr>
        <w:t xml:space="preserve">Fonte: </w:t>
      </w:r>
      <w:r w:rsidRPr="00AD66B1">
        <w:rPr>
          <w:rFonts w:ascii="Arial" w:hAnsi="Arial" w:cs="Arial"/>
          <w:sz w:val="20"/>
          <w:szCs w:val="20"/>
        </w:rPr>
        <w:t xml:space="preserve">Elaboração própria com base em dados do </w:t>
      </w:r>
      <w:r w:rsidR="001A0BEA">
        <w:rPr>
          <w:rFonts w:ascii="Arial" w:hAnsi="Arial" w:cs="Arial"/>
          <w:sz w:val="20"/>
          <w:szCs w:val="20"/>
        </w:rPr>
        <w:t>IEGM</w:t>
      </w:r>
      <w:r w:rsidRPr="00AD66B1">
        <w:rPr>
          <w:rFonts w:ascii="Arial" w:hAnsi="Arial" w:cs="Arial"/>
          <w:sz w:val="20"/>
          <w:szCs w:val="20"/>
        </w:rPr>
        <w:t xml:space="preserve"> Brasil, 2025.</w:t>
      </w:r>
    </w:p>
    <w:p w14:paraId="6856E5F1" w14:textId="76604AE4" w:rsidR="0047529F" w:rsidRPr="00A71993" w:rsidRDefault="0047529F" w:rsidP="00142195">
      <w:pPr>
        <w:pStyle w:val="Corpo"/>
        <w:spacing w:after="0" w:line="360" w:lineRule="auto"/>
        <w:ind w:firstLine="851"/>
        <w:jc w:val="both"/>
      </w:pPr>
      <w:r w:rsidRPr="00A71993">
        <w:lastRenderedPageBreak/>
        <w:t xml:space="preserve">Analisando o resultado do IEGM do exercício de 2023, feito com novo método de cálculo, percebe-se que, possivelmente por maior rigor nos critérios avaliados, os três municípios tiveram resultados muito ruins, com gestão de baixo nível de adequação. O pior resultado foi de Itapemirim com IEGM = 0,390 e o menos ruim foi de Marataízes com IEDGM = 0,442. Como pode ser visto, os valores foram muito distantes do que colocaria as gestões municipais como altamente efetivas, que seria de 0,9 a 1. </w:t>
      </w:r>
    </w:p>
    <w:p w14:paraId="68C03460" w14:textId="5DDBBD9D" w:rsidR="0047529F" w:rsidRPr="00A71993" w:rsidRDefault="0047529F" w:rsidP="00142195">
      <w:pPr>
        <w:pStyle w:val="Corpo"/>
        <w:spacing w:after="0" w:line="360" w:lineRule="auto"/>
        <w:ind w:firstLine="851"/>
        <w:jc w:val="both"/>
      </w:pPr>
      <w:r w:rsidRPr="00A71993">
        <w:t xml:space="preserve">O resultado encontrado para o IEGM em 2023 substância a falta de gestão de recursos de </w:t>
      </w:r>
      <w:r w:rsidRPr="00A71993">
        <w:rPr>
          <w:i/>
          <w:iCs/>
        </w:rPr>
        <w:t>royalties</w:t>
      </w:r>
      <w:r w:rsidRPr="00A71993">
        <w:t xml:space="preserve"> de petróleo, nas áreas de educação, saúde, planejamento, governança em tecnologia de informação, gestão fiscal, meio ambiente e cidades, as sete dimensões avaliadas no índice. </w:t>
      </w:r>
    </w:p>
    <w:p w14:paraId="3D56C4C1" w14:textId="47FDADD1" w:rsidR="003B7BEE" w:rsidRDefault="00142195" w:rsidP="00B64BEE">
      <w:pPr>
        <w:pStyle w:val="Corpo"/>
        <w:spacing w:after="0" w:line="360" w:lineRule="auto"/>
        <w:ind w:firstLine="851"/>
        <w:jc w:val="both"/>
        <w:rPr>
          <w:rStyle w:val="Nenhum"/>
        </w:rPr>
      </w:pPr>
      <w:r w:rsidRPr="00A71993">
        <w:t xml:space="preserve">Numa visão conjunta do IEGM e dos outros indicadores de desenvolvimento socioeconômico, </w:t>
      </w:r>
      <w:r w:rsidR="00FD67C7" w:rsidRPr="00A71993">
        <w:t xml:space="preserve">tem-se um panorama geral de falta de uso das rendas petrolíferas que as colocariam como uma benção para os três municípios. Isso vai de encontro aos resultados encontrados por </w:t>
      </w:r>
      <w:r w:rsidR="00FD67C7" w:rsidRPr="00A71993">
        <w:rPr>
          <w:rStyle w:val="Nenhum"/>
        </w:rPr>
        <w:t xml:space="preserve">Girardi e </w:t>
      </w:r>
      <w:proofErr w:type="spellStart"/>
      <w:r w:rsidR="00FD67C7" w:rsidRPr="00A71993">
        <w:rPr>
          <w:rStyle w:val="Nenhum"/>
        </w:rPr>
        <w:t>Cometti</w:t>
      </w:r>
      <w:proofErr w:type="spellEnd"/>
      <w:r w:rsidR="00FD67C7" w:rsidRPr="00A71993">
        <w:rPr>
          <w:rStyle w:val="Nenhum"/>
        </w:rPr>
        <w:t xml:space="preserve"> (2006), Terra (2006), Deodato (2018), Gomes (2007), </w:t>
      </w:r>
      <w:proofErr w:type="spellStart"/>
      <w:r w:rsidR="00FD67C7" w:rsidRPr="00A71993">
        <w:rPr>
          <w:rStyle w:val="Nenhum"/>
        </w:rPr>
        <w:t>Givisiez</w:t>
      </w:r>
      <w:proofErr w:type="spellEnd"/>
      <w:r w:rsidR="00FD67C7" w:rsidRPr="00A71993">
        <w:rPr>
          <w:rStyle w:val="Nenhum"/>
        </w:rPr>
        <w:t xml:space="preserve"> e Oliveira, (2008), Costa Filho (2016), Matta e Fonseca (2020), </w:t>
      </w:r>
      <w:r w:rsidR="00EC0A93" w:rsidRPr="00A71993">
        <w:rPr>
          <w:rStyle w:val="Nenhum"/>
        </w:rPr>
        <w:t xml:space="preserve">Viana </w:t>
      </w:r>
      <w:r w:rsidR="00EC0A93" w:rsidRPr="00A71993">
        <w:rPr>
          <w:rStyle w:val="Nenhum"/>
          <w:i/>
          <w:iCs/>
        </w:rPr>
        <w:t>et al</w:t>
      </w:r>
      <w:r w:rsidR="00EC0A93" w:rsidRPr="00A71993">
        <w:rPr>
          <w:rStyle w:val="Nenhum"/>
        </w:rPr>
        <w:t xml:space="preserve"> (2021), </w:t>
      </w:r>
      <w:r w:rsidR="00FD67C7" w:rsidRPr="00A71993">
        <w:rPr>
          <w:rStyle w:val="Nenhum"/>
        </w:rPr>
        <w:t xml:space="preserve">os quais não identificaram a utilização dos </w:t>
      </w:r>
      <w:r w:rsidR="00FD67C7" w:rsidRPr="00A71993">
        <w:rPr>
          <w:rStyle w:val="Nenhum"/>
          <w:i/>
          <w:iCs/>
        </w:rPr>
        <w:t>royalties</w:t>
      </w:r>
      <w:r w:rsidR="00FD67C7" w:rsidRPr="00A71993">
        <w:rPr>
          <w:rStyle w:val="Nenhum"/>
        </w:rPr>
        <w:t xml:space="preserve"> trazendo resultados positivos expressivos para os municípios pesquisados</w:t>
      </w:r>
      <w:r w:rsidR="00BC1166">
        <w:rPr>
          <w:rStyle w:val="Nenhum"/>
        </w:rPr>
        <w:t xml:space="preserve"> </w:t>
      </w:r>
      <w:r w:rsidR="003A37A7">
        <w:rPr>
          <w:rStyle w:val="Nenhum"/>
        </w:rPr>
        <w:t xml:space="preserve">no Espírito Santo e </w:t>
      </w:r>
      <w:r w:rsidR="00BC1166">
        <w:rPr>
          <w:rStyle w:val="Nenhum"/>
        </w:rPr>
        <w:t>em outros Estados também</w:t>
      </w:r>
      <w:r w:rsidR="00FD67C7" w:rsidRPr="00A71993">
        <w:rPr>
          <w:rStyle w:val="Nenhum"/>
        </w:rPr>
        <w:t xml:space="preserve">, ou pior ainda, encontraram em alguns casos, o mau uso do recurso abundante. </w:t>
      </w:r>
    </w:p>
    <w:p w14:paraId="32451BBF" w14:textId="77777777" w:rsidR="00B64BEE" w:rsidRPr="000A43B9" w:rsidRDefault="00B64BEE" w:rsidP="002C1AE7">
      <w:pPr>
        <w:pStyle w:val="Corpo"/>
        <w:spacing w:after="0" w:line="360" w:lineRule="auto"/>
        <w:ind w:firstLine="851"/>
        <w:jc w:val="both"/>
        <w:rPr>
          <w:rStyle w:val="Nenhum"/>
        </w:rPr>
      </w:pPr>
      <w:r w:rsidRPr="000A43B9">
        <w:rPr>
          <w:rStyle w:val="Nenhum"/>
        </w:rPr>
        <w:t xml:space="preserve">Recentemente, Oliveira e Cícero (2025) e Oliveira (2025) trouxeram à tona que apesar de ter os cofres públicos abastecidos com elevadas cifras </w:t>
      </w:r>
      <w:r>
        <w:rPr>
          <w:rStyle w:val="Nenhum"/>
        </w:rPr>
        <w:t xml:space="preserve">de </w:t>
      </w:r>
      <w:r w:rsidRPr="006B5A58">
        <w:rPr>
          <w:rStyle w:val="Nenhum"/>
          <w:i/>
          <w:iCs/>
        </w:rPr>
        <w:t>royalties</w:t>
      </w:r>
      <w:r>
        <w:rPr>
          <w:rStyle w:val="Nenhum"/>
        </w:rPr>
        <w:t xml:space="preserve"> e participações especiais desde 1999, Presidente Kennedy não foi capaz de reduzir as desigualdades, tendo ainda, em 2025, falta de saneamento, atendimento médico deficitário, ensino público deficiente e enorme discrepância social. As conclusões dos autores consolidam o panorama socioeconômico encontrado no presente estudo. </w:t>
      </w:r>
    </w:p>
    <w:p w14:paraId="79017D05" w14:textId="77777777" w:rsidR="00555C86" w:rsidRPr="00A71993" w:rsidRDefault="00555C86" w:rsidP="00555C86">
      <w:pPr>
        <w:pStyle w:val="Corpo"/>
        <w:spacing w:after="0" w:line="360" w:lineRule="auto"/>
        <w:ind w:firstLine="851"/>
        <w:jc w:val="both"/>
        <w:rPr>
          <w:rFonts w:cs="Arial"/>
        </w:rPr>
      </w:pPr>
      <w:r w:rsidRPr="00A71993">
        <w:rPr>
          <w:rFonts w:cs="Arial"/>
        </w:rPr>
        <w:t>Um fator que cabe ser mencionado em relação aos municípios estudados é a instabilidade na gestão municipal no que se refere à ocupação do cargo de prefeito. No período pesquisado, houve afastamento e/ou cassação do prefeito eleito devido ao mau uso do dinheiro público. O detalhamento a seguir pode contribuir para o entendimento dos resultados encontrados no presente trabalho.</w:t>
      </w:r>
    </w:p>
    <w:p w14:paraId="2630DC54" w14:textId="09A10BA6" w:rsidR="008D2EBD" w:rsidRPr="00A71993" w:rsidRDefault="00555C86" w:rsidP="002C1AE7">
      <w:pPr>
        <w:pStyle w:val="Corpo"/>
        <w:spacing w:after="0" w:line="360" w:lineRule="auto"/>
        <w:ind w:firstLine="851"/>
        <w:jc w:val="both"/>
      </w:pPr>
      <w:r w:rsidRPr="00A71993">
        <w:rPr>
          <w:rStyle w:val="Nenhum"/>
        </w:rPr>
        <w:t>Em 2012</w:t>
      </w:r>
      <w:r w:rsidR="00EC1B24" w:rsidRPr="00A71993">
        <w:rPr>
          <w:rStyle w:val="Nenhum"/>
        </w:rPr>
        <w:t>,</w:t>
      </w:r>
      <w:r w:rsidRPr="00A71993">
        <w:rPr>
          <w:rStyle w:val="Nenhum"/>
        </w:rPr>
        <w:t xml:space="preserve"> ocorreu uma intervenção estadual em Presidente Kennedy,</w:t>
      </w:r>
      <w:r w:rsidR="00EC1B24" w:rsidRPr="00A71993">
        <w:rPr>
          <w:rStyle w:val="Nenhum"/>
        </w:rPr>
        <w:t xml:space="preserve"> com posterior </w:t>
      </w:r>
      <w:r w:rsidRPr="00A71993">
        <w:rPr>
          <w:rStyle w:val="Nenhum"/>
        </w:rPr>
        <w:t>prisão do prefeito</w:t>
      </w:r>
      <w:r w:rsidR="00EC1B24" w:rsidRPr="00A71993">
        <w:rPr>
          <w:rStyle w:val="Nenhum"/>
        </w:rPr>
        <w:t xml:space="preserve"> afastado</w:t>
      </w:r>
      <w:r w:rsidRPr="00A71993">
        <w:rPr>
          <w:rStyle w:val="Nenhum"/>
        </w:rPr>
        <w:t xml:space="preserve">. </w:t>
      </w:r>
      <w:r w:rsidR="00EC1B24" w:rsidRPr="00A71993">
        <w:rPr>
          <w:rStyle w:val="Nenhum"/>
        </w:rPr>
        <w:t>Nos mandatos seguintes, houve</w:t>
      </w:r>
      <w:r w:rsidRPr="00A71993">
        <w:rPr>
          <w:rStyle w:val="Nenhum"/>
        </w:rPr>
        <w:t xml:space="preserve"> afastamento e </w:t>
      </w:r>
      <w:r w:rsidRPr="00A71993">
        <w:rPr>
          <w:rStyle w:val="Nenhum"/>
        </w:rPr>
        <w:lastRenderedPageBreak/>
        <w:t>prisão de gestores e secretários, com vice assumindo a gestão.</w:t>
      </w:r>
      <w:r w:rsidR="00EC1B24" w:rsidRPr="00A71993">
        <w:rPr>
          <w:rStyle w:val="Nenhum"/>
        </w:rPr>
        <w:t xml:space="preserve"> Atualmente, o município está com gestão interina do Presidente da Câmara Municipal, porque o candidato eleito não pôde assumir o cargo. </w:t>
      </w:r>
      <w:r w:rsidRPr="00A71993">
        <w:rPr>
          <w:rStyle w:val="Nenhum"/>
        </w:rPr>
        <w:t>Em Marataízes, em 2015</w:t>
      </w:r>
      <w:r w:rsidR="00EC1B24" w:rsidRPr="00A71993">
        <w:rPr>
          <w:rStyle w:val="Nenhum"/>
        </w:rPr>
        <w:t>,</w:t>
      </w:r>
      <w:r w:rsidRPr="00A71993">
        <w:rPr>
          <w:rStyle w:val="Nenhum"/>
        </w:rPr>
        <w:t xml:space="preserve"> </w:t>
      </w:r>
      <w:r w:rsidR="00EC1B24" w:rsidRPr="00A71993">
        <w:rPr>
          <w:rStyle w:val="Nenhum"/>
        </w:rPr>
        <w:t>ocorreu afastamento d</w:t>
      </w:r>
      <w:r w:rsidRPr="00A71993">
        <w:rPr>
          <w:rStyle w:val="Nenhum"/>
        </w:rPr>
        <w:t>o prefeito</w:t>
      </w:r>
      <w:r w:rsidR="00EC1B24" w:rsidRPr="00A71993">
        <w:rPr>
          <w:rStyle w:val="Nenhum"/>
        </w:rPr>
        <w:t xml:space="preserve"> e o vice-prefeito assumiu a </w:t>
      </w:r>
      <w:r w:rsidRPr="00A71993">
        <w:rPr>
          <w:rStyle w:val="Nenhum"/>
        </w:rPr>
        <w:t>gestão</w:t>
      </w:r>
      <w:r w:rsidR="00EC1B24" w:rsidRPr="00A71993">
        <w:rPr>
          <w:rStyle w:val="Nenhum"/>
        </w:rPr>
        <w:t>.</w:t>
      </w:r>
      <w:r w:rsidRPr="00A71993">
        <w:rPr>
          <w:rStyle w:val="Nenhum"/>
        </w:rPr>
        <w:t xml:space="preserve"> Em 2022, o prefeito foi </w:t>
      </w:r>
      <w:r w:rsidR="00EC1B24" w:rsidRPr="00A71993">
        <w:rPr>
          <w:rStyle w:val="Nenhum"/>
        </w:rPr>
        <w:t xml:space="preserve">afastado e voltou, </w:t>
      </w:r>
      <w:r w:rsidRPr="00A71993">
        <w:rPr>
          <w:rStyle w:val="Nenhum"/>
        </w:rPr>
        <w:t xml:space="preserve">após alguns meses. </w:t>
      </w:r>
      <w:r w:rsidR="00EC1B24" w:rsidRPr="00A71993">
        <w:rPr>
          <w:rStyle w:val="Nenhum"/>
        </w:rPr>
        <w:t>Em I</w:t>
      </w:r>
      <w:r w:rsidRPr="00A71993">
        <w:rPr>
          <w:rStyle w:val="Nenhum"/>
        </w:rPr>
        <w:t>tapemirim nenhum prefeito eleito terminou o mandato</w:t>
      </w:r>
      <w:r w:rsidR="008D2EBD" w:rsidRPr="00A71993">
        <w:rPr>
          <w:rStyle w:val="Nenhum"/>
        </w:rPr>
        <w:t>,</w:t>
      </w:r>
      <w:r w:rsidRPr="00A71993">
        <w:rPr>
          <w:rStyle w:val="Nenhum"/>
        </w:rPr>
        <w:t xml:space="preserve"> a partir da eleição municipal de 2012. Houve afastamento, cassação, eleição suplementar, candidato a prefeito vencendo o pleito eleitoral e nem assumindo o cargo, com o vice sendo o gestor em todo o mandato. Nos três municípios</w:t>
      </w:r>
      <w:r w:rsidR="008D2EBD" w:rsidRPr="00A71993">
        <w:rPr>
          <w:rStyle w:val="Nenhum"/>
        </w:rPr>
        <w:t>, limítrofes uns ao outros, ocorreram</w:t>
      </w:r>
      <w:r w:rsidRPr="00A71993">
        <w:rPr>
          <w:rStyle w:val="Nenhum"/>
        </w:rPr>
        <w:t xml:space="preserve"> prisões durante mandato e pós-mandato, em operações de combate à corrupção.</w:t>
      </w:r>
      <w:r w:rsidR="00530AE8">
        <w:rPr>
          <w:rStyle w:val="Nenhum"/>
        </w:rPr>
        <w:t xml:space="preserve"> </w:t>
      </w:r>
      <w:r w:rsidR="008D2EBD" w:rsidRPr="00A71993">
        <w:rPr>
          <w:rStyle w:val="Nenhum"/>
        </w:rPr>
        <w:t xml:space="preserve">Todos os fatos relatados foram amplamente divulgados na mídia nacional. </w:t>
      </w:r>
    </w:p>
    <w:p w14:paraId="42EFCA71" w14:textId="7E5B008C" w:rsidR="003274EF" w:rsidRPr="00AD66B1" w:rsidRDefault="00555C86" w:rsidP="00425531">
      <w:pPr>
        <w:pStyle w:val="Corpo"/>
        <w:spacing w:after="0" w:line="360" w:lineRule="auto"/>
        <w:ind w:firstLine="851"/>
        <w:jc w:val="both"/>
        <w:rPr>
          <w:rFonts w:cs="Arial"/>
          <w:b/>
        </w:rPr>
      </w:pPr>
      <w:r>
        <w:rPr>
          <w:rFonts w:cs="Arial"/>
        </w:rPr>
        <w:t xml:space="preserve"> </w:t>
      </w:r>
    </w:p>
    <w:p w14:paraId="3E50D84E" w14:textId="77777777" w:rsidR="00990E9E" w:rsidRPr="00AD66B1" w:rsidRDefault="00990E9E" w:rsidP="00425531">
      <w:pPr>
        <w:rPr>
          <w:rFonts w:ascii="Arial" w:hAnsi="Arial" w:cs="Arial"/>
          <w:b/>
        </w:rPr>
      </w:pPr>
      <w:r w:rsidRPr="00AD66B1">
        <w:rPr>
          <w:rFonts w:ascii="Arial" w:hAnsi="Arial" w:cs="Arial"/>
          <w:b/>
        </w:rPr>
        <w:t>4 CONSIDERAÇÕES FINAIS</w:t>
      </w:r>
    </w:p>
    <w:p w14:paraId="5E96110F" w14:textId="77777777" w:rsidR="00990E9E" w:rsidRDefault="00990E9E" w:rsidP="00425531">
      <w:pPr>
        <w:spacing w:line="360" w:lineRule="auto"/>
        <w:rPr>
          <w:rFonts w:ascii="Arial" w:hAnsi="Arial" w:cs="Arial"/>
          <w:b/>
        </w:rPr>
      </w:pPr>
    </w:p>
    <w:p w14:paraId="65EE68A0" w14:textId="66108182" w:rsidR="00530AE8" w:rsidRDefault="00530AE8" w:rsidP="002C1AE7">
      <w:pPr>
        <w:spacing w:line="360" w:lineRule="auto"/>
        <w:ind w:firstLine="851"/>
        <w:jc w:val="both"/>
        <w:rPr>
          <w:rFonts w:ascii="Arial" w:hAnsi="Arial" w:cs="Arial"/>
          <w:bCs/>
        </w:rPr>
      </w:pPr>
      <w:r w:rsidRPr="00530AE8">
        <w:rPr>
          <w:rFonts w:ascii="Arial" w:hAnsi="Arial" w:cs="Arial"/>
          <w:bCs/>
        </w:rPr>
        <w:t>Diante do cenário mostrado</w:t>
      </w:r>
      <w:r>
        <w:rPr>
          <w:rFonts w:ascii="Arial" w:hAnsi="Arial" w:cs="Arial"/>
          <w:bCs/>
        </w:rPr>
        <w:t xml:space="preserve">, surgem alguns questionamentos sobre o os porquês de as populações dos municípios não terem suas necessidades básicas atendidas, de não haver geração de empregos, investimentos, planejamento para </w:t>
      </w:r>
      <w:r w:rsidR="00214CAE">
        <w:rPr>
          <w:rFonts w:ascii="Arial" w:hAnsi="Arial" w:cs="Arial"/>
          <w:bCs/>
        </w:rPr>
        <w:t xml:space="preserve">reduzir as desigualdades sociais, da abundância não trazer como resultado excelentes indicadores socioeconômicos. </w:t>
      </w:r>
    </w:p>
    <w:p w14:paraId="554DB473" w14:textId="6018CCC7" w:rsidR="00214CAE" w:rsidRDefault="00214CAE" w:rsidP="00214CAE">
      <w:pPr>
        <w:spacing w:line="360" w:lineRule="auto"/>
        <w:ind w:firstLine="851"/>
        <w:jc w:val="both"/>
        <w:rPr>
          <w:rFonts w:ascii="Arial" w:hAnsi="Arial" w:cs="Arial"/>
          <w:bCs/>
        </w:rPr>
      </w:pPr>
      <w:r>
        <w:rPr>
          <w:rFonts w:ascii="Arial" w:hAnsi="Arial" w:cs="Arial"/>
          <w:bCs/>
        </w:rPr>
        <w:t xml:space="preserve">Essas questões, assim como as limitações da pesquisa, dentre elas o uso somente de dados secundários e abertos, indicam lacunas para novos estudos e até mesmo pesquisas </w:t>
      </w:r>
      <w:r w:rsidRPr="00214CAE">
        <w:rPr>
          <w:rFonts w:ascii="Arial" w:hAnsi="Arial" w:cs="Arial"/>
          <w:bCs/>
          <w:i/>
          <w:iCs/>
        </w:rPr>
        <w:t>in loco</w:t>
      </w:r>
      <w:r>
        <w:rPr>
          <w:rFonts w:ascii="Arial" w:hAnsi="Arial" w:cs="Arial"/>
          <w:bCs/>
        </w:rPr>
        <w:t>. Os municípios petrorrentistas do Espírito Santo merecem ser mais profundamente investigados, com relação ao seu desenvolvimento.</w:t>
      </w:r>
      <w:r w:rsidR="00CF1421">
        <w:rPr>
          <w:rFonts w:ascii="Arial" w:hAnsi="Arial" w:cs="Arial"/>
          <w:bCs/>
        </w:rPr>
        <w:t xml:space="preserve"> </w:t>
      </w:r>
    </w:p>
    <w:p w14:paraId="65291C12" w14:textId="4A309DF0" w:rsidR="00214CAE" w:rsidRDefault="00214CAE" w:rsidP="00214CAE">
      <w:pPr>
        <w:spacing w:line="360" w:lineRule="auto"/>
        <w:ind w:firstLine="851"/>
        <w:jc w:val="both"/>
        <w:rPr>
          <w:rFonts w:ascii="Arial" w:hAnsi="Arial" w:cs="Arial"/>
          <w:bCs/>
        </w:rPr>
      </w:pPr>
      <w:r>
        <w:rPr>
          <w:rFonts w:ascii="Arial" w:hAnsi="Arial" w:cs="Arial"/>
          <w:bCs/>
        </w:rPr>
        <w:t xml:space="preserve">Os indicadores socioeconômicos mostraram que os </w:t>
      </w:r>
      <w:r w:rsidR="00CF1421">
        <w:rPr>
          <w:rFonts w:ascii="Arial" w:hAnsi="Arial" w:cs="Arial"/>
          <w:bCs/>
        </w:rPr>
        <w:t>municípios</w:t>
      </w:r>
      <w:r>
        <w:rPr>
          <w:rFonts w:ascii="Arial" w:hAnsi="Arial" w:cs="Arial"/>
          <w:bCs/>
        </w:rPr>
        <w:t xml:space="preserve"> petrorrentistas d</w:t>
      </w:r>
      <w:r w:rsidR="00CF1421">
        <w:rPr>
          <w:rFonts w:ascii="Arial" w:hAnsi="Arial" w:cs="Arial"/>
          <w:bCs/>
        </w:rPr>
        <w:t>a região</w:t>
      </w:r>
      <w:r>
        <w:rPr>
          <w:rFonts w:ascii="Arial" w:hAnsi="Arial" w:cs="Arial"/>
          <w:bCs/>
        </w:rPr>
        <w:t xml:space="preserve"> Litoral Sul Capixaba</w:t>
      </w:r>
      <w:r w:rsidR="00CF1421">
        <w:rPr>
          <w:rFonts w:ascii="Arial" w:hAnsi="Arial" w:cs="Arial"/>
          <w:bCs/>
        </w:rPr>
        <w:t xml:space="preserve"> não geriram as receitas de rendas petrolíferas com investimentos e infraestrutura que </w:t>
      </w:r>
      <w:r w:rsidR="001B2F7A">
        <w:rPr>
          <w:rFonts w:ascii="Arial" w:hAnsi="Arial" w:cs="Arial"/>
          <w:bCs/>
        </w:rPr>
        <w:t>surtissem</w:t>
      </w:r>
      <w:r w:rsidR="00CF1421">
        <w:rPr>
          <w:rFonts w:ascii="Arial" w:hAnsi="Arial" w:cs="Arial"/>
          <w:bCs/>
        </w:rPr>
        <w:t xml:space="preserve"> resultados mais satisfatórios condizentes com as fartas receitas. </w:t>
      </w:r>
    </w:p>
    <w:p w14:paraId="4542B11E" w14:textId="53571B3E" w:rsidR="00CF1421" w:rsidRDefault="00CF1421" w:rsidP="00214CAE">
      <w:pPr>
        <w:spacing w:line="360" w:lineRule="auto"/>
        <w:ind w:firstLine="851"/>
        <w:jc w:val="both"/>
        <w:rPr>
          <w:rFonts w:ascii="Arial" w:hAnsi="Arial" w:cs="Arial"/>
          <w:bCs/>
        </w:rPr>
      </w:pPr>
      <w:r>
        <w:rPr>
          <w:rFonts w:ascii="Arial" w:hAnsi="Arial" w:cs="Arial"/>
          <w:bCs/>
        </w:rPr>
        <w:t xml:space="preserve">É necessário haver instrumentos que permita aos habitantes do município saberem como foi utilizado cada centavo das rendas petrolíferas recebidas e que sejam meios simples, da fácil visualização e compreensão. Mais interessante ainda seria haver mecanismos efetivos de inclusão da população nas decisões sobre o uso desse recurso, dentro do que a legislação permite. </w:t>
      </w:r>
    </w:p>
    <w:p w14:paraId="2919DBFA" w14:textId="05CD859A" w:rsidR="00CF1421" w:rsidRPr="00530AE8" w:rsidRDefault="00242D05" w:rsidP="002C1AE7">
      <w:pPr>
        <w:spacing w:line="360" w:lineRule="auto"/>
        <w:ind w:firstLine="851"/>
        <w:jc w:val="both"/>
        <w:rPr>
          <w:rFonts w:ascii="Arial" w:hAnsi="Arial" w:cs="Arial"/>
          <w:bCs/>
        </w:rPr>
      </w:pPr>
      <w:r>
        <w:rPr>
          <w:rFonts w:ascii="Arial" w:hAnsi="Arial" w:cs="Arial"/>
          <w:bCs/>
        </w:rPr>
        <w:t xml:space="preserve">Após pesquisar as rendas petrolíferas e o desenvolvimento dos municípios petrorrentistas do Litoral Sul Capixaba, conclui-se que estes precisam gerir sua </w:t>
      </w:r>
      <w:r>
        <w:rPr>
          <w:rFonts w:ascii="Arial" w:hAnsi="Arial" w:cs="Arial"/>
          <w:bCs/>
        </w:rPr>
        <w:lastRenderedPageBreak/>
        <w:t xml:space="preserve">abundante receita com planejamento e investimentos a curto, médio e longo prazo. Principalmente, esses municípios devem buscar a independência orçamentária frente a uma renda decorrente de um recurso mineral finito, uma </w:t>
      </w:r>
      <w:r w:rsidRPr="00242D05">
        <w:rPr>
          <w:rFonts w:ascii="Arial" w:hAnsi="Arial" w:cs="Arial"/>
          <w:bCs/>
          <w:i/>
          <w:iCs/>
        </w:rPr>
        <w:t>commodity</w:t>
      </w:r>
      <w:r>
        <w:rPr>
          <w:rFonts w:ascii="Arial" w:hAnsi="Arial" w:cs="Arial"/>
          <w:bCs/>
        </w:rPr>
        <w:t>, com mercado volátil, complexo, diverso, em escala internacional, com grande influência geopolítica. Portanto, há de se planejar o hoje</w:t>
      </w:r>
      <w:r w:rsidR="007802C3">
        <w:rPr>
          <w:rFonts w:ascii="Arial" w:hAnsi="Arial" w:cs="Arial"/>
          <w:bCs/>
        </w:rPr>
        <w:t xml:space="preserve"> e o amanhã, preparando o município para oferecer condições de vida dignas para toda a população, independente do recebimento dos </w:t>
      </w:r>
      <w:r w:rsidR="007802C3" w:rsidRPr="007802C3">
        <w:rPr>
          <w:rFonts w:ascii="Arial" w:hAnsi="Arial" w:cs="Arial"/>
          <w:bCs/>
          <w:i/>
          <w:iCs/>
        </w:rPr>
        <w:t>royalties</w:t>
      </w:r>
      <w:r w:rsidR="007802C3">
        <w:rPr>
          <w:rFonts w:ascii="Arial" w:hAnsi="Arial" w:cs="Arial"/>
          <w:bCs/>
        </w:rPr>
        <w:t xml:space="preserve"> e participações especiais advindos da exploração do petróleo. </w:t>
      </w:r>
    </w:p>
    <w:p w14:paraId="16F80990" w14:textId="77777777" w:rsidR="00530AE8" w:rsidRDefault="00530AE8" w:rsidP="008F6843">
      <w:pPr>
        <w:spacing w:line="360" w:lineRule="auto"/>
        <w:jc w:val="both"/>
        <w:rPr>
          <w:rFonts w:ascii="Arial" w:hAnsi="Arial" w:cs="Arial"/>
          <w:b/>
        </w:rPr>
      </w:pPr>
    </w:p>
    <w:p w14:paraId="3E19501B" w14:textId="2826F3F7" w:rsidR="00990E9E" w:rsidRPr="00AD66B1" w:rsidRDefault="00990E9E" w:rsidP="002C1AE7">
      <w:pPr>
        <w:rPr>
          <w:rFonts w:ascii="Arial" w:hAnsi="Arial" w:cs="Arial"/>
          <w:b/>
        </w:rPr>
      </w:pPr>
      <w:r w:rsidRPr="00AD66B1">
        <w:rPr>
          <w:rFonts w:ascii="Arial" w:hAnsi="Arial" w:cs="Arial"/>
          <w:b/>
        </w:rPr>
        <w:t xml:space="preserve">REFERÊNCIAS </w:t>
      </w:r>
    </w:p>
    <w:p w14:paraId="28BCFFB7" w14:textId="3E8710A3" w:rsidR="00990E9E" w:rsidRPr="00AD66B1" w:rsidRDefault="00990E9E" w:rsidP="008F6843">
      <w:pPr>
        <w:spacing w:line="360" w:lineRule="auto"/>
        <w:rPr>
          <w:rFonts w:ascii="Arial" w:hAnsi="Arial" w:cs="Arial"/>
          <w:b/>
        </w:rPr>
      </w:pPr>
      <w:r w:rsidRPr="00AD66B1">
        <w:rPr>
          <w:rFonts w:ascii="Arial" w:hAnsi="Arial" w:cs="Arial"/>
          <w:b/>
        </w:rPr>
        <w:t xml:space="preserve"> </w:t>
      </w:r>
    </w:p>
    <w:p w14:paraId="0488604B" w14:textId="77777777" w:rsidR="00283EBD" w:rsidRPr="00283EBD" w:rsidRDefault="00283EBD" w:rsidP="00283EBD">
      <w:pPr>
        <w:rPr>
          <w:rFonts w:ascii="Arial" w:hAnsi="Arial" w:cs="Arial"/>
        </w:rPr>
      </w:pPr>
      <w:r w:rsidRPr="00283EBD">
        <w:rPr>
          <w:rFonts w:ascii="Arial" w:hAnsi="Arial" w:cs="Arial"/>
        </w:rPr>
        <w:t xml:space="preserve">BRASIL. Ministério do Desenvolvimento e Assistência Social, Família e Combate à Fome. Secretaria Nacional de Renda e Cidadania. Secretaria de Avaliação, Gestão da Informação e Cadastro Único. </w:t>
      </w:r>
      <w:r w:rsidRPr="00283EBD">
        <w:rPr>
          <w:rFonts w:ascii="Arial" w:hAnsi="Arial" w:cs="Arial"/>
          <w:b/>
          <w:bCs/>
        </w:rPr>
        <w:t>Bolsa Família &amp; Cadastro Único no seu Município</w:t>
      </w:r>
      <w:r w:rsidRPr="00283EBD">
        <w:rPr>
          <w:rFonts w:ascii="Arial" w:hAnsi="Arial" w:cs="Arial"/>
        </w:rPr>
        <w:t xml:space="preserve">. </w:t>
      </w:r>
      <w:r w:rsidRPr="00283EBD">
        <w:rPr>
          <w:rFonts w:ascii="Arial" w:hAnsi="Arial" w:cs="Arial"/>
          <w:i/>
          <w:iCs/>
        </w:rPr>
        <w:t>website</w:t>
      </w:r>
      <w:r w:rsidRPr="00283EBD">
        <w:rPr>
          <w:rFonts w:ascii="Arial" w:hAnsi="Arial" w:cs="Arial"/>
        </w:rPr>
        <w:t>. Disponível em: https://aplicacoes.cidadania.gov.br/ri/pbfcad/index.html. Acesso em 27 set. 2025</w:t>
      </w:r>
    </w:p>
    <w:p w14:paraId="69FF5C64" w14:textId="77777777" w:rsidR="00283EBD" w:rsidRPr="00283EBD" w:rsidRDefault="00283EBD" w:rsidP="002C1AE7">
      <w:pPr>
        <w:pStyle w:val="Corpo"/>
        <w:spacing w:after="0" w:line="240" w:lineRule="auto"/>
        <w:rPr>
          <w:rStyle w:val="Nenhum"/>
          <w:rFonts w:cs="Arial"/>
        </w:rPr>
      </w:pPr>
    </w:p>
    <w:p w14:paraId="7001B26B" w14:textId="77777777" w:rsidR="00CD1DE6" w:rsidRPr="000F54D6" w:rsidRDefault="00CD1DE6" w:rsidP="00CD1DE6">
      <w:pPr>
        <w:pStyle w:val="Corpo"/>
        <w:spacing w:after="0" w:line="240" w:lineRule="auto"/>
      </w:pPr>
      <w:r w:rsidRPr="000F54D6">
        <w:rPr>
          <w:rStyle w:val="Nenhum"/>
        </w:rPr>
        <w:t xml:space="preserve">CAÇADOR, S. B.; MONTE, E. Z. Impactos dos royalties do petróleo nos indicadores de desenvolvimento dos municípios do Espírito Santo. </w:t>
      </w:r>
      <w:r w:rsidRPr="000F54D6">
        <w:rPr>
          <w:rStyle w:val="Nenhum"/>
          <w:b/>
          <w:bCs/>
        </w:rPr>
        <w:t xml:space="preserve">INTERAÇÕES, </w:t>
      </w:r>
      <w:r w:rsidRPr="000F54D6">
        <w:rPr>
          <w:rStyle w:val="Nenhum"/>
        </w:rPr>
        <w:t xml:space="preserve">Campo Grande, v. 14, n. 2, p. 267-278, jul./dez. 2013. </w:t>
      </w:r>
    </w:p>
    <w:p w14:paraId="3F735E6E" w14:textId="77777777" w:rsidR="00CD1DE6" w:rsidRDefault="00CD1DE6" w:rsidP="00E62377">
      <w:pPr>
        <w:pStyle w:val="Corpo"/>
        <w:spacing w:after="0" w:line="240" w:lineRule="auto"/>
        <w:rPr>
          <w:rStyle w:val="Nenhum"/>
        </w:rPr>
      </w:pPr>
    </w:p>
    <w:p w14:paraId="7EFD9FD5" w14:textId="291F6E73" w:rsidR="00F53264" w:rsidRPr="000F54D6" w:rsidRDefault="00F53264" w:rsidP="00F53264">
      <w:pPr>
        <w:pStyle w:val="Corpo"/>
        <w:spacing w:after="0" w:line="240" w:lineRule="auto"/>
        <w:rPr>
          <w:rStyle w:val="Nenhum"/>
        </w:rPr>
      </w:pPr>
      <w:r w:rsidRPr="000F54D6">
        <w:rPr>
          <w:rStyle w:val="Nenhum"/>
        </w:rPr>
        <w:t xml:space="preserve">COSTA FILHO. </w:t>
      </w:r>
      <w:r w:rsidRPr="000F54D6">
        <w:rPr>
          <w:rStyle w:val="Nenhum"/>
          <w:b/>
          <w:bCs/>
        </w:rPr>
        <w:t>A Maldição do Petróleo: a difícil sincronia entre rendas petrolíferas e desenvolvimento no município de Presidente Kennedy/ES</w:t>
      </w:r>
      <w:r w:rsidRPr="000F54D6">
        <w:rPr>
          <w:rStyle w:val="Nenhum"/>
        </w:rPr>
        <w:t xml:space="preserve">. </w:t>
      </w:r>
      <w:r w:rsidR="008F6843">
        <w:rPr>
          <w:rStyle w:val="Nenhum"/>
        </w:rPr>
        <w:t xml:space="preserve">2016. </w:t>
      </w:r>
      <w:r w:rsidRPr="000F54D6">
        <w:rPr>
          <w:rStyle w:val="Nenhum"/>
        </w:rPr>
        <w:t xml:space="preserve">Dissertação </w:t>
      </w:r>
      <w:r w:rsidR="008F6843">
        <w:rPr>
          <w:rStyle w:val="Nenhum"/>
        </w:rPr>
        <w:t>(</w:t>
      </w:r>
      <w:r w:rsidRPr="000F54D6">
        <w:rPr>
          <w:rStyle w:val="Nenhum"/>
        </w:rPr>
        <w:t>Mestrado em Planejamento Regional e Gestão de Cidades</w:t>
      </w:r>
      <w:r w:rsidR="008F6843">
        <w:rPr>
          <w:rStyle w:val="Nenhum"/>
        </w:rPr>
        <w:t xml:space="preserve">) </w:t>
      </w:r>
      <w:r w:rsidRPr="000F54D6">
        <w:rPr>
          <w:rStyle w:val="Nenhum"/>
        </w:rPr>
        <w:t>Universidade Cândido Mendes</w:t>
      </w:r>
      <w:r w:rsidR="007A1133">
        <w:rPr>
          <w:rStyle w:val="Nenhum"/>
        </w:rPr>
        <w:t>,</w:t>
      </w:r>
      <w:r w:rsidRPr="000F54D6">
        <w:rPr>
          <w:rStyle w:val="Nenhum"/>
        </w:rPr>
        <w:t xml:space="preserve"> Campos dos Goytacazes, RJ, 2016.</w:t>
      </w:r>
    </w:p>
    <w:p w14:paraId="4D52DD39" w14:textId="77777777" w:rsidR="00F53264" w:rsidRDefault="00F53264" w:rsidP="00E62377">
      <w:pPr>
        <w:pStyle w:val="Corpo"/>
        <w:spacing w:after="0" w:line="240" w:lineRule="auto"/>
        <w:rPr>
          <w:rStyle w:val="Nenhum"/>
        </w:rPr>
      </w:pPr>
    </w:p>
    <w:p w14:paraId="54C2B032" w14:textId="71AAC5CE" w:rsidR="00E62377" w:rsidRDefault="00E62377" w:rsidP="00E62377">
      <w:pPr>
        <w:pStyle w:val="Corpo"/>
        <w:spacing w:after="0" w:line="240" w:lineRule="auto"/>
        <w:rPr>
          <w:rStyle w:val="Nenhum"/>
        </w:rPr>
      </w:pPr>
      <w:r w:rsidRPr="000F54D6">
        <w:rPr>
          <w:rStyle w:val="Nenhum"/>
        </w:rPr>
        <w:t xml:space="preserve">CRUZ, B. O.; RIBEIRO, M. B. </w:t>
      </w:r>
      <w:r w:rsidRPr="000F54D6">
        <w:rPr>
          <w:rStyle w:val="Nenhum"/>
          <w:b/>
          <w:bCs/>
        </w:rPr>
        <w:t xml:space="preserve">Sobre Maldições e Bênçãos: É Possível Gerir Recursos Naturais de Forma Sustentável? Uma Análise sobre os </w:t>
      </w:r>
      <w:r w:rsidRPr="000F54D6">
        <w:rPr>
          <w:rStyle w:val="Nenhum"/>
          <w:b/>
          <w:bCs/>
          <w:i/>
          <w:iCs/>
        </w:rPr>
        <w:t>Royaltie</w:t>
      </w:r>
      <w:r w:rsidRPr="000F54D6">
        <w:rPr>
          <w:rStyle w:val="Nenhum"/>
          <w:b/>
          <w:bCs/>
        </w:rPr>
        <w:t>s e as Compensações Financeiras no Brasil</w:t>
      </w:r>
      <w:r w:rsidRPr="000F54D6">
        <w:rPr>
          <w:rStyle w:val="Nenhum"/>
        </w:rPr>
        <w:t>. Repositório do Conhecimento do IPEA. IPEA. Texto para discussão (TD) 1412 | jul. 2009. Disponível em: https://repositorio.ipea.gov.br/handle/11058/2601. Acesso em 20 out. 2024.</w:t>
      </w:r>
    </w:p>
    <w:p w14:paraId="6364ADAF" w14:textId="77777777" w:rsidR="00F53264" w:rsidRDefault="00F53264" w:rsidP="00E62377">
      <w:pPr>
        <w:pStyle w:val="Corpo"/>
        <w:spacing w:after="0" w:line="240" w:lineRule="auto"/>
        <w:rPr>
          <w:rStyle w:val="Nenhum"/>
        </w:rPr>
      </w:pPr>
    </w:p>
    <w:p w14:paraId="2BB84675" w14:textId="6B0F7449" w:rsidR="00F53264" w:rsidRPr="000F54D6" w:rsidRDefault="00F53264" w:rsidP="00F53264">
      <w:pPr>
        <w:pStyle w:val="Corpo"/>
        <w:spacing w:after="0" w:line="240" w:lineRule="auto"/>
        <w:rPr>
          <w:rStyle w:val="Nenhum"/>
        </w:rPr>
      </w:pPr>
      <w:r w:rsidRPr="000F54D6">
        <w:rPr>
          <w:rStyle w:val="Nenhum"/>
        </w:rPr>
        <w:t xml:space="preserve">DEODATO, I. A. N. S. </w:t>
      </w:r>
      <w:r w:rsidRPr="000F54D6">
        <w:rPr>
          <w:rStyle w:val="Nenhum"/>
          <w:b/>
          <w:bCs/>
        </w:rPr>
        <w:t>Orçamento e Gastos Públicos Sociais: “O Desafio da Abundância” no Município de Quissamã / RJ</w:t>
      </w:r>
      <w:r w:rsidRPr="000F54D6">
        <w:rPr>
          <w:rStyle w:val="Nenhum"/>
        </w:rPr>
        <w:t xml:space="preserve">. </w:t>
      </w:r>
      <w:r w:rsidR="00FA101E">
        <w:rPr>
          <w:rStyle w:val="Nenhum"/>
        </w:rPr>
        <w:t xml:space="preserve">2018. </w:t>
      </w:r>
      <w:r w:rsidRPr="000F54D6">
        <w:rPr>
          <w:rStyle w:val="Nenhum"/>
        </w:rPr>
        <w:t xml:space="preserve">Dissertação </w:t>
      </w:r>
      <w:r w:rsidR="00FA101E">
        <w:rPr>
          <w:rStyle w:val="Nenhum"/>
        </w:rPr>
        <w:t>(</w:t>
      </w:r>
      <w:r w:rsidRPr="000F54D6">
        <w:rPr>
          <w:rStyle w:val="Nenhum"/>
        </w:rPr>
        <w:t>Mestrado em Planejamento Regional e Gestão da Cidade</w:t>
      </w:r>
      <w:r w:rsidR="00FA101E">
        <w:rPr>
          <w:rStyle w:val="Nenhum"/>
        </w:rPr>
        <w:t>)</w:t>
      </w:r>
      <w:r w:rsidRPr="000F54D6">
        <w:rPr>
          <w:rStyle w:val="Nenhum"/>
        </w:rPr>
        <w:t xml:space="preserve"> Universidade Candido Mendes</w:t>
      </w:r>
      <w:r w:rsidR="007A1133">
        <w:rPr>
          <w:rStyle w:val="Nenhum"/>
        </w:rPr>
        <w:t xml:space="preserve">, </w:t>
      </w:r>
      <w:r w:rsidRPr="000F54D6">
        <w:rPr>
          <w:rStyle w:val="Nenhum"/>
        </w:rPr>
        <w:t>Campos dos Goytacazes, 2018.</w:t>
      </w:r>
    </w:p>
    <w:p w14:paraId="106383C4" w14:textId="77777777" w:rsidR="00E62377" w:rsidRDefault="00E62377" w:rsidP="001C252F">
      <w:pPr>
        <w:rPr>
          <w:rStyle w:val="Nenhum"/>
          <w:rFonts w:ascii="Arial" w:eastAsia="Arial Unicode MS" w:hAnsi="Arial" w:cs="Arial Unicode MS"/>
          <w:color w:val="000000"/>
          <w:u w:color="000000"/>
          <w:bdr w:val="nil"/>
          <w14:textOutline w14:w="0" w14:cap="flat" w14:cmpd="sng" w14:algn="ctr">
            <w14:noFill/>
            <w14:prstDash w14:val="solid"/>
            <w14:bevel/>
          </w14:textOutline>
        </w:rPr>
      </w:pPr>
    </w:p>
    <w:p w14:paraId="7D617473" w14:textId="34C0F11A" w:rsidR="001C252F" w:rsidRDefault="001C252F" w:rsidP="001C252F">
      <w:pPr>
        <w:rPr>
          <w:rStyle w:val="Nenhum"/>
          <w:rFonts w:ascii="Arial" w:eastAsia="Arial Unicode MS" w:hAnsi="Arial" w:cs="Arial Unicode MS"/>
          <w:color w:val="000000"/>
          <w:u w:color="000000"/>
          <w:bdr w:val="nil"/>
          <w14:textOutline w14:w="0" w14:cap="flat" w14:cmpd="sng" w14:algn="ctr">
            <w14:noFill/>
            <w14:prstDash w14:val="solid"/>
            <w14:bevel/>
          </w14:textOutline>
        </w:rPr>
      </w:pPr>
      <w:r w:rsidRPr="00AD66B1">
        <w:rPr>
          <w:rStyle w:val="Nenhum"/>
          <w:rFonts w:ascii="Arial" w:eastAsia="Arial Unicode MS" w:hAnsi="Arial" w:cs="Arial Unicode MS"/>
          <w:color w:val="000000"/>
          <w:u w:color="000000"/>
          <w:bdr w:val="nil"/>
          <w14:textOutline w14:w="0" w14:cap="flat" w14:cmpd="sng" w14:algn="ctr">
            <w14:noFill/>
            <w14:prstDash w14:val="solid"/>
            <w14:bevel/>
          </w14:textOutline>
        </w:rPr>
        <w:t xml:space="preserve">FIRJAN. </w:t>
      </w:r>
      <w:r w:rsidRPr="00AD66B1">
        <w:rPr>
          <w:rStyle w:val="Nenhum"/>
          <w:rFonts w:ascii="Arial" w:eastAsia="Arial Unicode MS" w:hAnsi="Arial" w:cs="Arial Unicode MS"/>
          <w:b/>
          <w:bCs/>
          <w:color w:val="000000"/>
          <w:u w:color="000000"/>
          <w:bdr w:val="nil"/>
          <w14:textOutline w14:w="0" w14:cap="flat" w14:cmpd="sng" w14:algn="ctr">
            <w14:noFill/>
            <w14:prstDash w14:val="solid"/>
            <w14:bevel/>
          </w14:textOutline>
        </w:rPr>
        <w:t>IFDM – Índice Firjan de Desenvolvimento Municipal</w:t>
      </w:r>
      <w:r w:rsidRPr="00AD66B1">
        <w:rPr>
          <w:rStyle w:val="Nenhum"/>
          <w:rFonts w:ascii="Arial" w:eastAsia="Arial Unicode MS" w:hAnsi="Arial" w:cs="Arial Unicode MS"/>
          <w:color w:val="000000"/>
          <w:u w:color="000000"/>
          <w:bdr w:val="nil"/>
          <w14:textOutline w14:w="0" w14:cap="flat" w14:cmpd="sng" w14:algn="ctr">
            <w14:noFill/>
            <w14:prstDash w14:val="solid"/>
            <w14:bevel/>
          </w14:textOutline>
        </w:rPr>
        <w:t xml:space="preserve"> </w:t>
      </w:r>
      <w:r w:rsidR="006616C0" w:rsidRPr="00AD66B1">
        <w:rPr>
          <w:rStyle w:val="Nenhum"/>
          <w:rFonts w:ascii="Arial" w:eastAsia="Arial Unicode MS" w:hAnsi="Arial" w:cs="Arial Unicode MS"/>
          <w:color w:val="000000"/>
          <w:u w:color="000000"/>
          <w:bdr w:val="nil"/>
          <w14:textOutline w14:w="0" w14:cap="flat" w14:cmpd="sng" w14:algn="ctr">
            <w14:noFill/>
            <w14:prstDash w14:val="solid"/>
            <w14:bevel/>
          </w14:textOutline>
        </w:rPr>
        <w:t>(</w:t>
      </w:r>
      <w:r w:rsidRPr="00AD66B1">
        <w:rPr>
          <w:rStyle w:val="Nenhum"/>
          <w:rFonts w:ascii="Arial" w:eastAsia="Arial Unicode MS" w:hAnsi="Arial" w:cs="Arial Unicode MS"/>
          <w:i/>
          <w:iCs/>
          <w:color w:val="000000"/>
          <w:u w:color="000000"/>
          <w:bdr w:val="nil"/>
          <w14:textOutline w14:w="0" w14:cap="flat" w14:cmpd="sng" w14:algn="ctr">
            <w14:noFill/>
            <w14:prstDash w14:val="solid"/>
            <w14:bevel/>
          </w14:textOutline>
        </w:rPr>
        <w:t>website</w:t>
      </w:r>
      <w:r w:rsidR="006616C0" w:rsidRPr="00AD66B1">
        <w:rPr>
          <w:rStyle w:val="Nenhum"/>
          <w:rFonts w:ascii="Arial" w:eastAsia="Arial Unicode MS" w:hAnsi="Arial" w:cs="Arial Unicode MS"/>
          <w:color w:val="000000"/>
          <w:u w:color="000000"/>
          <w:bdr w:val="nil"/>
          <w14:textOutline w14:w="0" w14:cap="flat" w14:cmpd="sng" w14:algn="ctr">
            <w14:noFill/>
            <w14:prstDash w14:val="solid"/>
            <w14:bevel/>
          </w14:textOutline>
        </w:rPr>
        <w:t>)</w:t>
      </w:r>
      <w:r w:rsidRPr="00AD66B1">
        <w:rPr>
          <w:rStyle w:val="Nenhum"/>
          <w:rFonts w:ascii="Arial" w:eastAsia="Arial Unicode MS" w:hAnsi="Arial" w:cs="Arial Unicode MS"/>
          <w:color w:val="000000"/>
          <w:u w:color="000000"/>
          <w:bdr w:val="nil"/>
          <w14:textOutline w14:w="0" w14:cap="flat" w14:cmpd="sng" w14:algn="ctr">
            <w14:noFill/>
            <w14:prstDash w14:val="solid"/>
            <w14:bevel/>
          </w14:textOutline>
        </w:rPr>
        <w:t>. Disponível em: https://www.firjan.com.br/ifdm. Acesso em: 12 mai. 2025</w:t>
      </w:r>
      <w:r w:rsidR="00F53264">
        <w:rPr>
          <w:rStyle w:val="Nenhum"/>
          <w:rFonts w:ascii="Arial" w:eastAsia="Arial Unicode MS" w:hAnsi="Arial" w:cs="Arial Unicode MS"/>
          <w:color w:val="000000"/>
          <w:u w:color="000000"/>
          <w:bdr w:val="nil"/>
          <w14:textOutline w14:w="0" w14:cap="flat" w14:cmpd="sng" w14:algn="ctr">
            <w14:noFill/>
            <w14:prstDash w14:val="solid"/>
            <w14:bevel/>
          </w14:textOutline>
        </w:rPr>
        <w:t>.</w:t>
      </w:r>
    </w:p>
    <w:p w14:paraId="1847C5D3" w14:textId="77777777" w:rsidR="00F53264" w:rsidRDefault="00F53264" w:rsidP="001C252F">
      <w:pPr>
        <w:rPr>
          <w:rStyle w:val="Nenhum"/>
          <w:rFonts w:ascii="Arial" w:eastAsia="Arial Unicode MS" w:hAnsi="Arial" w:cs="Arial Unicode MS"/>
          <w:color w:val="000000"/>
          <w:u w:color="000000"/>
          <w:bdr w:val="nil"/>
          <w14:textOutline w14:w="0" w14:cap="flat" w14:cmpd="sng" w14:algn="ctr">
            <w14:noFill/>
            <w14:prstDash w14:val="solid"/>
            <w14:bevel/>
          </w14:textOutline>
        </w:rPr>
      </w:pPr>
    </w:p>
    <w:p w14:paraId="2A205287" w14:textId="77777777" w:rsidR="00F53264" w:rsidRPr="000F54D6" w:rsidRDefault="00F53264" w:rsidP="00F53264">
      <w:pPr>
        <w:pStyle w:val="Corpo"/>
        <w:spacing w:after="0" w:line="240" w:lineRule="auto"/>
      </w:pPr>
      <w:r w:rsidRPr="000F54D6">
        <w:rPr>
          <w:rStyle w:val="Nenhum"/>
        </w:rPr>
        <w:t xml:space="preserve">GIRARDI, G.; COMETTI, R. de S. Dinâmica do uso e ocupação do solo no litoral sul do estado do Espírito Santo, Brasil. </w:t>
      </w:r>
      <w:r w:rsidRPr="000F54D6">
        <w:rPr>
          <w:rStyle w:val="Nenhum"/>
          <w:b/>
          <w:bCs/>
        </w:rPr>
        <w:t>Desenvolvimento e Meio Ambiente</w:t>
      </w:r>
      <w:r w:rsidRPr="000F54D6">
        <w:rPr>
          <w:rStyle w:val="Nenhum"/>
        </w:rPr>
        <w:t>, n. 13, p. 51-73, jan./jun. 2006. Editora UFPR.</w:t>
      </w:r>
    </w:p>
    <w:p w14:paraId="350AC51C" w14:textId="77777777" w:rsidR="00F53264" w:rsidRPr="000F54D6" w:rsidRDefault="00F53264" w:rsidP="00F53264">
      <w:pPr>
        <w:pStyle w:val="Corpo"/>
        <w:spacing w:after="0" w:line="240" w:lineRule="auto"/>
        <w:rPr>
          <w:rStyle w:val="Nenhum"/>
          <w:shd w:val="clear" w:color="auto" w:fill="FFFF00"/>
        </w:rPr>
      </w:pPr>
    </w:p>
    <w:p w14:paraId="79388242" w14:textId="77777777" w:rsidR="00F53264" w:rsidRPr="000F54D6" w:rsidRDefault="00F53264" w:rsidP="00F53264">
      <w:pPr>
        <w:pStyle w:val="Corpo"/>
        <w:spacing w:after="0" w:line="240" w:lineRule="auto"/>
      </w:pPr>
      <w:r w:rsidRPr="000F54D6">
        <w:rPr>
          <w:rStyle w:val="Nenhum"/>
        </w:rPr>
        <w:t>GIVISIEZ, G. H. N.; DE OLIVEIRA, E. L. Royalties do petróleo e educação: análise da eficiência da alocação. </w:t>
      </w:r>
      <w:r w:rsidRPr="000F54D6">
        <w:rPr>
          <w:rStyle w:val="Nenhum"/>
          <w:b/>
          <w:bCs/>
        </w:rPr>
        <w:t>Revista Brasileira de Pós-Graduação</w:t>
      </w:r>
      <w:r w:rsidRPr="000F54D6">
        <w:rPr>
          <w:rStyle w:val="Nenhum"/>
        </w:rPr>
        <w:t>, </w:t>
      </w:r>
      <w:r w:rsidRPr="000F54D6">
        <w:rPr>
          <w:rStyle w:val="Nenhum"/>
          <w:i/>
          <w:iCs/>
        </w:rPr>
        <w:t>[S. l.]</w:t>
      </w:r>
      <w:r w:rsidRPr="000F54D6">
        <w:rPr>
          <w:rStyle w:val="Nenhum"/>
        </w:rPr>
        <w:t xml:space="preserve">, v. 8, n. 1, </w:t>
      </w:r>
      <w:r w:rsidRPr="000F54D6">
        <w:rPr>
          <w:rStyle w:val="Nenhum"/>
        </w:rPr>
        <w:lastRenderedPageBreak/>
        <w:t>2011. Disponível em: https://rbpg.capes.gov.br/rbpg/article/view/234. Acesso em: 2 nov. 2024.</w:t>
      </w:r>
    </w:p>
    <w:p w14:paraId="07EA1BEF" w14:textId="77777777" w:rsidR="00F53264" w:rsidRPr="000F54D6" w:rsidRDefault="00F53264" w:rsidP="00F53264">
      <w:pPr>
        <w:pStyle w:val="Corpo"/>
        <w:spacing w:after="0" w:line="240" w:lineRule="auto"/>
        <w:rPr>
          <w:rStyle w:val="Nenhum"/>
          <w:shd w:val="clear" w:color="auto" w:fill="FFFF00"/>
        </w:rPr>
      </w:pPr>
    </w:p>
    <w:p w14:paraId="7892C64E" w14:textId="05EAA399" w:rsidR="00F53264" w:rsidRPr="000F54D6" w:rsidRDefault="00F53264" w:rsidP="00F53264">
      <w:pPr>
        <w:pStyle w:val="Corpo"/>
        <w:spacing w:after="0" w:line="240" w:lineRule="auto"/>
      </w:pPr>
      <w:r w:rsidRPr="000F54D6">
        <w:rPr>
          <w:rStyle w:val="Nenhum"/>
        </w:rPr>
        <w:t xml:space="preserve">GOMES, R. S. </w:t>
      </w:r>
      <w:r w:rsidRPr="000F54D6">
        <w:rPr>
          <w:rStyle w:val="Nenhum"/>
          <w:b/>
          <w:bCs/>
        </w:rPr>
        <w:t>A influência dos royalties de petróleo no gasto social: o caso dos municípios do Estado do Rio de Janeiro</w:t>
      </w:r>
      <w:r w:rsidRPr="000F54D6">
        <w:rPr>
          <w:rStyle w:val="Nenhum"/>
        </w:rPr>
        <w:t xml:space="preserve">. </w:t>
      </w:r>
      <w:r w:rsidR="00771078">
        <w:rPr>
          <w:rStyle w:val="Nenhum"/>
        </w:rPr>
        <w:t xml:space="preserve">2007. </w:t>
      </w:r>
      <w:r w:rsidRPr="000F54D6">
        <w:rPr>
          <w:rStyle w:val="Nenhum"/>
        </w:rPr>
        <w:t xml:space="preserve">Dissertação </w:t>
      </w:r>
      <w:r w:rsidR="00771078">
        <w:rPr>
          <w:rStyle w:val="Nenhum"/>
        </w:rPr>
        <w:t xml:space="preserve">(Mestrado em </w:t>
      </w:r>
      <w:r w:rsidRPr="000F54D6">
        <w:rPr>
          <w:rStyle w:val="Nenhum"/>
        </w:rPr>
        <w:t>Saúde Pública</w:t>
      </w:r>
      <w:r w:rsidR="00771078">
        <w:rPr>
          <w:rStyle w:val="Nenhum"/>
        </w:rPr>
        <w:t>)</w:t>
      </w:r>
      <w:r w:rsidRPr="000F54D6">
        <w:rPr>
          <w:rStyle w:val="Nenhum"/>
        </w:rPr>
        <w:t xml:space="preserve"> Escola Nacional de Saúde Pública Sérgio Arouca/ FIOCRUZ, Rio de Janeiro, 2007. Disponível em: https://www.arca.fiocruz.br/bitstream/icict/13328/1/613.pdf. Acesso em: 21 out. 2020</w:t>
      </w:r>
    </w:p>
    <w:p w14:paraId="76FCF25A" w14:textId="77777777" w:rsidR="00A96BA7" w:rsidRPr="00AD66B1" w:rsidRDefault="00A96BA7" w:rsidP="001C252F">
      <w:pPr>
        <w:rPr>
          <w:rStyle w:val="Nenhum"/>
          <w:rFonts w:ascii="Arial" w:eastAsia="Arial Unicode MS" w:hAnsi="Arial" w:cs="Arial Unicode MS"/>
          <w:color w:val="000000"/>
          <w:u w:color="000000"/>
          <w:bdr w:val="nil"/>
          <w14:textOutline w14:w="0" w14:cap="flat" w14:cmpd="sng" w14:algn="ctr">
            <w14:noFill/>
            <w14:prstDash w14:val="solid"/>
            <w14:bevel/>
          </w14:textOutline>
        </w:rPr>
      </w:pPr>
    </w:p>
    <w:p w14:paraId="62187B11" w14:textId="767BE4F4" w:rsidR="00F53264" w:rsidRDefault="00F53264" w:rsidP="00F53264">
      <w:pPr>
        <w:pStyle w:val="Corpo"/>
        <w:spacing w:after="0" w:line="240" w:lineRule="auto"/>
        <w:rPr>
          <w:rStyle w:val="Nenhum"/>
        </w:rPr>
      </w:pPr>
      <w:r w:rsidRPr="00AD66B1">
        <w:rPr>
          <w:rStyle w:val="Nenhum"/>
        </w:rPr>
        <w:t xml:space="preserve">Governo Federal (gov.br). </w:t>
      </w:r>
      <w:r w:rsidRPr="00142195">
        <w:rPr>
          <w:rStyle w:val="Nenhum"/>
          <w:b/>
          <w:bCs/>
        </w:rPr>
        <w:t>Dados Abertos – Bolsa Família</w:t>
      </w:r>
      <w:r w:rsidRPr="00AD66B1">
        <w:rPr>
          <w:rStyle w:val="Nenhum"/>
        </w:rPr>
        <w:t xml:space="preserve"> (</w:t>
      </w:r>
      <w:r w:rsidRPr="00AD66B1">
        <w:rPr>
          <w:rStyle w:val="Nenhum"/>
          <w:i/>
          <w:iCs/>
        </w:rPr>
        <w:t>website</w:t>
      </w:r>
      <w:r w:rsidRPr="00AD66B1">
        <w:rPr>
          <w:rStyle w:val="Nenhum"/>
        </w:rPr>
        <w:t>). Disponível em: https://dados.gov.br/dados/conjuntos-dados/bolsa-familia. Acesso em 10 set. 2025</w:t>
      </w:r>
      <w:r w:rsidR="004A2472">
        <w:rPr>
          <w:rStyle w:val="Nenhum"/>
        </w:rPr>
        <w:t>.</w:t>
      </w:r>
    </w:p>
    <w:p w14:paraId="725961F0" w14:textId="77777777" w:rsidR="004A2472" w:rsidRDefault="004A2472" w:rsidP="00F53264">
      <w:pPr>
        <w:pStyle w:val="Corpo"/>
        <w:spacing w:after="0" w:line="240" w:lineRule="auto"/>
        <w:rPr>
          <w:rStyle w:val="Nenhum"/>
        </w:rPr>
      </w:pPr>
    </w:p>
    <w:p w14:paraId="20E8980F" w14:textId="77777777" w:rsidR="004A2472" w:rsidRPr="000F54D6" w:rsidRDefault="004A2472" w:rsidP="004A2472">
      <w:pPr>
        <w:pStyle w:val="Corpo"/>
        <w:spacing w:after="0" w:line="240" w:lineRule="auto"/>
      </w:pPr>
      <w:r w:rsidRPr="000F54D6">
        <w:rPr>
          <w:rStyle w:val="Nenhum"/>
        </w:rPr>
        <w:t>IBGE (</w:t>
      </w:r>
      <w:r w:rsidRPr="000F54D6">
        <w:rPr>
          <w:rStyle w:val="Nenhum"/>
          <w:i/>
          <w:iCs/>
        </w:rPr>
        <w:t>website</w:t>
      </w:r>
      <w:r w:rsidRPr="000F54D6">
        <w:rPr>
          <w:rStyle w:val="Nenhum"/>
        </w:rPr>
        <w:t xml:space="preserve">). </w:t>
      </w:r>
      <w:r w:rsidRPr="000F54D6">
        <w:rPr>
          <w:rStyle w:val="Nenhum"/>
          <w:b/>
          <w:bCs/>
        </w:rPr>
        <w:t>Censo 2022</w:t>
      </w:r>
      <w:r w:rsidRPr="000F54D6">
        <w:rPr>
          <w:rStyle w:val="Nenhum"/>
        </w:rPr>
        <w:t>. Disponível em: https://censo2022.ibge.gov.br/ Acesso em 13 out. 2024.</w:t>
      </w:r>
    </w:p>
    <w:p w14:paraId="7A8F2F5A" w14:textId="77777777" w:rsidR="00F53264" w:rsidRDefault="00F53264" w:rsidP="00A96BA7">
      <w:pPr>
        <w:pStyle w:val="Corpo"/>
        <w:spacing w:after="0" w:line="240" w:lineRule="auto"/>
        <w:rPr>
          <w:rStyle w:val="Nenhum"/>
        </w:rPr>
      </w:pPr>
    </w:p>
    <w:p w14:paraId="14818618" w14:textId="29E2BD91" w:rsidR="00A96BA7" w:rsidRPr="00AD66B1" w:rsidRDefault="00A96BA7" w:rsidP="00A96BA7">
      <w:pPr>
        <w:pStyle w:val="Corpo"/>
        <w:spacing w:after="0" w:line="240" w:lineRule="auto"/>
        <w:rPr>
          <w:rStyle w:val="Nenhum"/>
        </w:rPr>
      </w:pPr>
      <w:r w:rsidRPr="00AD66B1">
        <w:rPr>
          <w:rStyle w:val="Nenhum"/>
        </w:rPr>
        <w:t>IBGE CIDADES</w:t>
      </w:r>
      <w:r w:rsidR="006616C0" w:rsidRPr="00AD66B1">
        <w:rPr>
          <w:rStyle w:val="Nenhum"/>
        </w:rPr>
        <w:t>.</w:t>
      </w:r>
      <w:r w:rsidRPr="00AD66B1">
        <w:rPr>
          <w:rStyle w:val="Nenhum"/>
        </w:rPr>
        <w:t xml:space="preserve">  </w:t>
      </w:r>
      <w:r w:rsidRPr="00AD66B1">
        <w:rPr>
          <w:rStyle w:val="Nenhum"/>
          <w:b/>
          <w:bCs/>
        </w:rPr>
        <w:t>Cidades e Estados do Brasil</w:t>
      </w:r>
      <w:r w:rsidR="006616C0" w:rsidRPr="00AD66B1">
        <w:rPr>
          <w:rStyle w:val="Nenhum"/>
          <w:b/>
          <w:bCs/>
        </w:rPr>
        <w:t xml:space="preserve"> </w:t>
      </w:r>
      <w:r w:rsidR="006616C0" w:rsidRPr="00AD66B1">
        <w:rPr>
          <w:rStyle w:val="Nenhum"/>
        </w:rPr>
        <w:t>(</w:t>
      </w:r>
      <w:r w:rsidR="006616C0" w:rsidRPr="00AD66B1">
        <w:rPr>
          <w:rStyle w:val="Nenhum"/>
          <w:i/>
          <w:iCs/>
        </w:rPr>
        <w:t>website)</w:t>
      </w:r>
      <w:r w:rsidR="006616C0" w:rsidRPr="00AD66B1">
        <w:rPr>
          <w:rStyle w:val="Nenhum"/>
        </w:rPr>
        <w:t>.</w:t>
      </w:r>
      <w:r w:rsidRPr="00AD66B1">
        <w:rPr>
          <w:rStyle w:val="Nenhum"/>
        </w:rPr>
        <w:t xml:space="preserve"> Disponível em: https://cidades.ibge.gov.br/. Acesso em 7 set. 2025.</w:t>
      </w:r>
    </w:p>
    <w:p w14:paraId="7513E77A" w14:textId="77777777" w:rsidR="00664353" w:rsidRPr="00AD66B1" w:rsidRDefault="00664353" w:rsidP="00A96BA7">
      <w:pPr>
        <w:pStyle w:val="Corpo"/>
        <w:spacing w:after="0" w:line="240" w:lineRule="auto"/>
        <w:rPr>
          <w:rStyle w:val="Nenhum"/>
        </w:rPr>
      </w:pPr>
    </w:p>
    <w:p w14:paraId="0D7C99EB" w14:textId="2C81D569" w:rsidR="00664353" w:rsidRPr="00AD66B1" w:rsidRDefault="00664353" w:rsidP="00A96BA7">
      <w:pPr>
        <w:pStyle w:val="Corpo"/>
        <w:spacing w:after="0" w:line="240" w:lineRule="auto"/>
        <w:rPr>
          <w:rStyle w:val="Nenhum"/>
        </w:rPr>
      </w:pPr>
      <w:r w:rsidRPr="00AD66B1">
        <w:rPr>
          <w:rStyle w:val="Nenhum"/>
        </w:rPr>
        <w:t xml:space="preserve">IEGM BRASIL. </w:t>
      </w:r>
      <w:r w:rsidRPr="00142195">
        <w:rPr>
          <w:rStyle w:val="Nenhum"/>
          <w:b/>
          <w:bCs/>
        </w:rPr>
        <w:t>Índice de Efetividade da Gestão Pública Municipal</w:t>
      </w:r>
      <w:r w:rsidRPr="00AD66B1">
        <w:rPr>
          <w:rStyle w:val="Nenhum"/>
        </w:rPr>
        <w:t xml:space="preserve"> </w:t>
      </w:r>
      <w:r w:rsidR="004361E7" w:rsidRPr="00AD66B1">
        <w:rPr>
          <w:rStyle w:val="Nenhum"/>
        </w:rPr>
        <w:t>(</w:t>
      </w:r>
      <w:r w:rsidR="004361E7" w:rsidRPr="00AD66B1">
        <w:rPr>
          <w:rStyle w:val="Nenhum"/>
          <w:i/>
          <w:iCs/>
        </w:rPr>
        <w:t>website)</w:t>
      </w:r>
      <w:r w:rsidR="004361E7" w:rsidRPr="00AD66B1">
        <w:rPr>
          <w:rStyle w:val="Nenhum"/>
        </w:rPr>
        <w:t>. Disponível em: https://www.iegm.irbcontas.org.br/. Acesso em 7 set. 2025.</w:t>
      </w:r>
    </w:p>
    <w:p w14:paraId="7D2089AA" w14:textId="77777777" w:rsidR="004361E7" w:rsidRPr="00AD66B1" w:rsidRDefault="004361E7" w:rsidP="00A96BA7">
      <w:pPr>
        <w:pStyle w:val="Corpo"/>
        <w:spacing w:after="0" w:line="240" w:lineRule="auto"/>
        <w:rPr>
          <w:rStyle w:val="Nenhum"/>
        </w:rPr>
      </w:pPr>
    </w:p>
    <w:p w14:paraId="7BA2A364" w14:textId="61E61D5E" w:rsidR="00A96BA7" w:rsidRPr="00AD66B1" w:rsidRDefault="00A96BA7" w:rsidP="00A96BA7">
      <w:pPr>
        <w:pStyle w:val="Corpo"/>
        <w:spacing w:after="0" w:line="240" w:lineRule="auto"/>
      </w:pPr>
      <w:r w:rsidRPr="00AD66B1">
        <w:rPr>
          <w:rStyle w:val="Nenhum"/>
        </w:rPr>
        <w:t>INFOROYALTIES</w:t>
      </w:r>
      <w:r w:rsidR="006616C0" w:rsidRPr="00AD66B1">
        <w:rPr>
          <w:rStyle w:val="Nenhum"/>
        </w:rPr>
        <w:t>.</w:t>
      </w:r>
      <w:r w:rsidRPr="00AD66B1">
        <w:rPr>
          <w:rStyle w:val="Nenhum"/>
        </w:rPr>
        <w:t xml:space="preserve"> </w:t>
      </w:r>
      <w:r w:rsidRPr="00AD66B1">
        <w:rPr>
          <w:rStyle w:val="Nenhum"/>
          <w:b/>
          <w:bCs/>
        </w:rPr>
        <w:t xml:space="preserve">Base de Dados </w:t>
      </w:r>
      <w:proofErr w:type="spellStart"/>
      <w:r w:rsidRPr="00AD66B1">
        <w:rPr>
          <w:rStyle w:val="Nenhum"/>
          <w:b/>
          <w:bCs/>
        </w:rPr>
        <w:t>InfoRoyalties</w:t>
      </w:r>
      <w:proofErr w:type="spellEnd"/>
      <w:r w:rsidR="006616C0" w:rsidRPr="00AD66B1">
        <w:rPr>
          <w:rStyle w:val="Nenhum"/>
          <w:b/>
          <w:bCs/>
        </w:rPr>
        <w:t xml:space="preserve"> </w:t>
      </w:r>
      <w:r w:rsidR="006616C0" w:rsidRPr="00AD66B1">
        <w:rPr>
          <w:rStyle w:val="Nenhum"/>
        </w:rPr>
        <w:t>(</w:t>
      </w:r>
      <w:r w:rsidR="006616C0" w:rsidRPr="00AD66B1">
        <w:rPr>
          <w:rStyle w:val="Nenhum"/>
          <w:i/>
          <w:iCs/>
        </w:rPr>
        <w:t>website</w:t>
      </w:r>
      <w:r w:rsidR="006616C0" w:rsidRPr="00AD66B1">
        <w:rPr>
          <w:rStyle w:val="Nenhum"/>
        </w:rPr>
        <w:t>).</w:t>
      </w:r>
      <w:r w:rsidRPr="00AD66B1">
        <w:rPr>
          <w:rStyle w:val="Nenhum"/>
        </w:rPr>
        <w:t xml:space="preserve"> Universidade Candido Mendes. Disponível em: http://inforoyalties.ucam-campos.br/. Acesso em </w:t>
      </w:r>
      <w:r w:rsidR="004361E7" w:rsidRPr="00AD66B1">
        <w:rPr>
          <w:rStyle w:val="Nenhum"/>
        </w:rPr>
        <w:t>6</w:t>
      </w:r>
      <w:r w:rsidRPr="00AD66B1">
        <w:rPr>
          <w:rStyle w:val="Nenhum"/>
        </w:rPr>
        <w:t xml:space="preserve"> set. 2025.</w:t>
      </w:r>
    </w:p>
    <w:p w14:paraId="32DA4C01" w14:textId="77777777" w:rsidR="00A96BA7" w:rsidRPr="00AD66B1" w:rsidRDefault="00A96BA7" w:rsidP="00A96BA7">
      <w:pPr>
        <w:pStyle w:val="Corpo"/>
        <w:spacing w:after="0" w:line="240" w:lineRule="auto"/>
      </w:pPr>
    </w:p>
    <w:p w14:paraId="1F6050D6" w14:textId="4570A968" w:rsidR="0065276E" w:rsidRPr="00AD66B1" w:rsidRDefault="0065276E" w:rsidP="0065276E">
      <w:pPr>
        <w:pStyle w:val="Corpo"/>
        <w:spacing w:after="0" w:line="240" w:lineRule="auto"/>
        <w:rPr>
          <w:rStyle w:val="Hyperlink0"/>
        </w:rPr>
      </w:pPr>
      <w:r w:rsidRPr="00AD66B1">
        <w:rPr>
          <w:rStyle w:val="Hyperlink0"/>
        </w:rPr>
        <w:t xml:space="preserve">INSTITUTO CIDADES SUSTENTÁVEIS. </w:t>
      </w:r>
      <w:r w:rsidRPr="00AD66B1">
        <w:rPr>
          <w:rStyle w:val="Nenhum"/>
          <w:b/>
          <w:bCs/>
        </w:rPr>
        <w:t>Índice de Desenvolvimento Sustentável das Cidades</w:t>
      </w:r>
      <w:r w:rsidR="006616C0" w:rsidRPr="00AD66B1">
        <w:rPr>
          <w:rStyle w:val="Nenhum"/>
          <w:b/>
          <w:bCs/>
        </w:rPr>
        <w:t xml:space="preserve"> </w:t>
      </w:r>
      <w:r w:rsidR="006616C0" w:rsidRPr="00AD66B1">
        <w:rPr>
          <w:rStyle w:val="Nenhum"/>
        </w:rPr>
        <w:t>(</w:t>
      </w:r>
      <w:r w:rsidR="006616C0" w:rsidRPr="00AD66B1">
        <w:rPr>
          <w:rStyle w:val="Nenhum"/>
          <w:i/>
          <w:iCs/>
        </w:rPr>
        <w:t>website</w:t>
      </w:r>
      <w:r w:rsidR="006616C0" w:rsidRPr="00AD66B1">
        <w:rPr>
          <w:rStyle w:val="Nenhum"/>
        </w:rPr>
        <w:t>)</w:t>
      </w:r>
      <w:r w:rsidRPr="00AD66B1">
        <w:rPr>
          <w:rStyle w:val="Hyperlink0"/>
        </w:rPr>
        <w:t xml:space="preserve">. Programa Cidades Sustentáveis. Disponível em: https://www.cidadessustentaveis.org.br/inicial/home. Acesso em 5 set. 2025. </w:t>
      </w:r>
    </w:p>
    <w:p w14:paraId="19275200" w14:textId="77777777" w:rsidR="00A96BA7" w:rsidRPr="00AD66B1" w:rsidRDefault="00A96BA7" w:rsidP="001C252F">
      <w:pPr>
        <w:rPr>
          <w:rStyle w:val="Nenhum"/>
          <w:rFonts w:ascii="Arial" w:eastAsia="Arial Unicode MS" w:hAnsi="Arial" w:cs="Arial Unicode MS"/>
          <w:color w:val="000000"/>
          <w:u w:color="000000"/>
          <w:bdr w:val="nil"/>
          <w14:textOutline w14:w="0" w14:cap="flat" w14:cmpd="sng" w14:algn="ctr">
            <w14:noFill/>
            <w14:prstDash w14:val="solid"/>
            <w14:bevel/>
          </w14:textOutline>
        </w:rPr>
      </w:pPr>
    </w:p>
    <w:p w14:paraId="5ECBE4D7" w14:textId="75D0AD92" w:rsidR="0065276E" w:rsidRDefault="0065276E" w:rsidP="0065276E">
      <w:pPr>
        <w:pStyle w:val="Corpo"/>
        <w:spacing w:after="0" w:line="240" w:lineRule="auto"/>
        <w:rPr>
          <w:rStyle w:val="Nenhum"/>
        </w:rPr>
      </w:pPr>
      <w:r w:rsidRPr="00AD66B1">
        <w:rPr>
          <w:rStyle w:val="Nenhum"/>
        </w:rPr>
        <w:t>INSTITUTO JONES DOS SANTOS NEVES (IJSN</w:t>
      </w:r>
      <w:r w:rsidRPr="00AD66B1">
        <w:rPr>
          <w:rStyle w:val="Nenhum"/>
          <w:b/>
          <w:bCs/>
        </w:rPr>
        <w:t>).  Painéis Interativos</w:t>
      </w:r>
      <w:r w:rsidR="006616C0" w:rsidRPr="00AD66B1">
        <w:rPr>
          <w:rStyle w:val="Nenhum"/>
          <w:b/>
          <w:bCs/>
        </w:rPr>
        <w:t xml:space="preserve"> </w:t>
      </w:r>
      <w:r w:rsidR="006616C0" w:rsidRPr="00AD66B1">
        <w:rPr>
          <w:rStyle w:val="Nenhum"/>
        </w:rPr>
        <w:t>(</w:t>
      </w:r>
      <w:r w:rsidR="006616C0" w:rsidRPr="00AD66B1">
        <w:rPr>
          <w:rStyle w:val="Nenhum"/>
          <w:i/>
          <w:iCs/>
        </w:rPr>
        <w:t>website</w:t>
      </w:r>
      <w:r w:rsidR="006616C0" w:rsidRPr="00AD66B1">
        <w:rPr>
          <w:rStyle w:val="Nenhum"/>
        </w:rPr>
        <w:t>)</w:t>
      </w:r>
      <w:r w:rsidRPr="00AD66B1">
        <w:rPr>
          <w:rStyle w:val="Nenhum"/>
        </w:rPr>
        <w:t>. Disponível em: https://ijsn.es.gov.br/paineis-interativos. Acesso em 7 set. 2025.</w:t>
      </w:r>
    </w:p>
    <w:p w14:paraId="27F45052" w14:textId="77777777" w:rsidR="00C6461C" w:rsidRDefault="00C6461C" w:rsidP="0065276E">
      <w:pPr>
        <w:pStyle w:val="Corpo"/>
        <w:spacing w:after="0" w:line="240" w:lineRule="auto"/>
        <w:rPr>
          <w:rStyle w:val="Nenhum"/>
        </w:rPr>
      </w:pPr>
    </w:p>
    <w:p w14:paraId="18874543" w14:textId="5D742126" w:rsidR="00C6461C" w:rsidRPr="00AD66B1" w:rsidRDefault="00C6461C" w:rsidP="0065276E">
      <w:pPr>
        <w:pStyle w:val="Corpo"/>
        <w:spacing w:after="0" w:line="240" w:lineRule="auto"/>
        <w:rPr>
          <w:rStyle w:val="Nenhum"/>
        </w:rPr>
      </w:pPr>
      <w:r>
        <w:rPr>
          <w:rStyle w:val="Nenhum"/>
        </w:rPr>
        <w:t xml:space="preserve">INSTITUTO RUI BARBOSA. </w:t>
      </w:r>
      <w:r w:rsidR="00E63C40" w:rsidRPr="00E63C40">
        <w:rPr>
          <w:rStyle w:val="Nenhum"/>
          <w:b/>
          <w:bCs/>
        </w:rPr>
        <w:t xml:space="preserve">Portal </w:t>
      </w:r>
      <w:proofErr w:type="spellStart"/>
      <w:r w:rsidR="00E63C40" w:rsidRPr="00E63C40">
        <w:rPr>
          <w:rStyle w:val="Nenhum"/>
          <w:b/>
          <w:bCs/>
        </w:rPr>
        <w:t>iegm</w:t>
      </w:r>
      <w:proofErr w:type="spellEnd"/>
      <w:r w:rsidR="00E63C40" w:rsidRPr="00E63C40">
        <w:rPr>
          <w:rStyle w:val="Nenhum"/>
          <w:b/>
          <w:bCs/>
        </w:rPr>
        <w:t xml:space="preserve"> Brasil</w:t>
      </w:r>
      <w:r w:rsidR="00E63C40">
        <w:rPr>
          <w:rStyle w:val="Nenhum"/>
        </w:rPr>
        <w:t>. (</w:t>
      </w:r>
      <w:r w:rsidR="00E63C40" w:rsidRPr="00E63C40">
        <w:rPr>
          <w:rStyle w:val="Nenhum"/>
          <w:i/>
          <w:iCs/>
        </w:rPr>
        <w:t>website</w:t>
      </w:r>
      <w:r w:rsidR="00E63C40">
        <w:rPr>
          <w:rStyle w:val="Nenhum"/>
        </w:rPr>
        <w:t xml:space="preserve">). Disponível em: </w:t>
      </w:r>
      <w:r w:rsidR="00E63C40" w:rsidRPr="00E63C40">
        <w:rPr>
          <w:rStyle w:val="Nenhum"/>
        </w:rPr>
        <w:t>https://irbcontas.org.br/</w:t>
      </w:r>
      <w:r w:rsidR="00E63C40">
        <w:rPr>
          <w:rStyle w:val="Nenhum"/>
        </w:rPr>
        <w:t>. Acesso em: 7 set. 2025.</w:t>
      </w:r>
    </w:p>
    <w:p w14:paraId="436D7935" w14:textId="77777777" w:rsidR="004361E7" w:rsidRPr="00AD66B1" w:rsidRDefault="004361E7" w:rsidP="0065276E">
      <w:pPr>
        <w:pStyle w:val="Corpo"/>
        <w:spacing w:after="0" w:line="240" w:lineRule="auto"/>
        <w:rPr>
          <w:rStyle w:val="Nenhum"/>
        </w:rPr>
      </w:pPr>
    </w:p>
    <w:p w14:paraId="14B54B9D" w14:textId="48E3A8CD" w:rsidR="004361E7" w:rsidRPr="00AD66B1" w:rsidRDefault="004361E7" w:rsidP="0065276E">
      <w:pPr>
        <w:pStyle w:val="Corpo"/>
        <w:spacing w:after="0" w:line="240" w:lineRule="auto"/>
      </w:pPr>
      <w:r w:rsidRPr="00AD66B1">
        <w:rPr>
          <w:rStyle w:val="Nenhum"/>
        </w:rPr>
        <w:t xml:space="preserve">IPS BRASIL. </w:t>
      </w:r>
      <w:r w:rsidRPr="00142195">
        <w:rPr>
          <w:rStyle w:val="Nenhum"/>
          <w:b/>
          <w:bCs/>
        </w:rPr>
        <w:t>Índice de Progresso Social</w:t>
      </w:r>
      <w:r w:rsidRPr="00AD66B1">
        <w:rPr>
          <w:rStyle w:val="Nenhum"/>
        </w:rPr>
        <w:t xml:space="preserve"> (</w:t>
      </w:r>
      <w:r w:rsidRPr="00AD66B1">
        <w:rPr>
          <w:rStyle w:val="Nenhum"/>
          <w:i/>
          <w:iCs/>
        </w:rPr>
        <w:t>website</w:t>
      </w:r>
      <w:r w:rsidRPr="00AD66B1">
        <w:rPr>
          <w:rStyle w:val="Nenhum"/>
        </w:rPr>
        <w:t>). Disponível em: https://ipsbrasil.org.br/pt. Acesso em 7 set. 2025.</w:t>
      </w:r>
    </w:p>
    <w:p w14:paraId="5EA3CBAB" w14:textId="77777777" w:rsidR="0065276E" w:rsidRPr="00AD66B1" w:rsidRDefault="0065276E" w:rsidP="001C252F">
      <w:pPr>
        <w:rPr>
          <w:rStyle w:val="Nenhum"/>
          <w:rFonts w:ascii="Arial" w:eastAsia="Arial Unicode MS" w:hAnsi="Arial" w:cs="Arial Unicode MS"/>
          <w:color w:val="000000"/>
          <w:u w:color="000000"/>
          <w:bdr w:val="nil"/>
          <w14:textOutline w14:w="0" w14:cap="flat" w14:cmpd="sng" w14:algn="ctr">
            <w14:noFill/>
            <w14:prstDash w14:val="solid"/>
            <w14:bevel/>
          </w14:textOutline>
        </w:rPr>
      </w:pPr>
    </w:p>
    <w:p w14:paraId="60670EE9" w14:textId="306E7C9A" w:rsidR="006616C0" w:rsidRDefault="006616C0" w:rsidP="006616C0">
      <w:pPr>
        <w:pStyle w:val="Corpo"/>
        <w:spacing w:after="0" w:line="240" w:lineRule="auto"/>
        <w:rPr>
          <w:rStyle w:val="Nenhum"/>
        </w:rPr>
      </w:pPr>
      <w:r w:rsidRPr="00AD66B1">
        <w:rPr>
          <w:rStyle w:val="Nenhum"/>
        </w:rPr>
        <w:t xml:space="preserve">ITAPEMIRIM. </w:t>
      </w:r>
      <w:r w:rsidRPr="00AD66B1">
        <w:rPr>
          <w:rStyle w:val="Nenhum"/>
          <w:b/>
          <w:bCs/>
        </w:rPr>
        <w:t xml:space="preserve">Município Itapemirim </w:t>
      </w:r>
      <w:r w:rsidRPr="00AD66B1">
        <w:rPr>
          <w:rStyle w:val="Nenhum"/>
        </w:rPr>
        <w:t>(</w:t>
      </w:r>
      <w:r w:rsidRPr="00AD66B1">
        <w:rPr>
          <w:rStyle w:val="Nenhum"/>
          <w:i/>
          <w:iCs/>
        </w:rPr>
        <w:t>website</w:t>
      </w:r>
      <w:r w:rsidRPr="00AD66B1">
        <w:rPr>
          <w:rStyle w:val="Nenhum"/>
        </w:rPr>
        <w:t>). Disponível em: https://www.itapemirim.es.gov.br/. Acesso em 3 jul. 2024.</w:t>
      </w:r>
    </w:p>
    <w:p w14:paraId="33B1031D" w14:textId="77777777" w:rsidR="00E62377" w:rsidRDefault="00E62377" w:rsidP="006616C0">
      <w:pPr>
        <w:pStyle w:val="Corpo"/>
        <w:spacing w:after="0" w:line="240" w:lineRule="auto"/>
        <w:rPr>
          <w:rStyle w:val="Nenhum"/>
        </w:rPr>
      </w:pPr>
    </w:p>
    <w:p w14:paraId="7ED386BC" w14:textId="13E4D867" w:rsidR="00E62377" w:rsidRPr="00AD66B1" w:rsidRDefault="00E62377" w:rsidP="00353325">
      <w:pPr>
        <w:pStyle w:val="Corpo"/>
        <w:spacing w:after="0" w:line="240" w:lineRule="auto"/>
      </w:pPr>
      <w:r w:rsidRPr="000F54D6">
        <w:rPr>
          <w:rStyle w:val="Nenhum"/>
        </w:rPr>
        <w:t xml:space="preserve">LUMBRERAS, M. J.; PIQUET, R. Riqueza movida a petróleo: maldição ou alavanca para o desenvolvimento? </w:t>
      </w:r>
      <w:r w:rsidRPr="000F54D6">
        <w:rPr>
          <w:rStyle w:val="Nenhum"/>
          <w:b/>
          <w:bCs/>
        </w:rPr>
        <w:t>Novos Cadernos NAEA.</w:t>
      </w:r>
      <w:r w:rsidRPr="000F54D6">
        <w:rPr>
          <w:rStyle w:val="Nenhum"/>
        </w:rPr>
        <w:t xml:space="preserve"> v. 23, n. 1, p. 59-80, </w:t>
      </w:r>
      <w:proofErr w:type="spellStart"/>
      <w:r w:rsidRPr="000F54D6">
        <w:rPr>
          <w:rStyle w:val="Nenhum"/>
        </w:rPr>
        <w:t>jan-abr</w:t>
      </w:r>
      <w:proofErr w:type="spellEnd"/>
      <w:r w:rsidRPr="000F54D6">
        <w:rPr>
          <w:rStyle w:val="Nenhum"/>
        </w:rPr>
        <w:t xml:space="preserve"> 2020.</w:t>
      </w:r>
    </w:p>
    <w:p w14:paraId="19A5BB31" w14:textId="77777777" w:rsidR="00E62377" w:rsidRDefault="00E62377" w:rsidP="006616C0">
      <w:pPr>
        <w:pStyle w:val="Corpo"/>
        <w:spacing w:after="0" w:line="240" w:lineRule="auto"/>
        <w:rPr>
          <w:rStyle w:val="Hyperlink0"/>
        </w:rPr>
      </w:pPr>
    </w:p>
    <w:p w14:paraId="0BF917D2" w14:textId="1AFDE779" w:rsidR="006616C0" w:rsidRDefault="006616C0" w:rsidP="00353325">
      <w:pPr>
        <w:pStyle w:val="Corpo"/>
        <w:spacing w:after="0" w:line="240" w:lineRule="auto"/>
        <w:rPr>
          <w:rStyle w:val="Nenhum"/>
        </w:rPr>
      </w:pPr>
      <w:r w:rsidRPr="00AD66B1">
        <w:rPr>
          <w:rStyle w:val="Hyperlink0"/>
        </w:rPr>
        <w:t xml:space="preserve">MARATAÍZES. </w:t>
      </w:r>
      <w:r w:rsidRPr="00AD66B1">
        <w:rPr>
          <w:rStyle w:val="Nenhum"/>
          <w:b/>
          <w:bCs/>
        </w:rPr>
        <w:t xml:space="preserve">Prefeitura de Marataízes </w:t>
      </w:r>
      <w:r w:rsidRPr="00AD66B1">
        <w:rPr>
          <w:rStyle w:val="Nenhum"/>
        </w:rPr>
        <w:t>(</w:t>
      </w:r>
      <w:r w:rsidRPr="00AD66B1">
        <w:rPr>
          <w:rStyle w:val="Nenhum"/>
          <w:i/>
          <w:iCs/>
        </w:rPr>
        <w:t>website</w:t>
      </w:r>
      <w:r w:rsidRPr="00AD66B1">
        <w:rPr>
          <w:rStyle w:val="Nenhum"/>
        </w:rPr>
        <w:t>)</w:t>
      </w:r>
      <w:r w:rsidRPr="00AD66B1">
        <w:rPr>
          <w:rStyle w:val="Hyperlink0"/>
        </w:rPr>
        <w:t xml:space="preserve">. </w:t>
      </w:r>
      <w:r w:rsidRPr="00AD66B1">
        <w:rPr>
          <w:rStyle w:val="Nenhum"/>
        </w:rPr>
        <w:t>Disponível em: https://www.marataizes.es.gov.br/. Acesso em: 3 jul. 2024.</w:t>
      </w:r>
    </w:p>
    <w:p w14:paraId="09BFF1EA" w14:textId="77777777" w:rsidR="00EC0A93" w:rsidRDefault="00EC0A93" w:rsidP="00353325">
      <w:pPr>
        <w:pStyle w:val="Corpo"/>
        <w:spacing w:after="0" w:line="240" w:lineRule="auto"/>
        <w:rPr>
          <w:rStyle w:val="Nenhum"/>
        </w:rPr>
      </w:pPr>
    </w:p>
    <w:p w14:paraId="603F212C" w14:textId="77777777" w:rsidR="00EC0A93" w:rsidRDefault="00EC0A93" w:rsidP="00353325">
      <w:pPr>
        <w:pStyle w:val="Corpo"/>
        <w:spacing w:after="0" w:line="240" w:lineRule="auto"/>
        <w:rPr>
          <w:rStyle w:val="Nenhum"/>
        </w:rPr>
      </w:pPr>
      <w:r w:rsidRPr="000F54D6">
        <w:rPr>
          <w:rStyle w:val="Nenhum"/>
        </w:rPr>
        <w:lastRenderedPageBreak/>
        <w:t xml:space="preserve">MATTA, L. G., FONSECA, S. M. Produção Científica, Capital Social e o Desenvolvimento Regional: Um Estudo sobre o Norte Fluminense. </w:t>
      </w:r>
      <w:r w:rsidRPr="000F54D6">
        <w:rPr>
          <w:rStyle w:val="Nenhum"/>
          <w:b/>
          <w:bCs/>
        </w:rPr>
        <w:t>Cadernos do Desenvolvimento Fluminense n. 19.</w:t>
      </w:r>
      <w:r w:rsidRPr="000F54D6">
        <w:rPr>
          <w:rStyle w:val="Nenhum"/>
        </w:rPr>
        <w:t xml:space="preserve"> Dossiê Retomada econômica pós-pandemia. </w:t>
      </w:r>
      <w:proofErr w:type="spellStart"/>
      <w:r w:rsidRPr="000F54D6">
        <w:rPr>
          <w:rStyle w:val="Nenhum"/>
        </w:rPr>
        <w:t>jul</w:t>
      </w:r>
      <w:proofErr w:type="spellEnd"/>
      <w:r w:rsidRPr="000F54D6">
        <w:rPr>
          <w:rStyle w:val="Nenhum"/>
        </w:rPr>
        <w:t xml:space="preserve"> -dez | 2020. p 127-152. Rio de Janeiro.</w:t>
      </w:r>
    </w:p>
    <w:p w14:paraId="49A8E144" w14:textId="77777777" w:rsidR="00B64BEE" w:rsidRDefault="00B64BEE" w:rsidP="00353325">
      <w:pPr>
        <w:pStyle w:val="Corpo"/>
        <w:spacing w:after="0" w:line="240" w:lineRule="auto"/>
        <w:rPr>
          <w:rStyle w:val="Nenhum"/>
        </w:rPr>
      </w:pPr>
    </w:p>
    <w:p w14:paraId="103DDFFA" w14:textId="144FF8FB" w:rsidR="00353325" w:rsidRPr="000F54D6" w:rsidRDefault="00353325" w:rsidP="00353325">
      <w:pPr>
        <w:pStyle w:val="Corpo"/>
        <w:spacing w:after="0" w:line="240" w:lineRule="auto"/>
      </w:pPr>
      <w:r>
        <w:rPr>
          <w:rStyle w:val="Nenhum"/>
        </w:rPr>
        <w:t xml:space="preserve">OLIVEIRA, R. </w:t>
      </w:r>
      <w:r w:rsidRPr="00353325">
        <w:rPr>
          <w:rStyle w:val="Nenhum"/>
          <w:b/>
          <w:bCs/>
        </w:rPr>
        <w:t>Nas cidades campeãs em royalties de petróleo, gasta-se muito, mas a pobreza persiste</w:t>
      </w:r>
      <w:r>
        <w:rPr>
          <w:rStyle w:val="Nenhum"/>
        </w:rPr>
        <w:t>. Agência Pública (</w:t>
      </w:r>
      <w:r w:rsidRPr="00B64BEE">
        <w:rPr>
          <w:rStyle w:val="Nenhum"/>
          <w:i/>
          <w:iCs/>
        </w:rPr>
        <w:t>website</w:t>
      </w:r>
      <w:r>
        <w:rPr>
          <w:rStyle w:val="Nenhum"/>
        </w:rPr>
        <w:t xml:space="preserve">). 2025. Disponível em: </w:t>
      </w:r>
      <w:r w:rsidRPr="00353325">
        <w:rPr>
          <w:rStyle w:val="Nenhum"/>
        </w:rPr>
        <w:t>https://apublica.org/2025/08/nas-cidades-campeas-em-royalties-de-petroleo-gasta-se-muito-mas-pobreza-persiste/</w:t>
      </w:r>
      <w:r>
        <w:rPr>
          <w:rStyle w:val="Nenhum"/>
        </w:rPr>
        <w:t>. Acesso em 6 ago. 2025.</w:t>
      </w:r>
    </w:p>
    <w:p w14:paraId="5EE64F55" w14:textId="30C63FF4" w:rsidR="00353325" w:rsidRDefault="00353325" w:rsidP="00353325">
      <w:pPr>
        <w:pStyle w:val="Corpo"/>
        <w:spacing w:after="0" w:line="240" w:lineRule="auto"/>
        <w:rPr>
          <w:rStyle w:val="Nenhum"/>
        </w:rPr>
      </w:pPr>
    </w:p>
    <w:p w14:paraId="3EC0A78B" w14:textId="5B0F78D8" w:rsidR="00B64BEE" w:rsidRPr="000F54D6" w:rsidRDefault="00B64BEE" w:rsidP="00353325">
      <w:pPr>
        <w:pStyle w:val="Corpo"/>
        <w:spacing w:after="0" w:line="240" w:lineRule="auto"/>
      </w:pPr>
      <w:r>
        <w:rPr>
          <w:rStyle w:val="Nenhum"/>
        </w:rPr>
        <w:t xml:space="preserve">OLIVEIRA, R., CÍCERO, J. </w:t>
      </w:r>
      <w:r w:rsidRPr="00353325">
        <w:rPr>
          <w:rStyle w:val="Nenhum"/>
          <w:b/>
          <w:bCs/>
        </w:rPr>
        <w:t>Dinheiro do petróleo não resolveu problemas em Presidente Kennedy e Campos dos Goytacazes</w:t>
      </w:r>
      <w:r>
        <w:rPr>
          <w:rStyle w:val="Nenhum"/>
        </w:rPr>
        <w:t>. Agência Pública (</w:t>
      </w:r>
      <w:r w:rsidRPr="00B64BEE">
        <w:rPr>
          <w:rStyle w:val="Nenhum"/>
          <w:i/>
          <w:iCs/>
        </w:rPr>
        <w:t>website</w:t>
      </w:r>
      <w:r>
        <w:rPr>
          <w:rStyle w:val="Nenhum"/>
        </w:rPr>
        <w:t xml:space="preserve">). </w:t>
      </w:r>
      <w:r w:rsidR="00353325">
        <w:rPr>
          <w:rStyle w:val="Nenhum"/>
        </w:rPr>
        <w:t xml:space="preserve">2025. Disponível em: </w:t>
      </w:r>
      <w:r w:rsidR="00353325" w:rsidRPr="00353325">
        <w:rPr>
          <w:rStyle w:val="Nenhum"/>
        </w:rPr>
        <w:t>https://apublica.org/2025/08/dinheiro-do-petroleo-nao-resolveu-problemas-em-presidente-kennedy-e-campos-dos-goytacazes/</w:t>
      </w:r>
      <w:r w:rsidR="00353325">
        <w:rPr>
          <w:rStyle w:val="Nenhum"/>
        </w:rPr>
        <w:t>. Acesso em 6 ago. 2025.</w:t>
      </w:r>
    </w:p>
    <w:p w14:paraId="2DEFEC80" w14:textId="77777777" w:rsidR="00CD1DE6" w:rsidRDefault="00CD1DE6" w:rsidP="006616C0">
      <w:pPr>
        <w:pStyle w:val="Corpo"/>
        <w:spacing w:after="0" w:line="240" w:lineRule="auto"/>
        <w:rPr>
          <w:rStyle w:val="Nenhum"/>
        </w:rPr>
      </w:pPr>
    </w:p>
    <w:p w14:paraId="0DB1A96B" w14:textId="77777777" w:rsidR="00CD1DE6" w:rsidRPr="000F54D6" w:rsidRDefault="00CD1DE6" w:rsidP="00CD1DE6">
      <w:pPr>
        <w:pStyle w:val="Corpo"/>
        <w:spacing w:after="0" w:line="240" w:lineRule="auto"/>
        <w:jc w:val="both"/>
      </w:pPr>
      <w:r w:rsidRPr="000F54D6">
        <w:rPr>
          <w:rStyle w:val="Nenhum"/>
        </w:rPr>
        <w:t xml:space="preserve">PIQUET, R.; LUMBRERAS, M. J; CASTRO, R. </w:t>
      </w:r>
      <w:r w:rsidRPr="000F54D6">
        <w:rPr>
          <w:rStyle w:val="Hyperlink0"/>
        </w:rPr>
        <w:t>Petróleo e Emprego: Uma Análise em Municípios Selecionados do Estado do Rio De Janeiro</w:t>
      </w:r>
      <w:r w:rsidRPr="000F54D6">
        <w:rPr>
          <w:rStyle w:val="Nenhum"/>
          <w:b/>
          <w:bCs/>
          <w:color w:val="9D191A"/>
          <w:u w:color="9D191A"/>
        </w:rPr>
        <w:t xml:space="preserve">. </w:t>
      </w:r>
      <w:r w:rsidRPr="000F54D6">
        <w:rPr>
          <w:rStyle w:val="Hyperlink0"/>
        </w:rPr>
        <w:t xml:space="preserve"> </w:t>
      </w:r>
      <w:proofErr w:type="spellStart"/>
      <w:r w:rsidRPr="000F54D6">
        <w:rPr>
          <w:rStyle w:val="Nenhum"/>
          <w:b/>
          <w:bCs/>
        </w:rPr>
        <w:t>Geo</w:t>
      </w:r>
      <w:proofErr w:type="spellEnd"/>
      <w:r w:rsidRPr="000F54D6">
        <w:rPr>
          <w:rStyle w:val="Nenhum"/>
          <w:b/>
          <w:bCs/>
        </w:rPr>
        <w:t xml:space="preserve"> UERJ</w:t>
      </w:r>
      <w:r w:rsidRPr="000F54D6">
        <w:rPr>
          <w:rStyle w:val="Nenhum"/>
        </w:rPr>
        <w:t>, Rio de Janeiro, n. 36, e48417, 2020.</w:t>
      </w:r>
    </w:p>
    <w:p w14:paraId="382B56B9" w14:textId="77777777" w:rsidR="00CD1DE6" w:rsidRDefault="00CD1DE6" w:rsidP="00CD1DE6">
      <w:pPr>
        <w:pStyle w:val="Corpo"/>
        <w:spacing w:after="0" w:line="240" w:lineRule="auto"/>
        <w:rPr>
          <w:rStyle w:val="Nenhum"/>
        </w:rPr>
      </w:pPr>
    </w:p>
    <w:p w14:paraId="495AB606" w14:textId="73BD1714" w:rsidR="00CD1DE6" w:rsidRPr="000F54D6" w:rsidRDefault="00CD1DE6" w:rsidP="00CD1DE6">
      <w:pPr>
        <w:pStyle w:val="Corpo"/>
        <w:spacing w:after="0" w:line="240" w:lineRule="auto"/>
      </w:pPr>
      <w:r w:rsidRPr="000F54D6">
        <w:rPr>
          <w:rStyle w:val="Nenhum"/>
        </w:rPr>
        <w:t>POSTALI, F.A. S.; NISHIJIMA, M.</w:t>
      </w:r>
      <w:r w:rsidRPr="000F54D6">
        <w:rPr>
          <w:rStyle w:val="Nenhum"/>
          <w:b/>
          <w:bCs/>
        </w:rPr>
        <w:t xml:space="preserve"> </w:t>
      </w:r>
      <w:r w:rsidRPr="000F54D6">
        <w:rPr>
          <w:rStyle w:val="Nenhum"/>
        </w:rPr>
        <w:t>Distribuição das rendas do petróleo e indicadores de desenvolvimento municipal no Brasil nos anos 2000S</w:t>
      </w:r>
      <w:r w:rsidRPr="000F54D6">
        <w:rPr>
          <w:rStyle w:val="Nenhum"/>
          <w:b/>
          <w:bCs/>
        </w:rPr>
        <w:t>. Estudos Econômicos</w:t>
      </w:r>
      <w:r w:rsidRPr="000F54D6">
        <w:rPr>
          <w:rStyle w:val="Nenhum"/>
        </w:rPr>
        <w:t>. Universidade de São Paulo (USP). v. 41, n. 2, P. 463-485, abril-junho, São Paulo, 2011.</w:t>
      </w:r>
    </w:p>
    <w:p w14:paraId="7C865AEA" w14:textId="77777777" w:rsidR="00CD1DE6" w:rsidRPr="00AD66B1" w:rsidRDefault="00CD1DE6" w:rsidP="006616C0">
      <w:pPr>
        <w:pStyle w:val="Corpo"/>
        <w:spacing w:after="0" w:line="240" w:lineRule="auto"/>
      </w:pPr>
    </w:p>
    <w:p w14:paraId="3F62E809" w14:textId="77777777" w:rsidR="006616C0" w:rsidRDefault="006616C0" w:rsidP="006616C0">
      <w:pPr>
        <w:pStyle w:val="Corpo"/>
        <w:spacing w:after="0" w:line="240" w:lineRule="auto"/>
        <w:rPr>
          <w:rStyle w:val="Nenhum"/>
        </w:rPr>
      </w:pPr>
      <w:r w:rsidRPr="00AD66B1">
        <w:rPr>
          <w:rStyle w:val="Nenhum"/>
        </w:rPr>
        <w:t xml:space="preserve">PRESIDENTE KENNEDY. </w:t>
      </w:r>
      <w:r w:rsidRPr="00AD66B1">
        <w:rPr>
          <w:rStyle w:val="Nenhum"/>
          <w:b/>
          <w:bCs/>
        </w:rPr>
        <w:t>Presidente Kennedy - Prefeitura Municipal</w:t>
      </w:r>
      <w:r w:rsidRPr="00AD66B1">
        <w:rPr>
          <w:rStyle w:val="Nenhum"/>
        </w:rPr>
        <w:t xml:space="preserve"> (</w:t>
      </w:r>
      <w:r w:rsidRPr="00AD66B1">
        <w:rPr>
          <w:rStyle w:val="Nenhum"/>
          <w:i/>
          <w:iCs/>
        </w:rPr>
        <w:t>website)</w:t>
      </w:r>
      <w:r w:rsidRPr="00AD66B1">
        <w:rPr>
          <w:rStyle w:val="Nenhum"/>
        </w:rPr>
        <w:t xml:space="preserve">.  Disponível em: https://www.presidentekennedy.es.gov.br/. Acesso em: 3 jul. 2024. </w:t>
      </w:r>
    </w:p>
    <w:p w14:paraId="6E9AA2AD" w14:textId="77777777" w:rsidR="00E62377" w:rsidRDefault="00E62377" w:rsidP="006616C0">
      <w:pPr>
        <w:pStyle w:val="Corpo"/>
        <w:spacing w:after="0" w:line="240" w:lineRule="auto"/>
        <w:rPr>
          <w:rStyle w:val="Nenhum"/>
        </w:rPr>
      </w:pPr>
    </w:p>
    <w:p w14:paraId="03A21410" w14:textId="19A9F460" w:rsidR="00E62377" w:rsidRPr="000F54D6" w:rsidRDefault="00E62377" w:rsidP="00E62377">
      <w:pPr>
        <w:pStyle w:val="Corpo"/>
        <w:spacing w:after="0" w:line="240" w:lineRule="auto"/>
        <w:rPr>
          <w:rStyle w:val="Nenhum"/>
        </w:rPr>
      </w:pPr>
      <w:r w:rsidRPr="000F54D6">
        <w:rPr>
          <w:rStyle w:val="Nenhum"/>
        </w:rPr>
        <w:t xml:space="preserve">RODRIGUES, J. G. P. </w:t>
      </w:r>
      <w:r w:rsidRPr="000F54D6">
        <w:rPr>
          <w:rStyle w:val="Nenhum"/>
          <w:b/>
          <w:bCs/>
        </w:rPr>
        <w:t xml:space="preserve">Da Abundância à Escassez: Análise da Trajetória Orçamentária do Município de Campos dos Goytacazes. </w:t>
      </w:r>
      <w:r w:rsidR="007A1133" w:rsidRPr="00AA1EF8">
        <w:rPr>
          <w:rStyle w:val="Nenhum"/>
        </w:rPr>
        <w:t>2022.</w:t>
      </w:r>
      <w:r w:rsidR="007A1133">
        <w:rPr>
          <w:rStyle w:val="Nenhum"/>
          <w:b/>
          <w:bCs/>
        </w:rPr>
        <w:t xml:space="preserve"> </w:t>
      </w:r>
      <w:r w:rsidRPr="000F54D6">
        <w:rPr>
          <w:rStyle w:val="Nenhum"/>
        </w:rPr>
        <w:t xml:space="preserve">Dissertação </w:t>
      </w:r>
      <w:r w:rsidR="007A1133">
        <w:rPr>
          <w:rStyle w:val="Nenhum"/>
        </w:rPr>
        <w:t>(Mestrado em</w:t>
      </w:r>
      <w:r w:rsidRPr="000F54D6">
        <w:rPr>
          <w:rStyle w:val="Nenhum"/>
        </w:rPr>
        <w:t xml:space="preserve"> Planejamento Regional e Gestão da Cidade</w:t>
      </w:r>
      <w:r w:rsidR="007A1133">
        <w:rPr>
          <w:rStyle w:val="Nenhum"/>
        </w:rPr>
        <w:t>)</w:t>
      </w:r>
      <w:r w:rsidRPr="000F54D6">
        <w:rPr>
          <w:rStyle w:val="Nenhum"/>
        </w:rPr>
        <w:t xml:space="preserve"> Universidade Candido Mendes</w:t>
      </w:r>
      <w:r w:rsidR="007A1133">
        <w:rPr>
          <w:rStyle w:val="Nenhum"/>
        </w:rPr>
        <w:t>,</w:t>
      </w:r>
      <w:r w:rsidRPr="000F54D6">
        <w:rPr>
          <w:rStyle w:val="Nenhum"/>
        </w:rPr>
        <w:t xml:space="preserve"> Campos dos Goytacazes, 2022.</w:t>
      </w:r>
    </w:p>
    <w:p w14:paraId="1E782EA4" w14:textId="77777777" w:rsidR="00E62377" w:rsidRDefault="00E62377" w:rsidP="006616C0">
      <w:pPr>
        <w:pStyle w:val="Corpo"/>
        <w:spacing w:after="0" w:line="240" w:lineRule="auto"/>
      </w:pPr>
    </w:p>
    <w:p w14:paraId="1CEDB43E" w14:textId="7A55C1C6" w:rsidR="00E62377" w:rsidRPr="000F54D6" w:rsidRDefault="00E62377" w:rsidP="00E62377">
      <w:pPr>
        <w:pStyle w:val="Corpo"/>
        <w:spacing w:after="0" w:line="240" w:lineRule="auto"/>
      </w:pPr>
      <w:r w:rsidRPr="000F54D6">
        <w:rPr>
          <w:rStyle w:val="Nenhum"/>
        </w:rPr>
        <w:t>SERRA, R. V. O Novo Marco Regulatório do Setor Petrolífero Brasileiro: dádiva ou maldição?</w:t>
      </w:r>
      <w:r w:rsidR="002058C5">
        <w:rPr>
          <w:rStyle w:val="Nenhum"/>
        </w:rPr>
        <w:t xml:space="preserve"> </w:t>
      </w:r>
      <w:r w:rsidR="002058C5" w:rsidRPr="002058C5">
        <w:rPr>
          <w:rStyle w:val="Nenhum"/>
          <w:i/>
          <w:iCs/>
        </w:rPr>
        <w:t>In</w:t>
      </w:r>
      <w:r w:rsidR="002058C5">
        <w:rPr>
          <w:rStyle w:val="Nenhum"/>
        </w:rPr>
        <w:t>:</w:t>
      </w:r>
      <w:r w:rsidRPr="000F54D6">
        <w:rPr>
          <w:rStyle w:val="Nenhum"/>
        </w:rPr>
        <w:t xml:space="preserve"> Circuito de debates Acadêmicos</w:t>
      </w:r>
      <w:r w:rsidR="002058C5">
        <w:rPr>
          <w:rStyle w:val="Nenhum"/>
        </w:rPr>
        <w:t>, 1.,</w:t>
      </w:r>
      <w:r w:rsidRPr="000F54D6">
        <w:rPr>
          <w:rStyle w:val="Nenhum"/>
        </w:rPr>
        <w:t xml:space="preserve"> </w:t>
      </w:r>
      <w:r w:rsidR="002058C5">
        <w:rPr>
          <w:rStyle w:val="Nenhum"/>
        </w:rPr>
        <w:t xml:space="preserve">2011, Brasília. </w:t>
      </w:r>
      <w:r w:rsidRPr="000F54D6">
        <w:rPr>
          <w:rStyle w:val="Nenhum"/>
          <w:b/>
          <w:bCs/>
        </w:rPr>
        <w:t>Anais</w:t>
      </w:r>
      <w:r w:rsidR="002058C5">
        <w:rPr>
          <w:rStyle w:val="Nenhum"/>
          <w:b/>
          <w:bCs/>
        </w:rPr>
        <w:t xml:space="preserve"> </w:t>
      </w:r>
      <w:r w:rsidR="002058C5" w:rsidRPr="002058C5">
        <w:rPr>
          <w:rStyle w:val="Nenhum"/>
        </w:rPr>
        <w:t>[...]</w:t>
      </w:r>
      <w:r w:rsidRPr="000F54D6">
        <w:rPr>
          <w:rStyle w:val="Nenhum"/>
        </w:rPr>
        <w:t xml:space="preserve">. </w:t>
      </w:r>
      <w:r w:rsidR="002058C5">
        <w:rPr>
          <w:rStyle w:val="Nenhum"/>
        </w:rPr>
        <w:t xml:space="preserve">Brasília: </w:t>
      </w:r>
      <w:r w:rsidRPr="000F54D6">
        <w:rPr>
          <w:rStyle w:val="Nenhum"/>
        </w:rPr>
        <w:t>IPEA</w:t>
      </w:r>
      <w:r w:rsidR="002058C5">
        <w:rPr>
          <w:rStyle w:val="Nenhum"/>
        </w:rPr>
        <w:t>,</w:t>
      </w:r>
      <w:r w:rsidRPr="000F54D6">
        <w:rPr>
          <w:rStyle w:val="Nenhum"/>
        </w:rPr>
        <w:t xml:space="preserve"> 2011. Disponível em: https://www.ipea.gov.br/code2011/chamada2011/pdf/area4/area4-artigo7.pdf. Acesso em: 2 out. 2024. </w:t>
      </w:r>
    </w:p>
    <w:p w14:paraId="2CD4DE57" w14:textId="77777777" w:rsidR="00E62377" w:rsidRDefault="00E62377" w:rsidP="006616C0">
      <w:pPr>
        <w:pStyle w:val="Corpo"/>
        <w:spacing w:after="0" w:line="240" w:lineRule="auto"/>
      </w:pPr>
    </w:p>
    <w:p w14:paraId="67991846" w14:textId="3BC1ABC8" w:rsidR="00EC0A93" w:rsidRDefault="00E62377" w:rsidP="00E62377">
      <w:pPr>
        <w:pStyle w:val="Corpo"/>
        <w:widowControl w:val="0"/>
        <w:spacing w:after="0" w:line="240" w:lineRule="auto"/>
        <w:ind w:right="9"/>
      </w:pPr>
      <w:hyperlink r:id="rId17" w:history="1">
        <w:r w:rsidRPr="002C1AE7">
          <w:rPr>
            <w:rStyle w:val="Hyperlink1"/>
            <w:u w:val="none"/>
          </w:rPr>
          <w:t>SILVA</w:t>
        </w:r>
      </w:hyperlink>
      <w:hyperlink r:id="rId18" w:history="1">
        <w:r w:rsidRPr="002C1AE7">
          <w:rPr>
            <w:rStyle w:val="Hyperlink2"/>
          </w:rPr>
          <w:t>, R</w:t>
        </w:r>
      </w:hyperlink>
      <w:hyperlink r:id="rId19" w:history="1">
        <w:r w:rsidRPr="002C1AE7">
          <w:rPr>
            <w:rStyle w:val="Hyperlink1"/>
            <w:u w:val="none"/>
          </w:rPr>
          <w:t>.</w:t>
        </w:r>
      </w:hyperlink>
      <w:hyperlink r:id="rId20" w:history="1">
        <w:r w:rsidRPr="002C1AE7">
          <w:rPr>
            <w:rStyle w:val="Hyperlink2"/>
          </w:rPr>
          <w:t xml:space="preserve"> D</w:t>
        </w:r>
      </w:hyperlink>
      <w:hyperlink r:id="rId21" w:history="1">
        <w:r w:rsidRPr="002C1AE7">
          <w:rPr>
            <w:rStyle w:val="Hyperlink1"/>
            <w:u w:val="none"/>
          </w:rPr>
          <w:t>.</w:t>
        </w:r>
      </w:hyperlink>
      <w:r w:rsidRPr="002C1AE7">
        <w:rPr>
          <w:rStyle w:val="Hyperlink0"/>
        </w:rPr>
        <w:t xml:space="preserve"> Royalties e desenvolvimento regional: uma reflexão sobre os desafios</w:t>
      </w:r>
      <w:r w:rsidRPr="000F54D6">
        <w:rPr>
          <w:rStyle w:val="Hyperlink0"/>
        </w:rPr>
        <w:t xml:space="preserve"> do Rio de Janeiro. </w:t>
      </w:r>
      <w:r w:rsidRPr="003A000E">
        <w:rPr>
          <w:rStyle w:val="Hyperlink0"/>
          <w:i/>
          <w:iCs/>
        </w:rPr>
        <w:t>In</w:t>
      </w:r>
      <w:r w:rsidRPr="000F54D6">
        <w:rPr>
          <w:rStyle w:val="Hyperlink0"/>
        </w:rPr>
        <w:t>: MONTEIRO NETO, A.; CASTRO, C. N.; BRANDÃO, C. A. (</w:t>
      </w:r>
      <w:proofErr w:type="spellStart"/>
      <w:r w:rsidRPr="000F54D6">
        <w:rPr>
          <w:rStyle w:val="Hyperlink0"/>
        </w:rPr>
        <w:t>Orgs</w:t>
      </w:r>
      <w:proofErr w:type="spellEnd"/>
      <w:r w:rsidRPr="000F54D6">
        <w:rPr>
          <w:rStyle w:val="Hyperlink0"/>
        </w:rPr>
        <w:t xml:space="preserve">). </w:t>
      </w:r>
      <w:hyperlink r:id="rId22" w:history="1">
        <w:r w:rsidRPr="000F54D6">
          <w:rPr>
            <w:rStyle w:val="Hyperlink3"/>
          </w:rPr>
          <w:t>Desenvolvimento regional no Brasil: políticas, estratégias e perspectivas</w:t>
        </w:r>
      </w:hyperlink>
      <w:hyperlink r:id="rId23" w:history="1">
        <w:r w:rsidRPr="002C1AE7">
          <w:rPr>
            <w:rStyle w:val="Hyperlink1"/>
            <w:u w:val="none"/>
          </w:rPr>
          <w:t>.</w:t>
        </w:r>
        <w:r w:rsidR="003A000E">
          <w:rPr>
            <w:rStyle w:val="Hyperlink1"/>
            <w:u w:val="none"/>
          </w:rPr>
          <w:t xml:space="preserve"> </w:t>
        </w:r>
        <w:r w:rsidR="003A000E" w:rsidRPr="003A000E">
          <w:rPr>
            <w:rStyle w:val="Hyperlink1"/>
            <w:u w:val="none"/>
          </w:rPr>
          <w:t>Rio de Janeiro</w:t>
        </w:r>
        <w:r w:rsidR="003A000E">
          <w:rPr>
            <w:rStyle w:val="Hyperlink1"/>
            <w:u w:val="none"/>
          </w:rPr>
          <w:t>:</w:t>
        </w:r>
        <w:r w:rsidRPr="002C1AE7">
          <w:rPr>
            <w:rStyle w:val="Hyperlink1"/>
            <w:u w:val="none"/>
          </w:rPr>
          <w:t xml:space="preserve"> IPEA,</w:t>
        </w:r>
      </w:hyperlink>
      <w:r w:rsidR="003A000E">
        <w:t xml:space="preserve"> </w:t>
      </w:r>
      <w:hyperlink r:id="rId24" w:history="1">
        <w:r w:rsidRPr="002C1AE7">
          <w:rPr>
            <w:rStyle w:val="Hyperlink2"/>
          </w:rPr>
          <w:t>2017.</w:t>
        </w:r>
      </w:hyperlink>
    </w:p>
    <w:p w14:paraId="04CE5790" w14:textId="77777777" w:rsidR="00466D3E" w:rsidRPr="002C1AE7" w:rsidRDefault="00466D3E" w:rsidP="00E62377">
      <w:pPr>
        <w:pStyle w:val="Corpo"/>
        <w:widowControl w:val="0"/>
        <w:spacing w:after="0" w:line="240" w:lineRule="auto"/>
        <w:ind w:right="9"/>
      </w:pPr>
    </w:p>
    <w:p w14:paraId="67F53C34" w14:textId="77777777" w:rsidR="00EC0A93" w:rsidRDefault="00EC0A93" w:rsidP="00EC0A93">
      <w:pPr>
        <w:pStyle w:val="Corpo"/>
        <w:spacing w:after="0" w:line="240" w:lineRule="auto"/>
        <w:rPr>
          <w:rStyle w:val="Nenhum"/>
        </w:rPr>
      </w:pPr>
      <w:r w:rsidRPr="000F54D6">
        <w:rPr>
          <w:rStyle w:val="Nenhum"/>
        </w:rPr>
        <w:t xml:space="preserve">TERRA, D. C. T. Royalties em Campos dos Goytacazes ampliam as desigualdades </w:t>
      </w:r>
      <w:proofErr w:type="spellStart"/>
      <w:proofErr w:type="gramStart"/>
      <w:r w:rsidRPr="000F54D6">
        <w:rPr>
          <w:rStyle w:val="Nenhum"/>
        </w:rPr>
        <w:t>sócio-espaciais</w:t>
      </w:r>
      <w:proofErr w:type="spellEnd"/>
      <w:proofErr w:type="gramEnd"/>
      <w:r w:rsidRPr="000F54D6">
        <w:rPr>
          <w:rStyle w:val="Nenhum"/>
        </w:rPr>
        <w:t xml:space="preserve">. In: </w:t>
      </w:r>
      <w:r w:rsidRPr="000F54D6">
        <w:rPr>
          <w:rStyle w:val="Nenhum"/>
          <w:b/>
          <w:bCs/>
        </w:rPr>
        <w:t xml:space="preserve">Boletim Petróleo, </w:t>
      </w:r>
      <w:r w:rsidRPr="003A000E">
        <w:rPr>
          <w:rStyle w:val="Nenhum"/>
          <w:b/>
          <w:bCs/>
          <w:i/>
          <w:iCs/>
        </w:rPr>
        <w:t>Royalties</w:t>
      </w:r>
      <w:r w:rsidRPr="000F54D6">
        <w:rPr>
          <w:rStyle w:val="Nenhum"/>
          <w:b/>
          <w:bCs/>
        </w:rPr>
        <w:t xml:space="preserve"> &amp; Região</w:t>
      </w:r>
      <w:r w:rsidRPr="000F54D6">
        <w:rPr>
          <w:rStyle w:val="Nenhum"/>
        </w:rPr>
        <w:t>. Campos dos Goytacazes/RJ: Mestrado em Planejamento Regional e Gestão de Cidades - Universidade Candido Mendes. Ano IV, n. 13. 2006.</w:t>
      </w:r>
    </w:p>
    <w:p w14:paraId="46EBFF3C" w14:textId="77777777" w:rsidR="00EC0A93" w:rsidRDefault="00EC0A93" w:rsidP="00EC0A93">
      <w:pPr>
        <w:pStyle w:val="Corpo"/>
        <w:spacing w:after="0" w:line="240" w:lineRule="auto"/>
        <w:rPr>
          <w:rStyle w:val="Nenhum"/>
        </w:rPr>
      </w:pPr>
    </w:p>
    <w:p w14:paraId="75617F44" w14:textId="02BBB778" w:rsidR="00EC0A93" w:rsidRPr="000F54D6" w:rsidRDefault="00EC0A93" w:rsidP="00EC0A93">
      <w:pPr>
        <w:pStyle w:val="Corpo"/>
        <w:spacing w:after="0" w:line="240" w:lineRule="auto"/>
      </w:pPr>
      <w:r w:rsidRPr="000F54D6">
        <w:rPr>
          <w:rStyle w:val="Nenhum"/>
        </w:rPr>
        <w:lastRenderedPageBreak/>
        <w:t>VIANA, A. P.; CIRINO, D. S.; VERDAN, M. F.; SILVA NETO, R. As Rendas Petrolíferas e sua Relação com o Desenvolvimento Socioeconômico do Litoral Sul do Estado do Espírito Santo.</w:t>
      </w:r>
      <w:r w:rsidR="003A3AB3">
        <w:rPr>
          <w:rStyle w:val="Nenhum"/>
        </w:rPr>
        <w:t xml:space="preserve"> </w:t>
      </w:r>
      <w:r w:rsidR="003A3AB3" w:rsidRPr="003A3AB3">
        <w:rPr>
          <w:rStyle w:val="Nenhum"/>
          <w:i/>
          <w:iCs/>
        </w:rPr>
        <w:t>In</w:t>
      </w:r>
      <w:r w:rsidR="003A3AB3">
        <w:rPr>
          <w:rStyle w:val="Nenhum"/>
        </w:rPr>
        <w:t xml:space="preserve">: </w:t>
      </w:r>
      <w:r w:rsidR="003A3AB3" w:rsidRPr="000F54D6">
        <w:rPr>
          <w:rStyle w:val="Nenhum"/>
        </w:rPr>
        <w:t>Seminário de Integração Regional</w:t>
      </w:r>
      <w:r w:rsidR="003A3AB3">
        <w:rPr>
          <w:rStyle w:val="Nenhum"/>
        </w:rPr>
        <w:t>, 19., 2021, Campos dos Goytacazes.</w:t>
      </w:r>
      <w:r w:rsidRPr="000F54D6">
        <w:rPr>
          <w:rStyle w:val="Nenhum"/>
        </w:rPr>
        <w:t xml:space="preserve"> </w:t>
      </w:r>
      <w:r w:rsidRPr="000F54D6">
        <w:rPr>
          <w:rStyle w:val="Nenhum"/>
          <w:b/>
          <w:bCs/>
        </w:rPr>
        <w:t xml:space="preserve">Anais </w:t>
      </w:r>
      <w:r w:rsidR="003A3AB3" w:rsidRPr="003A3AB3">
        <w:rPr>
          <w:rStyle w:val="Nenhum"/>
        </w:rPr>
        <w:t>[...]</w:t>
      </w:r>
      <w:r w:rsidR="003A3AB3">
        <w:rPr>
          <w:rStyle w:val="Nenhum"/>
        </w:rPr>
        <w:t xml:space="preserve">. Campos dos Goytacazes: UCAM, </w:t>
      </w:r>
      <w:r w:rsidRPr="000F54D6">
        <w:rPr>
          <w:rStyle w:val="Nenhum"/>
        </w:rPr>
        <w:t>2021.</w:t>
      </w:r>
    </w:p>
    <w:p w14:paraId="5D753AE6" w14:textId="77777777" w:rsidR="00EC0A93" w:rsidRPr="000F54D6" w:rsidRDefault="00EC0A93" w:rsidP="00EC0A93">
      <w:pPr>
        <w:pStyle w:val="Corpo"/>
        <w:spacing w:after="0" w:line="240" w:lineRule="auto"/>
      </w:pPr>
    </w:p>
    <w:p w14:paraId="2FB25861" w14:textId="77777777" w:rsidR="00EC0A93" w:rsidRPr="000F54D6" w:rsidRDefault="00EC0A93" w:rsidP="00E62377">
      <w:pPr>
        <w:pStyle w:val="Corpo"/>
        <w:widowControl w:val="0"/>
        <w:spacing w:after="0" w:line="240" w:lineRule="auto"/>
        <w:ind w:right="9"/>
        <w:rPr>
          <w:rStyle w:val="Hyperlink1"/>
        </w:rPr>
      </w:pPr>
    </w:p>
    <w:p w14:paraId="141D1715" w14:textId="77777777" w:rsidR="00E62377" w:rsidRPr="00AD66B1" w:rsidRDefault="00E62377" w:rsidP="006616C0">
      <w:pPr>
        <w:pStyle w:val="Corpo"/>
        <w:spacing w:after="0" w:line="240" w:lineRule="auto"/>
      </w:pPr>
    </w:p>
    <w:p w14:paraId="5C7CEB7C" w14:textId="77777777" w:rsidR="006616C0" w:rsidRPr="00AD66B1" w:rsidRDefault="006616C0" w:rsidP="00104A10">
      <w:pPr>
        <w:rPr>
          <w:rFonts w:ascii="Arial" w:hAnsi="Arial" w:cs="Arial"/>
          <w:b/>
          <w:bCs/>
        </w:rPr>
      </w:pPr>
    </w:p>
    <w:sectPr w:rsidR="006616C0" w:rsidRPr="00AD66B1" w:rsidSect="00C6461C">
      <w:headerReference w:type="default" r:id="rId25"/>
      <w:footerReference w:type="default" r:id="rId26"/>
      <w:headerReference w:type="first" r:id="rId27"/>
      <w:pgSz w:w="11906" w:h="16838"/>
      <w:pgMar w:top="1701" w:right="1134"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D544" w14:textId="77777777" w:rsidR="00277278" w:rsidRPr="00AD66B1" w:rsidRDefault="00277278">
      <w:r w:rsidRPr="00AD66B1">
        <w:separator/>
      </w:r>
    </w:p>
  </w:endnote>
  <w:endnote w:type="continuationSeparator" w:id="0">
    <w:p w14:paraId="6D7C6E67" w14:textId="77777777" w:rsidR="00277278" w:rsidRPr="00AD66B1" w:rsidRDefault="00277278">
      <w:r w:rsidRPr="00AD66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3D4" w14:textId="77777777" w:rsidR="00C776E8" w:rsidRPr="00AD66B1" w:rsidRDefault="00C776E8">
    <w:pPr>
      <w:pStyle w:val="Rodap"/>
      <w:jc w:val="center"/>
      <w:rPr>
        <w:rFonts w:ascii="Calibri" w:hAnsi="Calibri" w:cs="Calibri"/>
        <w:sz w:val="20"/>
        <w:lang w:val="pt-BR"/>
      </w:rPr>
    </w:pPr>
    <w:r w:rsidRPr="00AD66B1">
      <w:rPr>
        <w:rFonts w:ascii="Calibri" w:hAnsi="Calibri" w:cs="Calibri"/>
        <w:sz w:val="20"/>
        <w:lang w:val="pt-BR"/>
      </w:rPr>
      <w:fldChar w:fldCharType="begin"/>
    </w:r>
    <w:r w:rsidRPr="00AD66B1">
      <w:rPr>
        <w:rFonts w:ascii="Calibri" w:hAnsi="Calibri" w:cs="Calibri"/>
        <w:sz w:val="20"/>
        <w:lang w:val="pt-BR"/>
      </w:rPr>
      <w:instrText xml:space="preserve"> PAGE   \* MERGEFORMAT </w:instrText>
    </w:r>
    <w:r w:rsidRPr="00AD66B1">
      <w:rPr>
        <w:rFonts w:ascii="Calibri" w:hAnsi="Calibri" w:cs="Calibri"/>
        <w:sz w:val="20"/>
        <w:lang w:val="pt-BR"/>
      </w:rPr>
      <w:fldChar w:fldCharType="separate"/>
    </w:r>
    <w:r w:rsidR="004F679E" w:rsidRPr="00AD66B1">
      <w:rPr>
        <w:rFonts w:ascii="Calibri" w:hAnsi="Calibri" w:cs="Calibri"/>
        <w:sz w:val="20"/>
        <w:lang w:val="pt-BR"/>
      </w:rPr>
      <w:t>11</w:t>
    </w:r>
    <w:r w:rsidRPr="00AD66B1">
      <w:rPr>
        <w:rFonts w:ascii="Calibri" w:hAnsi="Calibri" w:cs="Calibri"/>
        <w:sz w:val="20"/>
        <w:lang w:val="pt-BR"/>
      </w:rPr>
      <w:fldChar w:fldCharType="end"/>
    </w:r>
  </w:p>
  <w:p w14:paraId="2954AAFF" w14:textId="77777777" w:rsidR="00C776E8" w:rsidRPr="00AD66B1" w:rsidRDefault="00C776E8">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7980" w14:textId="77777777" w:rsidR="00277278" w:rsidRPr="00AD66B1" w:rsidRDefault="00277278">
      <w:r w:rsidRPr="00AD66B1">
        <w:separator/>
      </w:r>
    </w:p>
  </w:footnote>
  <w:footnote w:type="continuationSeparator" w:id="0">
    <w:p w14:paraId="40C84F24" w14:textId="77777777" w:rsidR="00277278" w:rsidRPr="00AD66B1" w:rsidRDefault="00277278">
      <w:r w:rsidRPr="00AD66B1">
        <w:continuationSeparator/>
      </w:r>
    </w:p>
  </w:footnote>
  <w:footnote w:id="1">
    <w:p w14:paraId="6D574EEE" w14:textId="1A86558F" w:rsidR="00D12011" w:rsidRPr="00AD66B1" w:rsidRDefault="00D12011" w:rsidP="00C21F57">
      <w:pPr>
        <w:rPr>
          <w:rFonts w:ascii="Arial" w:hAnsi="Arial" w:cs="Arial"/>
        </w:rPr>
      </w:pPr>
      <w:r w:rsidRPr="00AD66B1">
        <w:rPr>
          <w:rStyle w:val="Refdenotaderodap"/>
          <w:rFonts w:ascii="Arial" w:hAnsi="Arial" w:cs="Arial"/>
          <w:sz w:val="20"/>
          <w:szCs w:val="20"/>
        </w:rPr>
        <w:footnoteRef/>
      </w:r>
      <w:r w:rsidRPr="00AD66B1">
        <w:t xml:space="preserve"> </w:t>
      </w:r>
      <w:r w:rsidR="00C21F57" w:rsidRPr="00AD66B1">
        <w:rPr>
          <w:rFonts w:ascii="Arial" w:hAnsi="Arial" w:cs="Arial"/>
          <w:sz w:val="20"/>
          <w:szCs w:val="20"/>
        </w:rPr>
        <w:t xml:space="preserve">Doutoranda em Planejamento Regional e Gestão de Cidades </w:t>
      </w:r>
      <w:r w:rsidR="00B625B4" w:rsidRPr="00AD66B1">
        <w:rPr>
          <w:rFonts w:ascii="Arial" w:hAnsi="Arial" w:cs="Arial"/>
          <w:sz w:val="20"/>
          <w:szCs w:val="20"/>
        </w:rPr>
        <w:t>- UCAM</w:t>
      </w:r>
      <w:r w:rsidR="00C21F57" w:rsidRPr="00AD66B1">
        <w:rPr>
          <w:rFonts w:ascii="Arial" w:hAnsi="Arial" w:cs="Arial"/>
          <w:sz w:val="20"/>
          <w:szCs w:val="20"/>
        </w:rPr>
        <w:t>. Mestre em Engenharia e Desenvolvimento Sustentáve</w:t>
      </w:r>
      <w:r w:rsidR="00B625B4" w:rsidRPr="00AD66B1">
        <w:rPr>
          <w:rFonts w:ascii="Arial" w:hAnsi="Arial" w:cs="Arial"/>
          <w:sz w:val="20"/>
          <w:szCs w:val="20"/>
        </w:rPr>
        <w:t>l - UFES</w:t>
      </w:r>
      <w:r w:rsidR="00C21F57" w:rsidRPr="00AD66B1">
        <w:rPr>
          <w:rFonts w:ascii="Arial" w:hAnsi="Arial" w:cs="Arial"/>
          <w:sz w:val="20"/>
          <w:szCs w:val="20"/>
        </w:rPr>
        <w:t>.</w:t>
      </w:r>
      <w:r w:rsidR="00B625B4" w:rsidRPr="00AD66B1">
        <w:rPr>
          <w:rFonts w:ascii="Arial" w:hAnsi="Arial" w:cs="Arial"/>
          <w:sz w:val="20"/>
          <w:szCs w:val="20"/>
        </w:rPr>
        <w:t xml:space="preserve"> Licenciada em Ciências Biológicas – UFJF. </w:t>
      </w:r>
      <w:r w:rsidR="00C21F57" w:rsidRPr="00AD66B1">
        <w:rPr>
          <w:rFonts w:ascii="Arial" w:hAnsi="Arial" w:cs="Arial"/>
          <w:sz w:val="20"/>
          <w:szCs w:val="20"/>
        </w:rPr>
        <w:t>Bióloga, Servidora Pública Municipal. E-mail: aurimar</w:t>
      </w:r>
      <w:r w:rsidR="00E7060E">
        <w:rPr>
          <w:rFonts w:ascii="Arial" w:hAnsi="Arial" w:cs="Arial"/>
          <w:sz w:val="20"/>
          <w:szCs w:val="20"/>
        </w:rPr>
        <w:t>.viana</w:t>
      </w:r>
      <w:r w:rsidR="00C21F57" w:rsidRPr="00AD66B1">
        <w:rPr>
          <w:rFonts w:ascii="Arial" w:hAnsi="Arial" w:cs="Arial"/>
          <w:sz w:val="20"/>
          <w:szCs w:val="20"/>
        </w:rPr>
        <w:t>@</w:t>
      </w:r>
      <w:r w:rsidR="00E7060E">
        <w:rPr>
          <w:rFonts w:ascii="Arial" w:hAnsi="Arial" w:cs="Arial"/>
          <w:sz w:val="20"/>
          <w:szCs w:val="20"/>
        </w:rPr>
        <w:t>g</w:t>
      </w:r>
      <w:r w:rsidR="00C21F57" w:rsidRPr="00AD66B1">
        <w:rPr>
          <w:rFonts w:ascii="Arial" w:hAnsi="Arial" w:cs="Arial"/>
          <w:sz w:val="20"/>
          <w:szCs w:val="20"/>
        </w:rPr>
        <w:t>mail.com</w:t>
      </w:r>
    </w:p>
  </w:footnote>
  <w:footnote w:id="2">
    <w:p w14:paraId="6EB4BFDD" w14:textId="3A9611C5" w:rsidR="00D12011" w:rsidRPr="00AD66B1" w:rsidRDefault="00D12011" w:rsidP="00C21F57">
      <w:pPr>
        <w:rPr>
          <w:rFonts w:ascii="Arial" w:hAnsi="Arial" w:cs="Arial"/>
        </w:rPr>
      </w:pPr>
      <w:r w:rsidRPr="00AD66B1">
        <w:rPr>
          <w:rStyle w:val="Refdenotaderodap"/>
          <w:rFonts w:ascii="Arial" w:hAnsi="Arial" w:cs="Arial"/>
          <w:sz w:val="20"/>
          <w:szCs w:val="20"/>
        </w:rPr>
        <w:footnoteRef/>
      </w:r>
      <w:r w:rsidRPr="00AD66B1">
        <w:rPr>
          <w:rFonts w:ascii="Arial" w:hAnsi="Arial" w:cs="Arial"/>
          <w:sz w:val="20"/>
          <w:szCs w:val="20"/>
        </w:rPr>
        <w:t xml:space="preserve"> </w:t>
      </w:r>
      <w:r w:rsidR="0063579D" w:rsidRPr="00AD66B1">
        <w:rPr>
          <w:rFonts w:ascii="Arial" w:hAnsi="Arial" w:cs="Arial"/>
          <w:sz w:val="20"/>
          <w:szCs w:val="20"/>
        </w:rPr>
        <w:t>G</w:t>
      </w:r>
      <w:r w:rsidR="00C21F57" w:rsidRPr="00AD66B1">
        <w:rPr>
          <w:rFonts w:ascii="Arial" w:hAnsi="Arial" w:cs="Arial"/>
          <w:sz w:val="20"/>
          <w:szCs w:val="20"/>
        </w:rPr>
        <w:t>raduado em Engenharia Civil</w:t>
      </w:r>
      <w:r w:rsidR="0063579D" w:rsidRPr="00AD66B1">
        <w:rPr>
          <w:rFonts w:ascii="Arial" w:hAnsi="Arial" w:cs="Arial"/>
          <w:sz w:val="20"/>
          <w:szCs w:val="20"/>
        </w:rPr>
        <w:t>.</w:t>
      </w:r>
      <w:r w:rsidR="00C21F57" w:rsidRPr="00AD66B1">
        <w:rPr>
          <w:rFonts w:ascii="Arial" w:hAnsi="Arial" w:cs="Arial"/>
          <w:sz w:val="20"/>
          <w:szCs w:val="20"/>
        </w:rPr>
        <w:t xml:space="preserve"> </w:t>
      </w:r>
      <w:r w:rsidR="00B625B4" w:rsidRPr="00AD66B1">
        <w:rPr>
          <w:rFonts w:ascii="Arial" w:hAnsi="Arial" w:cs="Arial"/>
          <w:sz w:val="20"/>
          <w:szCs w:val="20"/>
        </w:rPr>
        <w:t>Mestre</w:t>
      </w:r>
      <w:r w:rsidR="00C21F57" w:rsidRPr="00AD66B1">
        <w:rPr>
          <w:rFonts w:ascii="Arial" w:hAnsi="Arial" w:cs="Arial"/>
          <w:sz w:val="20"/>
          <w:szCs w:val="20"/>
        </w:rPr>
        <w:t xml:space="preserve"> em Engenharia Civil</w:t>
      </w:r>
      <w:r w:rsidR="0063579D" w:rsidRPr="00AD66B1">
        <w:rPr>
          <w:rFonts w:ascii="Arial" w:hAnsi="Arial" w:cs="Arial"/>
          <w:sz w:val="20"/>
          <w:szCs w:val="20"/>
        </w:rPr>
        <w:t>.</w:t>
      </w:r>
      <w:r w:rsidR="00C21F57" w:rsidRPr="00AD66B1">
        <w:rPr>
          <w:rFonts w:ascii="Arial" w:hAnsi="Arial" w:cs="Arial"/>
          <w:sz w:val="20"/>
          <w:szCs w:val="20"/>
        </w:rPr>
        <w:t xml:space="preserve">  </w:t>
      </w:r>
      <w:r w:rsidR="00B625B4" w:rsidRPr="00AD66B1">
        <w:rPr>
          <w:rFonts w:ascii="Arial" w:hAnsi="Arial" w:cs="Arial"/>
          <w:sz w:val="20"/>
          <w:szCs w:val="20"/>
        </w:rPr>
        <w:t>D</w:t>
      </w:r>
      <w:r w:rsidR="00C21F57" w:rsidRPr="00AD66B1">
        <w:rPr>
          <w:rFonts w:ascii="Arial" w:hAnsi="Arial" w:cs="Arial"/>
          <w:sz w:val="20"/>
          <w:szCs w:val="20"/>
        </w:rPr>
        <w:t>outor em Engenharia de Produção, Estágio Pós</w:t>
      </w:r>
      <w:r w:rsidR="00B625B4" w:rsidRPr="00AD66B1">
        <w:rPr>
          <w:rFonts w:ascii="Arial" w:hAnsi="Arial" w:cs="Arial"/>
          <w:sz w:val="20"/>
          <w:szCs w:val="20"/>
        </w:rPr>
        <w:t>-</w:t>
      </w:r>
      <w:r w:rsidR="00C21F57" w:rsidRPr="00AD66B1">
        <w:rPr>
          <w:rFonts w:ascii="Arial" w:hAnsi="Arial" w:cs="Arial"/>
          <w:sz w:val="20"/>
          <w:szCs w:val="20"/>
        </w:rPr>
        <w:t>Doutoral na</w:t>
      </w:r>
      <w:r w:rsidR="00B625B4" w:rsidRPr="00AD66B1">
        <w:rPr>
          <w:rFonts w:ascii="Arial" w:hAnsi="Arial" w:cs="Arial"/>
          <w:sz w:val="20"/>
          <w:szCs w:val="20"/>
        </w:rPr>
        <w:t xml:space="preserve"> </w:t>
      </w:r>
      <w:proofErr w:type="spellStart"/>
      <w:r w:rsidR="00C21F57" w:rsidRPr="00AD66B1">
        <w:rPr>
          <w:rFonts w:ascii="Arial" w:hAnsi="Arial" w:cs="Arial"/>
          <w:sz w:val="20"/>
          <w:szCs w:val="20"/>
        </w:rPr>
        <w:t>Universidad</w:t>
      </w:r>
      <w:proofErr w:type="spellEnd"/>
      <w:r w:rsidR="00C21F57" w:rsidRPr="00AD66B1">
        <w:rPr>
          <w:rFonts w:ascii="Arial" w:hAnsi="Arial" w:cs="Arial"/>
          <w:sz w:val="20"/>
          <w:szCs w:val="20"/>
        </w:rPr>
        <w:t xml:space="preserve"> </w:t>
      </w:r>
      <w:proofErr w:type="spellStart"/>
      <w:r w:rsidR="00C21F57" w:rsidRPr="00AD66B1">
        <w:rPr>
          <w:rFonts w:ascii="Arial" w:hAnsi="Arial" w:cs="Arial"/>
          <w:sz w:val="20"/>
          <w:szCs w:val="20"/>
        </w:rPr>
        <w:t>Pontificia</w:t>
      </w:r>
      <w:proofErr w:type="spellEnd"/>
      <w:r w:rsidR="00C21F57" w:rsidRPr="00AD66B1">
        <w:rPr>
          <w:rFonts w:ascii="Arial" w:hAnsi="Arial" w:cs="Arial"/>
          <w:sz w:val="20"/>
          <w:szCs w:val="20"/>
        </w:rPr>
        <w:t xml:space="preserve"> de Salamanca - Espanha, Pós-Doutorado em Economia Industrial e Pós</w:t>
      </w:r>
      <w:r w:rsidR="00B625B4" w:rsidRPr="00AD66B1">
        <w:rPr>
          <w:rFonts w:ascii="Arial" w:hAnsi="Arial" w:cs="Arial"/>
          <w:sz w:val="20"/>
          <w:szCs w:val="20"/>
        </w:rPr>
        <w:t>-</w:t>
      </w:r>
      <w:r w:rsidR="00C21F57" w:rsidRPr="00AD66B1">
        <w:rPr>
          <w:rFonts w:ascii="Arial" w:hAnsi="Arial" w:cs="Arial"/>
          <w:sz w:val="20"/>
          <w:szCs w:val="20"/>
        </w:rPr>
        <w:t xml:space="preserve">Doutorado na Linha de Pesquisa Estado e Política Pública. Professor Titular do </w:t>
      </w:r>
      <w:r w:rsidR="00B625B4" w:rsidRPr="00AD66B1">
        <w:rPr>
          <w:rFonts w:ascii="Arial" w:hAnsi="Arial" w:cs="Arial"/>
          <w:sz w:val="20"/>
          <w:szCs w:val="20"/>
        </w:rPr>
        <w:t>IFF</w:t>
      </w:r>
      <w:r w:rsidR="00C21F57" w:rsidRPr="00AD66B1">
        <w:rPr>
          <w:rFonts w:ascii="Arial" w:hAnsi="Arial" w:cs="Arial"/>
          <w:sz w:val="20"/>
          <w:szCs w:val="20"/>
        </w:rPr>
        <w:t xml:space="preserve"> junto ao PPEA - Programa de Pós-graduação em Engenharia Ambiental e ao Mestrado</w:t>
      </w:r>
      <w:r w:rsidR="00B625B4" w:rsidRPr="00AD66B1">
        <w:rPr>
          <w:rFonts w:ascii="Arial" w:hAnsi="Arial" w:cs="Arial"/>
          <w:sz w:val="20"/>
          <w:szCs w:val="20"/>
        </w:rPr>
        <w:t xml:space="preserve"> </w:t>
      </w:r>
      <w:r w:rsidR="00C21F57" w:rsidRPr="00AD66B1">
        <w:rPr>
          <w:rFonts w:ascii="Arial" w:hAnsi="Arial" w:cs="Arial"/>
          <w:sz w:val="20"/>
          <w:szCs w:val="20"/>
        </w:rPr>
        <w:t>em Sistemas Aplicados à Engenharia e Gestão (SAEG). E-mail: romeuesilvaneto@gmail.com</w:t>
      </w:r>
    </w:p>
  </w:footnote>
  <w:footnote w:id="3">
    <w:p w14:paraId="5708C2C8" w14:textId="7730BD69" w:rsidR="00722280" w:rsidRPr="00AD66B1" w:rsidRDefault="00722280" w:rsidP="003C7E78">
      <w:pPr>
        <w:pStyle w:val="Textodenotaderodap"/>
        <w:jc w:val="both"/>
        <w:rPr>
          <w:rFonts w:ascii="Arial" w:hAnsi="Arial" w:cs="Arial"/>
        </w:rPr>
      </w:pPr>
      <w:r w:rsidRPr="00AD66B1">
        <w:rPr>
          <w:rStyle w:val="Refdenotaderodap"/>
        </w:rPr>
        <w:footnoteRef/>
      </w:r>
      <w:r w:rsidRPr="00AD66B1">
        <w:t xml:space="preserve"> </w:t>
      </w:r>
      <w:r w:rsidR="003C7E78" w:rsidRPr="00AD66B1">
        <w:rPr>
          <w:rFonts w:ascii="Arial" w:hAnsi="Arial" w:cs="Arial"/>
        </w:rPr>
        <w:t>Em 2025, a FIRJAN retomou o cálculo do IFDM, porém com alteração do método de cálculo e da classificação, a partir de 2013 até 2023. O novo método de cálculo segundo a FIRJAN (2025)</w:t>
      </w:r>
      <w:r w:rsidR="00C60789" w:rsidRPr="00AD66B1">
        <w:rPr>
          <w:rFonts w:ascii="Arial" w:hAnsi="Arial" w:cs="Arial"/>
        </w:rPr>
        <w:t xml:space="preserve">, </w:t>
      </w:r>
      <w:r w:rsidR="003C7E78" w:rsidRPr="00AD66B1">
        <w:rPr>
          <w:rFonts w:ascii="Arial" w:hAnsi="Arial" w:cs="Arial"/>
        </w:rPr>
        <w:t xml:space="preserve">retrata com mais precisão a realidade brasileira, contemplando problemas históricos e novos desafios emergentes. </w:t>
      </w:r>
      <w:r w:rsidR="00C60789" w:rsidRPr="00AD66B1">
        <w:rPr>
          <w:rFonts w:ascii="Arial" w:hAnsi="Arial" w:cs="Arial"/>
        </w:rPr>
        <w:t>A atual</w:t>
      </w:r>
      <w:r w:rsidR="003C7E78" w:rsidRPr="00AD66B1">
        <w:rPr>
          <w:rFonts w:ascii="Arial" w:hAnsi="Arial" w:cs="Arial"/>
        </w:rPr>
        <w:t xml:space="preserve"> metodologia de cálculo, </w:t>
      </w:r>
      <w:r w:rsidR="00C60789" w:rsidRPr="00AD66B1">
        <w:rPr>
          <w:rFonts w:ascii="Arial" w:hAnsi="Arial" w:cs="Arial"/>
        </w:rPr>
        <w:t>consta no</w:t>
      </w:r>
      <w:r w:rsidR="003C7E78" w:rsidRPr="00AD66B1">
        <w:rPr>
          <w:rFonts w:ascii="Arial" w:hAnsi="Arial" w:cs="Arial"/>
        </w:rPr>
        <w:t xml:space="preserve"> Anexo Metodológico, disponível em https://www.firjan.com.br/ifdm/.</w:t>
      </w:r>
    </w:p>
  </w:footnote>
  <w:footnote w:id="4">
    <w:p w14:paraId="19C2EF65" w14:textId="1DF3FDCF" w:rsidR="00AE5480" w:rsidRPr="00AE5480" w:rsidRDefault="00AE5480" w:rsidP="00AE5480">
      <w:pPr>
        <w:pStyle w:val="Textodenotaderodap"/>
        <w:jc w:val="both"/>
        <w:rPr>
          <w:rFonts w:ascii="Arial" w:hAnsi="Arial" w:cs="Arial"/>
        </w:rPr>
      </w:pPr>
      <w:r w:rsidRPr="00AD66B1">
        <w:rPr>
          <w:rStyle w:val="Refdenotaderodap"/>
          <w:rFonts w:ascii="Arial" w:hAnsi="Arial" w:cs="Arial"/>
        </w:rPr>
        <w:footnoteRef/>
      </w:r>
      <w:r w:rsidRPr="00AD66B1">
        <w:rPr>
          <w:rFonts w:ascii="Arial" w:hAnsi="Arial" w:cs="Arial"/>
        </w:rPr>
        <w:t xml:space="preserve"> De acordo com o Instituto Rui Barbosa (2025), o </w:t>
      </w:r>
      <w:r w:rsidR="000E5052" w:rsidRPr="00AD66B1">
        <w:rPr>
          <w:rFonts w:ascii="Arial" w:hAnsi="Arial" w:cs="Arial"/>
        </w:rPr>
        <w:t>IEGM</w:t>
      </w:r>
      <w:r w:rsidRPr="00AD66B1">
        <w:rPr>
          <w:rFonts w:ascii="Arial" w:hAnsi="Arial" w:cs="Arial"/>
        </w:rPr>
        <w:t xml:space="preserve"> foi desenvolvido pelo Tribunal de Contas de São Paulo e disponibilizado pelo Instituto aos outros Tribunais de Contas do Brasil. O índice visa avaliar “o esforço da gestão municipal para a provisão de políticas e serviços públicos sob sua competência e os efeitos resultantes das ações da administração pública sobre políticas públicas.”</w:t>
      </w:r>
    </w:p>
  </w:footnote>
  <w:footnote w:id="5">
    <w:p w14:paraId="432E80F5" w14:textId="7230F569" w:rsidR="0048262F" w:rsidRPr="0048262F" w:rsidRDefault="0048262F" w:rsidP="0048262F">
      <w:pPr>
        <w:pStyle w:val="Textodenotaderodap"/>
        <w:jc w:val="both"/>
        <w:rPr>
          <w:rFonts w:ascii="Arial" w:hAnsi="Arial" w:cs="Arial"/>
        </w:rPr>
      </w:pPr>
      <w:r w:rsidRPr="0048262F">
        <w:rPr>
          <w:rStyle w:val="Refdenotaderodap"/>
          <w:rFonts w:ascii="Arial" w:hAnsi="Arial" w:cs="Arial"/>
        </w:rPr>
        <w:footnoteRef/>
      </w:r>
      <w:r w:rsidR="000A6EC6">
        <w:rPr>
          <w:rFonts w:ascii="Arial" w:hAnsi="Arial" w:cs="Arial"/>
        </w:rPr>
        <w:t xml:space="preserve"> C</w:t>
      </w:r>
      <w:r>
        <w:rPr>
          <w:rFonts w:ascii="Arial" w:hAnsi="Arial" w:cs="Arial"/>
        </w:rPr>
        <w:t xml:space="preserve">apacidade fiscal </w:t>
      </w:r>
      <w:r w:rsidRPr="000A6EC6">
        <w:rPr>
          <w:rFonts w:ascii="Arial" w:hAnsi="Arial" w:cs="Arial"/>
          <w:i/>
          <w:iCs/>
        </w:rPr>
        <w:t>per capita</w:t>
      </w:r>
      <w:r>
        <w:rPr>
          <w:rFonts w:ascii="Arial" w:hAnsi="Arial" w:cs="Arial"/>
        </w:rPr>
        <w:t xml:space="preserve"> refere-se à “receita corrente deduzida (receitas tributárias, de contribuições, patrimonial, agropecuária, industrial, de serviços e outras, e ainda, as provenientes de recursos financeiros recebidos de outras pessoas de direito público ou privado, quando destinadas a atender às despesas classificáveis em despesas correntes) dividida pela população no ano considerado”</w:t>
      </w:r>
      <w:r w:rsidR="000A6EC6">
        <w:rPr>
          <w:rFonts w:ascii="Arial" w:hAnsi="Arial" w:cs="Arial"/>
        </w:rPr>
        <w:t xml:space="preserve"> (</w:t>
      </w:r>
      <w:r w:rsidR="000A6EC6" w:rsidRPr="0048262F">
        <w:rPr>
          <w:rFonts w:ascii="Arial" w:hAnsi="Arial" w:cs="Arial"/>
        </w:rPr>
        <w:t>IJSN</w:t>
      </w:r>
      <w:r w:rsidR="000A6EC6">
        <w:rPr>
          <w:rFonts w:ascii="Arial" w:hAnsi="Arial" w:cs="Arial"/>
        </w:rPr>
        <w:t xml:space="preserve">, </w:t>
      </w:r>
      <w:r w:rsidR="000A6EC6" w:rsidRPr="0048262F">
        <w:rPr>
          <w:rFonts w:ascii="Arial" w:hAnsi="Arial" w:cs="Arial"/>
        </w:rPr>
        <w:t>2025)</w:t>
      </w:r>
      <w:r w:rsidR="00B2422F">
        <w:rPr>
          <w:rFonts w:ascii="Arial" w:hAnsi="Arial" w:cs="Arial"/>
        </w:rPr>
        <w:t>.</w:t>
      </w:r>
    </w:p>
  </w:footnote>
  <w:footnote w:id="6">
    <w:p w14:paraId="0D5FBAC7" w14:textId="38F764EB" w:rsidR="00B2422F" w:rsidRPr="00B2422F" w:rsidRDefault="00B2422F" w:rsidP="00B2422F">
      <w:pPr>
        <w:pStyle w:val="Textodenotaderodap"/>
        <w:jc w:val="both"/>
        <w:rPr>
          <w:rFonts w:ascii="Arial" w:hAnsi="Arial" w:cs="Arial"/>
        </w:rPr>
      </w:pPr>
      <w:r w:rsidRPr="00B2422F">
        <w:rPr>
          <w:rStyle w:val="Refdenotaderodap"/>
          <w:rFonts w:ascii="Arial" w:hAnsi="Arial" w:cs="Arial"/>
        </w:rPr>
        <w:footnoteRef/>
      </w:r>
      <w:r w:rsidRPr="00B2422F">
        <w:rPr>
          <w:rFonts w:ascii="Arial" w:hAnsi="Arial" w:cs="Arial"/>
        </w:rPr>
        <w:t xml:space="preserve"> O</w:t>
      </w:r>
      <w:r>
        <w:rPr>
          <w:rFonts w:ascii="Arial" w:hAnsi="Arial" w:cs="Arial"/>
        </w:rPr>
        <w:t xml:space="preserve"> CadÚnico, é uma ferramenta do Governo Federal que identifica as famílias de baixa renda e permite o seu acesso aos programas e benefícios sociais (GOVERNO FEDERAL, 2025).</w:t>
      </w:r>
    </w:p>
  </w:footnote>
  <w:footnote w:id="7">
    <w:p w14:paraId="1FACC46D" w14:textId="688A92A7" w:rsidR="00283EBD" w:rsidRPr="00283EBD" w:rsidRDefault="00283EBD" w:rsidP="00283EBD">
      <w:pPr>
        <w:jc w:val="both"/>
        <w:rPr>
          <w:rFonts w:ascii="Arial" w:hAnsi="Arial" w:cs="Arial"/>
          <w:sz w:val="20"/>
          <w:szCs w:val="20"/>
        </w:rPr>
      </w:pPr>
      <w:r w:rsidRPr="00283EBD">
        <w:rPr>
          <w:rStyle w:val="Refdenotaderodap"/>
          <w:rFonts w:ascii="Arial" w:hAnsi="Arial" w:cs="Arial"/>
          <w:sz w:val="20"/>
          <w:szCs w:val="20"/>
        </w:rPr>
        <w:footnoteRef/>
      </w:r>
      <w:r w:rsidRPr="00283EBD">
        <w:rPr>
          <w:rFonts w:ascii="Arial" w:hAnsi="Arial" w:cs="Arial"/>
          <w:sz w:val="20"/>
          <w:szCs w:val="20"/>
        </w:rPr>
        <w:t xml:space="preserve"> O Programa Bolsa Família é um programa social do Governo Federal, instituído pela Lei Federal nº 10.836, de 2004 e reinstituído pela Lei nº 14.601, de 2023. Seu objetivo é garantir renda básica para as famílias em situação de pobreza, integrando políticas públicas para superar a pobreza e permitir uma transformação social (BRASIL, 2025).</w:t>
      </w:r>
    </w:p>
  </w:footnote>
  <w:footnote w:id="8">
    <w:p w14:paraId="6C2115BA" w14:textId="1187FDCE" w:rsidR="006C2DC3" w:rsidRPr="0030550B" w:rsidRDefault="006C2DC3" w:rsidP="006C2DC3">
      <w:pPr>
        <w:pStyle w:val="Textodenotaderodap"/>
        <w:jc w:val="both"/>
        <w:rPr>
          <w:rFonts w:ascii="Arial" w:hAnsi="Arial" w:cs="Arial"/>
        </w:rPr>
      </w:pPr>
      <w:r w:rsidRPr="0030550B">
        <w:rPr>
          <w:rStyle w:val="Refdenotaderodap"/>
          <w:rFonts w:ascii="Arial" w:hAnsi="Arial" w:cs="Arial"/>
        </w:rPr>
        <w:footnoteRef/>
      </w:r>
      <w:r w:rsidRPr="0030550B">
        <w:rPr>
          <w:rFonts w:ascii="Arial" w:hAnsi="Arial" w:cs="Arial"/>
        </w:rPr>
        <w:t xml:space="preserve"> O IBGE é o órgão responsável pelo cálculo e divulgação do PIB </w:t>
      </w:r>
      <w:r w:rsidRPr="0030550B">
        <w:rPr>
          <w:rFonts w:ascii="Arial" w:hAnsi="Arial" w:cs="Arial"/>
          <w:i/>
          <w:iCs/>
        </w:rPr>
        <w:t>per capita</w:t>
      </w:r>
      <w:r w:rsidR="0023570B">
        <w:rPr>
          <w:rFonts w:ascii="Arial" w:hAnsi="Arial" w:cs="Arial"/>
        </w:rPr>
        <w:t xml:space="preserve"> municipal,</w:t>
      </w:r>
      <w:r>
        <w:rPr>
          <w:rFonts w:ascii="Arial" w:hAnsi="Arial" w:cs="Arial"/>
        </w:rPr>
        <w:t xml:space="preserve"> com atraso de dois anos, justificado pela grande complexidade do cálculo. A divulgação normalmente ocorre no mês de dezembro. Porém, o IBGE não divulgou o PIB </w:t>
      </w:r>
      <w:r w:rsidRPr="0030550B">
        <w:rPr>
          <w:rFonts w:ascii="Arial" w:hAnsi="Arial" w:cs="Arial"/>
          <w:i/>
          <w:iCs/>
        </w:rPr>
        <w:t>per capita</w:t>
      </w:r>
      <w:r>
        <w:rPr>
          <w:rFonts w:ascii="Arial" w:hAnsi="Arial" w:cs="Arial"/>
        </w:rPr>
        <w:t xml:space="preserve"> de 2022 em dezembro de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AA68" w14:textId="6460891F" w:rsidR="00490E5B" w:rsidRPr="00AD66B1" w:rsidRDefault="00490E5B">
    <w:pPr>
      <w:pStyle w:val="Cabealho"/>
      <w:rPr>
        <w:lang w:val="pt-BR"/>
      </w:rPr>
    </w:pPr>
  </w:p>
  <w:p w14:paraId="6DFE2715" w14:textId="77777777" w:rsidR="00490E5B" w:rsidRPr="00AD66B1" w:rsidRDefault="00490E5B">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5655" w14:textId="5D380CA1" w:rsidR="00490E5B" w:rsidRPr="00AD66B1" w:rsidRDefault="00D12011">
    <w:pPr>
      <w:pStyle w:val="Cabealho"/>
      <w:rPr>
        <w:lang w:val="pt-BR"/>
      </w:rPr>
    </w:pPr>
    <w:r w:rsidRPr="00AD66B1">
      <w:rPr>
        <w:noProof/>
        <w:lang w:val="pt-BR"/>
      </w:rPr>
      <w:drawing>
        <wp:anchor distT="0" distB="0" distL="114300" distR="114300" simplePos="0" relativeHeight="251658240" behindDoc="1" locked="0" layoutInCell="1" allowOverlap="1" wp14:anchorId="004ED939" wp14:editId="1DB00755">
          <wp:simplePos x="0" y="0"/>
          <wp:positionH relativeFrom="margin">
            <wp:align>center</wp:align>
          </wp:positionH>
          <wp:positionV relativeFrom="paragraph">
            <wp:posOffset>172085</wp:posOffset>
          </wp:positionV>
          <wp:extent cx="4670425" cy="1297305"/>
          <wp:effectExtent l="0" t="0" r="0" b="0"/>
          <wp:wrapTight wrapText="bothSides">
            <wp:wrapPolygon edited="0">
              <wp:start x="0" y="0"/>
              <wp:lineTo x="0" y="21251"/>
              <wp:lineTo x="21497" y="21251"/>
              <wp:lineTo x="2149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65F52"/>
    <w:multiLevelType w:val="hybridMultilevel"/>
    <w:tmpl w:val="D6180816"/>
    <w:lvl w:ilvl="0" w:tplc="685276F4">
      <w:numFmt w:val="bullet"/>
      <w:lvlText w:val=""/>
      <w:lvlJc w:val="left"/>
      <w:pPr>
        <w:ind w:left="1140" w:hanging="420"/>
      </w:pPr>
      <w:rPr>
        <w:rFonts w:ascii="Symbol" w:eastAsia="Times New Roman" w:hAnsi="Symbol" w:cs="Times New Roman" w:hint="default"/>
        <w:color w:val="212529"/>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E498D"/>
    <w:multiLevelType w:val="multilevel"/>
    <w:tmpl w:val="BF4E87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A274829"/>
    <w:multiLevelType w:val="multilevel"/>
    <w:tmpl w:val="01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2"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A25F4"/>
    <w:multiLevelType w:val="hybridMultilevel"/>
    <w:tmpl w:val="939681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3" w15:restartNumberingAfterBreak="0">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8"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num w:numId="1" w16cid:durableId="1918204634">
    <w:abstractNumId w:val="29"/>
  </w:num>
  <w:num w:numId="2" w16cid:durableId="948775611">
    <w:abstractNumId w:val="38"/>
  </w:num>
  <w:num w:numId="3" w16cid:durableId="2081906510">
    <w:abstractNumId w:val="35"/>
  </w:num>
  <w:num w:numId="4" w16cid:durableId="294068034">
    <w:abstractNumId w:val="2"/>
  </w:num>
  <w:num w:numId="5" w16cid:durableId="2075665864">
    <w:abstractNumId w:val="22"/>
  </w:num>
  <w:num w:numId="6" w16cid:durableId="1499999861">
    <w:abstractNumId w:val="26"/>
  </w:num>
  <w:num w:numId="7" w16cid:durableId="1422137268">
    <w:abstractNumId w:val="3"/>
  </w:num>
  <w:num w:numId="8" w16cid:durableId="489370843">
    <w:abstractNumId w:val="28"/>
  </w:num>
  <w:num w:numId="9" w16cid:durableId="161434347">
    <w:abstractNumId w:val="21"/>
  </w:num>
  <w:num w:numId="10" w16cid:durableId="1539515481">
    <w:abstractNumId w:val="32"/>
  </w:num>
  <w:num w:numId="11" w16cid:durableId="1187216113">
    <w:abstractNumId w:val="7"/>
  </w:num>
  <w:num w:numId="12" w16cid:durableId="570119605">
    <w:abstractNumId w:val="0"/>
  </w:num>
  <w:num w:numId="13" w16cid:durableId="22052190">
    <w:abstractNumId w:val="8"/>
  </w:num>
  <w:num w:numId="14" w16cid:durableId="1408989615">
    <w:abstractNumId w:val="37"/>
  </w:num>
  <w:num w:numId="15" w16cid:durableId="780609465">
    <w:abstractNumId w:val="15"/>
  </w:num>
  <w:num w:numId="16" w16cid:durableId="1935548211">
    <w:abstractNumId w:val="12"/>
  </w:num>
  <w:num w:numId="17" w16cid:durableId="571934226">
    <w:abstractNumId w:val="25"/>
  </w:num>
  <w:num w:numId="18" w16cid:durableId="1339313017">
    <w:abstractNumId w:val="19"/>
  </w:num>
  <w:num w:numId="19" w16cid:durableId="571046045">
    <w:abstractNumId w:val="9"/>
  </w:num>
  <w:num w:numId="20" w16cid:durableId="299267815">
    <w:abstractNumId w:val="10"/>
  </w:num>
  <w:num w:numId="21" w16cid:durableId="1521889327">
    <w:abstractNumId w:val="23"/>
  </w:num>
  <w:num w:numId="22" w16cid:durableId="606470991">
    <w:abstractNumId w:val="31"/>
  </w:num>
  <w:num w:numId="23" w16cid:durableId="757677591">
    <w:abstractNumId w:val="20"/>
  </w:num>
  <w:num w:numId="24" w16cid:durableId="1825972815">
    <w:abstractNumId w:val="33"/>
  </w:num>
  <w:num w:numId="25" w16cid:durableId="515582135">
    <w:abstractNumId w:val="6"/>
  </w:num>
  <w:num w:numId="26" w16cid:durableId="1349677509">
    <w:abstractNumId w:val="1"/>
  </w:num>
  <w:num w:numId="27" w16cid:durableId="311450899">
    <w:abstractNumId w:val="40"/>
  </w:num>
  <w:num w:numId="28" w16cid:durableId="673068717">
    <w:abstractNumId w:val="5"/>
  </w:num>
  <w:num w:numId="29" w16cid:durableId="2137985173">
    <w:abstractNumId w:val="34"/>
  </w:num>
  <w:num w:numId="30" w16cid:durableId="575014890">
    <w:abstractNumId w:val="36"/>
  </w:num>
  <w:num w:numId="31" w16cid:durableId="2027167397">
    <w:abstractNumId w:val="13"/>
  </w:num>
  <w:num w:numId="32" w16cid:durableId="1252934274">
    <w:abstractNumId w:val="18"/>
  </w:num>
  <w:num w:numId="33" w16cid:durableId="1392119036">
    <w:abstractNumId w:val="30"/>
  </w:num>
  <w:num w:numId="34" w16cid:durableId="1559322229">
    <w:abstractNumId w:val="39"/>
  </w:num>
  <w:num w:numId="35" w16cid:durableId="1704357019">
    <w:abstractNumId w:val="27"/>
  </w:num>
  <w:num w:numId="36" w16cid:durableId="2040737006">
    <w:abstractNumId w:val="14"/>
  </w:num>
  <w:num w:numId="37" w16cid:durableId="540214742">
    <w:abstractNumId w:val="17"/>
  </w:num>
  <w:num w:numId="38" w16cid:durableId="911082379">
    <w:abstractNumId w:val="16"/>
  </w:num>
  <w:num w:numId="39" w16cid:durableId="427427696">
    <w:abstractNumId w:val="24"/>
  </w:num>
  <w:num w:numId="40" w16cid:durableId="1362434904">
    <w:abstractNumId w:val="4"/>
  </w:num>
  <w:num w:numId="41" w16cid:durableId="562955188">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2199569">
    <w:abstractNumId w:val="1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1021002">
    <w:abstractNumId w:val="3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33334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0750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GB" w:vendorID="64" w:dllVersion="4096" w:nlCheck="1" w:checkStyle="0"/>
  <w:activeWritingStyle w:appName="MSWord" w:lang="es-CL" w:vendorID="64" w:dllVersion="4096" w:nlCheck="1" w:checkStyle="0"/>
  <w:activeWritingStyle w:appName="MSWord" w:lang="es-CL"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1C"/>
    <w:rsid w:val="000007C5"/>
    <w:rsid w:val="000015A2"/>
    <w:rsid w:val="00010226"/>
    <w:rsid w:val="000160E4"/>
    <w:rsid w:val="00024269"/>
    <w:rsid w:val="00030E21"/>
    <w:rsid w:val="00033F22"/>
    <w:rsid w:val="000414E8"/>
    <w:rsid w:val="0004217D"/>
    <w:rsid w:val="00046AB6"/>
    <w:rsid w:val="000542ED"/>
    <w:rsid w:val="0005777C"/>
    <w:rsid w:val="0006190C"/>
    <w:rsid w:val="00063038"/>
    <w:rsid w:val="0008498E"/>
    <w:rsid w:val="000904D3"/>
    <w:rsid w:val="0009155A"/>
    <w:rsid w:val="00091A0A"/>
    <w:rsid w:val="00095E46"/>
    <w:rsid w:val="000A6B80"/>
    <w:rsid w:val="000A6EC6"/>
    <w:rsid w:val="000A6F41"/>
    <w:rsid w:val="000A72DE"/>
    <w:rsid w:val="000C11D9"/>
    <w:rsid w:val="000C242D"/>
    <w:rsid w:val="000C4183"/>
    <w:rsid w:val="000D25FB"/>
    <w:rsid w:val="000D5A14"/>
    <w:rsid w:val="000E1DFF"/>
    <w:rsid w:val="000E2D73"/>
    <w:rsid w:val="000E5052"/>
    <w:rsid w:val="000F16D0"/>
    <w:rsid w:val="000F2E32"/>
    <w:rsid w:val="000F3D59"/>
    <w:rsid w:val="00103F3D"/>
    <w:rsid w:val="00104A10"/>
    <w:rsid w:val="001123A7"/>
    <w:rsid w:val="001138E0"/>
    <w:rsid w:val="001147CC"/>
    <w:rsid w:val="00114B1B"/>
    <w:rsid w:val="00117C30"/>
    <w:rsid w:val="00120A4E"/>
    <w:rsid w:val="00125327"/>
    <w:rsid w:val="00125EF5"/>
    <w:rsid w:val="00127565"/>
    <w:rsid w:val="00127C73"/>
    <w:rsid w:val="00136A83"/>
    <w:rsid w:val="00140489"/>
    <w:rsid w:val="00142195"/>
    <w:rsid w:val="00155BB8"/>
    <w:rsid w:val="00160EFD"/>
    <w:rsid w:val="001643A3"/>
    <w:rsid w:val="001675B9"/>
    <w:rsid w:val="00167CB2"/>
    <w:rsid w:val="00191522"/>
    <w:rsid w:val="00196D8B"/>
    <w:rsid w:val="001A0BEA"/>
    <w:rsid w:val="001A14A7"/>
    <w:rsid w:val="001B2486"/>
    <w:rsid w:val="001B2F7A"/>
    <w:rsid w:val="001B3129"/>
    <w:rsid w:val="001B59A7"/>
    <w:rsid w:val="001C252F"/>
    <w:rsid w:val="001D2061"/>
    <w:rsid w:val="001D5941"/>
    <w:rsid w:val="001E20FC"/>
    <w:rsid w:val="001F3BC5"/>
    <w:rsid w:val="001F62B8"/>
    <w:rsid w:val="001F6D68"/>
    <w:rsid w:val="001F74CA"/>
    <w:rsid w:val="00200951"/>
    <w:rsid w:val="00201A0B"/>
    <w:rsid w:val="00201A80"/>
    <w:rsid w:val="002021CF"/>
    <w:rsid w:val="00202520"/>
    <w:rsid w:val="002058C5"/>
    <w:rsid w:val="00214CAE"/>
    <w:rsid w:val="00220D27"/>
    <w:rsid w:val="00223899"/>
    <w:rsid w:val="00224126"/>
    <w:rsid w:val="00230897"/>
    <w:rsid w:val="00231461"/>
    <w:rsid w:val="002325D9"/>
    <w:rsid w:val="002336A9"/>
    <w:rsid w:val="002345A5"/>
    <w:rsid w:val="0023570B"/>
    <w:rsid w:val="00235886"/>
    <w:rsid w:val="002407C1"/>
    <w:rsid w:val="00242D05"/>
    <w:rsid w:val="00246AF8"/>
    <w:rsid w:val="00257071"/>
    <w:rsid w:val="00261CD9"/>
    <w:rsid w:val="00264FC4"/>
    <w:rsid w:val="00267125"/>
    <w:rsid w:val="00271EBF"/>
    <w:rsid w:val="002722C7"/>
    <w:rsid w:val="00272391"/>
    <w:rsid w:val="00272512"/>
    <w:rsid w:val="00273E9A"/>
    <w:rsid w:val="00274CBD"/>
    <w:rsid w:val="00277278"/>
    <w:rsid w:val="00283EBD"/>
    <w:rsid w:val="00284807"/>
    <w:rsid w:val="0028651C"/>
    <w:rsid w:val="002867F3"/>
    <w:rsid w:val="00293475"/>
    <w:rsid w:val="00297E83"/>
    <w:rsid w:val="002A0031"/>
    <w:rsid w:val="002A170C"/>
    <w:rsid w:val="002A686B"/>
    <w:rsid w:val="002B2358"/>
    <w:rsid w:val="002B2A12"/>
    <w:rsid w:val="002C09E9"/>
    <w:rsid w:val="002C1AE7"/>
    <w:rsid w:val="002D4CA1"/>
    <w:rsid w:val="002E2F98"/>
    <w:rsid w:val="002F2EF7"/>
    <w:rsid w:val="0031360D"/>
    <w:rsid w:val="00321E57"/>
    <w:rsid w:val="003232E8"/>
    <w:rsid w:val="0032465E"/>
    <w:rsid w:val="00326E56"/>
    <w:rsid w:val="003274EF"/>
    <w:rsid w:val="00327944"/>
    <w:rsid w:val="003333D1"/>
    <w:rsid w:val="00341D1F"/>
    <w:rsid w:val="00353325"/>
    <w:rsid w:val="00362DDE"/>
    <w:rsid w:val="00362E84"/>
    <w:rsid w:val="00363C90"/>
    <w:rsid w:val="0036438F"/>
    <w:rsid w:val="00367676"/>
    <w:rsid w:val="003705DD"/>
    <w:rsid w:val="003730F8"/>
    <w:rsid w:val="0037371D"/>
    <w:rsid w:val="00376A96"/>
    <w:rsid w:val="003800A6"/>
    <w:rsid w:val="00393BF8"/>
    <w:rsid w:val="00397447"/>
    <w:rsid w:val="003A000E"/>
    <w:rsid w:val="003A37A7"/>
    <w:rsid w:val="003A3AB3"/>
    <w:rsid w:val="003B5406"/>
    <w:rsid w:val="003B5837"/>
    <w:rsid w:val="003B6C7C"/>
    <w:rsid w:val="003B7BEE"/>
    <w:rsid w:val="003C59E4"/>
    <w:rsid w:val="003C7E78"/>
    <w:rsid w:val="003C7EF0"/>
    <w:rsid w:val="003D01D1"/>
    <w:rsid w:val="003D175A"/>
    <w:rsid w:val="003E4805"/>
    <w:rsid w:val="003E49D5"/>
    <w:rsid w:val="003E782A"/>
    <w:rsid w:val="003F0D31"/>
    <w:rsid w:val="003F1F0C"/>
    <w:rsid w:val="003F3012"/>
    <w:rsid w:val="003F4883"/>
    <w:rsid w:val="00405800"/>
    <w:rsid w:val="004074CB"/>
    <w:rsid w:val="0041522A"/>
    <w:rsid w:val="00415E91"/>
    <w:rsid w:val="00425531"/>
    <w:rsid w:val="00426719"/>
    <w:rsid w:val="0043144A"/>
    <w:rsid w:val="0043185B"/>
    <w:rsid w:val="004361E7"/>
    <w:rsid w:val="00440513"/>
    <w:rsid w:val="00442E22"/>
    <w:rsid w:val="00445DE1"/>
    <w:rsid w:val="00452CEB"/>
    <w:rsid w:val="00457C7E"/>
    <w:rsid w:val="00466D3E"/>
    <w:rsid w:val="004739E0"/>
    <w:rsid w:val="0047529F"/>
    <w:rsid w:val="00477E51"/>
    <w:rsid w:val="004819E9"/>
    <w:rsid w:val="0048262F"/>
    <w:rsid w:val="00483644"/>
    <w:rsid w:val="004853B1"/>
    <w:rsid w:val="00490E5B"/>
    <w:rsid w:val="00493B2D"/>
    <w:rsid w:val="00494B89"/>
    <w:rsid w:val="004950C8"/>
    <w:rsid w:val="00496054"/>
    <w:rsid w:val="004A17BD"/>
    <w:rsid w:val="004A2472"/>
    <w:rsid w:val="004A4FC3"/>
    <w:rsid w:val="004A6EBA"/>
    <w:rsid w:val="004A70CB"/>
    <w:rsid w:val="004B1806"/>
    <w:rsid w:val="004B5C77"/>
    <w:rsid w:val="004C43E6"/>
    <w:rsid w:val="004E0028"/>
    <w:rsid w:val="004E5D19"/>
    <w:rsid w:val="004F679E"/>
    <w:rsid w:val="005055F4"/>
    <w:rsid w:val="00505E24"/>
    <w:rsid w:val="00506622"/>
    <w:rsid w:val="00517648"/>
    <w:rsid w:val="00521E49"/>
    <w:rsid w:val="00530AE8"/>
    <w:rsid w:val="00536719"/>
    <w:rsid w:val="00542640"/>
    <w:rsid w:val="00542823"/>
    <w:rsid w:val="00555C86"/>
    <w:rsid w:val="005565E4"/>
    <w:rsid w:val="00570D1D"/>
    <w:rsid w:val="00571CFD"/>
    <w:rsid w:val="00572E2F"/>
    <w:rsid w:val="0057601C"/>
    <w:rsid w:val="00582B58"/>
    <w:rsid w:val="0059288D"/>
    <w:rsid w:val="005972B0"/>
    <w:rsid w:val="005A12D3"/>
    <w:rsid w:val="005A1CD6"/>
    <w:rsid w:val="005A314C"/>
    <w:rsid w:val="005A34EF"/>
    <w:rsid w:val="005A47F3"/>
    <w:rsid w:val="005B01D5"/>
    <w:rsid w:val="005B49B9"/>
    <w:rsid w:val="005B7ACD"/>
    <w:rsid w:val="005C2585"/>
    <w:rsid w:val="005C31CB"/>
    <w:rsid w:val="005C41E6"/>
    <w:rsid w:val="005C5B27"/>
    <w:rsid w:val="005D48F7"/>
    <w:rsid w:val="005E263B"/>
    <w:rsid w:val="005E2CC7"/>
    <w:rsid w:val="005E648F"/>
    <w:rsid w:val="005F3121"/>
    <w:rsid w:val="005F34A0"/>
    <w:rsid w:val="00607097"/>
    <w:rsid w:val="00622DC2"/>
    <w:rsid w:val="00624AE5"/>
    <w:rsid w:val="006308F9"/>
    <w:rsid w:val="00630D2E"/>
    <w:rsid w:val="00633ABD"/>
    <w:rsid w:val="0063579D"/>
    <w:rsid w:val="006366BC"/>
    <w:rsid w:val="006446A0"/>
    <w:rsid w:val="0065276E"/>
    <w:rsid w:val="00653C27"/>
    <w:rsid w:val="006616C0"/>
    <w:rsid w:val="006631A6"/>
    <w:rsid w:val="00664353"/>
    <w:rsid w:val="00666AFA"/>
    <w:rsid w:val="00667AE6"/>
    <w:rsid w:val="00674FAE"/>
    <w:rsid w:val="0067630F"/>
    <w:rsid w:val="00680E2C"/>
    <w:rsid w:val="00681ABF"/>
    <w:rsid w:val="00682D0D"/>
    <w:rsid w:val="00682DC9"/>
    <w:rsid w:val="0068594F"/>
    <w:rsid w:val="00687B33"/>
    <w:rsid w:val="00693C5D"/>
    <w:rsid w:val="00695742"/>
    <w:rsid w:val="00695E13"/>
    <w:rsid w:val="00696EFA"/>
    <w:rsid w:val="006A00E2"/>
    <w:rsid w:val="006A3003"/>
    <w:rsid w:val="006B0D3D"/>
    <w:rsid w:val="006B5A58"/>
    <w:rsid w:val="006B7364"/>
    <w:rsid w:val="006C0DB4"/>
    <w:rsid w:val="006C2DC3"/>
    <w:rsid w:val="006C358E"/>
    <w:rsid w:val="006C3A94"/>
    <w:rsid w:val="006C6C9D"/>
    <w:rsid w:val="006D1C2A"/>
    <w:rsid w:val="006D40D5"/>
    <w:rsid w:val="006D6411"/>
    <w:rsid w:val="006E048A"/>
    <w:rsid w:val="006E0A39"/>
    <w:rsid w:val="006E7616"/>
    <w:rsid w:val="006F18B0"/>
    <w:rsid w:val="006F2BCF"/>
    <w:rsid w:val="006F6272"/>
    <w:rsid w:val="00700A42"/>
    <w:rsid w:val="0071478D"/>
    <w:rsid w:val="00721BE8"/>
    <w:rsid w:val="00722280"/>
    <w:rsid w:val="00733F2D"/>
    <w:rsid w:val="007347D1"/>
    <w:rsid w:val="00745D16"/>
    <w:rsid w:val="00746BD7"/>
    <w:rsid w:val="00757A25"/>
    <w:rsid w:val="00761C2F"/>
    <w:rsid w:val="00762675"/>
    <w:rsid w:val="007663A8"/>
    <w:rsid w:val="00771078"/>
    <w:rsid w:val="007722E0"/>
    <w:rsid w:val="007774CE"/>
    <w:rsid w:val="007802C3"/>
    <w:rsid w:val="00780E64"/>
    <w:rsid w:val="00783943"/>
    <w:rsid w:val="00786157"/>
    <w:rsid w:val="00791C37"/>
    <w:rsid w:val="00793C56"/>
    <w:rsid w:val="00796AE8"/>
    <w:rsid w:val="007A1133"/>
    <w:rsid w:val="007B243F"/>
    <w:rsid w:val="007C080E"/>
    <w:rsid w:val="007C0FC3"/>
    <w:rsid w:val="007C1ADF"/>
    <w:rsid w:val="007C1B96"/>
    <w:rsid w:val="007C7D77"/>
    <w:rsid w:val="007D1BF9"/>
    <w:rsid w:val="007D5DDC"/>
    <w:rsid w:val="007E0711"/>
    <w:rsid w:val="007E7F7C"/>
    <w:rsid w:val="007F1C9A"/>
    <w:rsid w:val="00801EA0"/>
    <w:rsid w:val="008037FF"/>
    <w:rsid w:val="008069EE"/>
    <w:rsid w:val="00813611"/>
    <w:rsid w:val="00815495"/>
    <w:rsid w:val="008174A8"/>
    <w:rsid w:val="00831914"/>
    <w:rsid w:val="00832A19"/>
    <w:rsid w:val="008334ED"/>
    <w:rsid w:val="00843BC1"/>
    <w:rsid w:val="00846D63"/>
    <w:rsid w:val="00860638"/>
    <w:rsid w:val="00863B06"/>
    <w:rsid w:val="00872B3A"/>
    <w:rsid w:val="008757BF"/>
    <w:rsid w:val="00880CB3"/>
    <w:rsid w:val="0089178B"/>
    <w:rsid w:val="008917DA"/>
    <w:rsid w:val="00895B21"/>
    <w:rsid w:val="00895DCE"/>
    <w:rsid w:val="00897DDF"/>
    <w:rsid w:val="008A313F"/>
    <w:rsid w:val="008A5469"/>
    <w:rsid w:val="008A6527"/>
    <w:rsid w:val="008B1DDC"/>
    <w:rsid w:val="008B38B0"/>
    <w:rsid w:val="008B4230"/>
    <w:rsid w:val="008B4CF6"/>
    <w:rsid w:val="008C1F70"/>
    <w:rsid w:val="008C4A3C"/>
    <w:rsid w:val="008C4E80"/>
    <w:rsid w:val="008C541A"/>
    <w:rsid w:val="008D2EBD"/>
    <w:rsid w:val="008F029C"/>
    <w:rsid w:val="008F4712"/>
    <w:rsid w:val="008F64A2"/>
    <w:rsid w:val="008F6843"/>
    <w:rsid w:val="008F6F53"/>
    <w:rsid w:val="00905E02"/>
    <w:rsid w:val="00933A7D"/>
    <w:rsid w:val="00936421"/>
    <w:rsid w:val="0094519B"/>
    <w:rsid w:val="0094706C"/>
    <w:rsid w:val="00947EED"/>
    <w:rsid w:val="00962533"/>
    <w:rsid w:val="0097119C"/>
    <w:rsid w:val="0097448C"/>
    <w:rsid w:val="00974E35"/>
    <w:rsid w:val="00980FA7"/>
    <w:rsid w:val="00990E9E"/>
    <w:rsid w:val="00994CFA"/>
    <w:rsid w:val="009A0CC3"/>
    <w:rsid w:val="009A1200"/>
    <w:rsid w:val="009A61A3"/>
    <w:rsid w:val="009B006A"/>
    <w:rsid w:val="009C5AD2"/>
    <w:rsid w:val="009D4E5E"/>
    <w:rsid w:val="009E11AF"/>
    <w:rsid w:val="009E2AAF"/>
    <w:rsid w:val="009F1B64"/>
    <w:rsid w:val="009F3725"/>
    <w:rsid w:val="009F63F5"/>
    <w:rsid w:val="009F786E"/>
    <w:rsid w:val="00A01F45"/>
    <w:rsid w:val="00A1313A"/>
    <w:rsid w:val="00A15D73"/>
    <w:rsid w:val="00A279D3"/>
    <w:rsid w:val="00A3111E"/>
    <w:rsid w:val="00A36F5B"/>
    <w:rsid w:val="00A378F9"/>
    <w:rsid w:val="00A42870"/>
    <w:rsid w:val="00A43087"/>
    <w:rsid w:val="00A45B64"/>
    <w:rsid w:val="00A50241"/>
    <w:rsid w:val="00A51777"/>
    <w:rsid w:val="00A51B9A"/>
    <w:rsid w:val="00A56B54"/>
    <w:rsid w:val="00A606E6"/>
    <w:rsid w:val="00A60E78"/>
    <w:rsid w:val="00A61767"/>
    <w:rsid w:val="00A621D7"/>
    <w:rsid w:val="00A659E9"/>
    <w:rsid w:val="00A701BD"/>
    <w:rsid w:val="00A71993"/>
    <w:rsid w:val="00A75B62"/>
    <w:rsid w:val="00A83DE6"/>
    <w:rsid w:val="00A937B2"/>
    <w:rsid w:val="00A9462A"/>
    <w:rsid w:val="00A95E7E"/>
    <w:rsid w:val="00A96BA7"/>
    <w:rsid w:val="00AA1EF8"/>
    <w:rsid w:val="00AA3317"/>
    <w:rsid w:val="00AC5E82"/>
    <w:rsid w:val="00AC7470"/>
    <w:rsid w:val="00AD15DA"/>
    <w:rsid w:val="00AD66B1"/>
    <w:rsid w:val="00AE2288"/>
    <w:rsid w:val="00AE4865"/>
    <w:rsid w:val="00AE5480"/>
    <w:rsid w:val="00AE5EFD"/>
    <w:rsid w:val="00AE6655"/>
    <w:rsid w:val="00AF2DDA"/>
    <w:rsid w:val="00AF4F61"/>
    <w:rsid w:val="00AF789A"/>
    <w:rsid w:val="00B01BC4"/>
    <w:rsid w:val="00B033CB"/>
    <w:rsid w:val="00B05CD8"/>
    <w:rsid w:val="00B06A2D"/>
    <w:rsid w:val="00B074FA"/>
    <w:rsid w:val="00B10974"/>
    <w:rsid w:val="00B12650"/>
    <w:rsid w:val="00B221EB"/>
    <w:rsid w:val="00B2422F"/>
    <w:rsid w:val="00B247D4"/>
    <w:rsid w:val="00B35681"/>
    <w:rsid w:val="00B400F6"/>
    <w:rsid w:val="00B41B00"/>
    <w:rsid w:val="00B43077"/>
    <w:rsid w:val="00B46EF9"/>
    <w:rsid w:val="00B47196"/>
    <w:rsid w:val="00B5272A"/>
    <w:rsid w:val="00B54B84"/>
    <w:rsid w:val="00B625B4"/>
    <w:rsid w:val="00B64BEE"/>
    <w:rsid w:val="00B656B8"/>
    <w:rsid w:val="00B743F2"/>
    <w:rsid w:val="00B814ED"/>
    <w:rsid w:val="00B8206A"/>
    <w:rsid w:val="00B82BC4"/>
    <w:rsid w:val="00B87915"/>
    <w:rsid w:val="00B91D7C"/>
    <w:rsid w:val="00B963F5"/>
    <w:rsid w:val="00BA340F"/>
    <w:rsid w:val="00BA3EAE"/>
    <w:rsid w:val="00BB14E2"/>
    <w:rsid w:val="00BC00C3"/>
    <w:rsid w:val="00BC1166"/>
    <w:rsid w:val="00BD2E89"/>
    <w:rsid w:val="00BF415F"/>
    <w:rsid w:val="00C100EF"/>
    <w:rsid w:val="00C15287"/>
    <w:rsid w:val="00C167E2"/>
    <w:rsid w:val="00C21F57"/>
    <w:rsid w:val="00C26BD6"/>
    <w:rsid w:val="00C46EEE"/>
    <w:rsid w:val="00C50DCB"/>
    <w:rsid w:val="00C559FD"/>
    <w:rsid w:val="00C56B29"/>
    <w:rsid w:val="00C60789"/>
    <w:rsid w:val="00C64578"/>
    <w:rsid w:val="00C6461C"/>
    <w:rsid w:val="00C67A4C"/>
    <w:rsid w:val="00C74FE7"/>
    <w:rsid w:val="00C75CEC"/>
    <w:rsid w:val="00C776E8"/>
    <w:rsid w:val="00C8456E"/>
    <w:rsid w:val="00C91980"/>
    <w:rsid w:val="00C9544A"/>
    <w:rsid w:val="00C96837"/>
    <w:rsid w:val="00CA44F9"/>
    <w:rsid w:val="00CB2D50"/>
    <w:rsid w:val="00CD0C5B"/>
    <w:rsid w:val="00CD1DE6"/>
    <w:rsid w:val="00CD21B2"/>
    <w:rsid w:val="00CE3359"/>
    <w:rsid w:val="00CE393F"/>
    <w:rsid w:val="00CE3D1C"/>
    <w:rsid w:val="00CE55D0"/>
    <w:rsid w:val="00CF0886"/>
    <w:rsid w:val="00CF1421"/>
    <w:rsid w:val="00CF1945"/>
    <w:rsid w:val="00CF4AE5"/>
    <w:rsid w:val="00CF7E6C"/>
    <w:rsid w:val="00D02EE3"/>
    <w:rsid w:val="00D03052"/>
    <w:rsid w:val="00D05648"/>
    <w:rsid w:val="00D12011"/>
    <w:rsid w:val="00D1697C"/>
    <w:rsid w:val="00D20F95"/>
    <w:rsid w:val="00D3027E"/>
    <w:rsid w:val="00D3195C"/>
    <w:rsid w:val="00D42933"/>
    <w:rsid w:val="00D439AA"/>
    <w:rsid w:val="00D43FFD"/>
    <w:rsid w:val="00D46A63"/>
    <w:rsid w:val="00D52DA1"/>
    <w:rsid w:val="00D602B1"/>
    <w:rsid w:val="00D62030"/>
    <w:rsid w:val="00D755C2"/>
    <w:rsid w:val="00D7654A"/>
    <w:rsid w:val="00D90EF7"/>
    <w:rsid w:val="00D9230F"/>
    <w:rsid w:val="00D94358"/>
    <w:rsid w:val="00DA23C2"/>
    <w:rsid w:val="00DA280D"/>
    <w:rsid w:val="00DB35B9"/>
    <w:rsid w:val="00DB3E3E"/>
    <w:rsid w:val="00DB6886"/>
    <w:rsid w:val="00DC4344"/>
    <w:rsid w:val="00DC43FA"/>
    <w:rsid w:val="00DD0900"/>
    <w:rsid w:val="00DD5885"/>
    <w:rsid w:val="00DD6CC5"/>
    <w:rsid w:val="00DE15D1"/>
    <w:rsid w:val="00DF123A"/>
    <w:rsid w:val="00DF26FD"/>
    <w:rsid w:val="00E1449E"/>
    <w:rsid w:val="00E151B3"/>
    <w:rsid w:val="00E336D7"/>
    <w:rsid w:val="00E34175"/>
    <w:rsid w:val="00E35B5C"/>
    <w:rsid w:val="00E41D8C"/>
    <w:rsid w:val="00E44775"/>
    <w:rsid w:val="00E448FE"/>
    <w:rsid w:val="00E450C5"/>
    <w:rsid w:val="00E460FE"/>
    <w:rsid w:val="00E5085E"/>
    <w:rsid w:val="00E51EDE"/>
    <w:rsid w:val="00E53F1F"/>
    <w:rsid w:val="00E56733"/>
    <w:rsid w:val="00E61CE7"/>
    <w:rsid w:val="00E62377"/>
    <w:rsid w:val="00E63C40"/>
    <w:rsid w:val="00E65E72"/>
    <w:rsid w:val="00E7060E"/>
    <w:rsid w:val="00E771B8"/>
    <w:rsid w:val="00E90BB9"/>
    <w:rsid w:val="00E91324"/>
    <w:rsid w:val="00EA2C25"/>
    <w:rsid w:val="00EA46F4"/>
    <w:rsid w:val="00EA7EBC"/>
    <w:rsid w:val="00EB466E"/>
    <w:rsid w:val="00EC0A93"/>
    <w:rsid w:val="00EC1B24"/>
    <w:rsid w:val="00EC33AE"/>
    <w:rsid w:val="00EC5241"/>
    <w:rsid w:val="00EC58F4"/>
    <w:rsid w:val="00EC7D92"/>
    <w:rsid w:val="00EE0443"/>
    <w:rsid w:val="00EE0F6F"/>
    <w:rsid w:val="00EE4562"/>
    <w:rsid w:val="00EE4C8F"/>
    <w:rsid w:val="00EF3426"/>
    <w:rsid w:val="00EF5F75"/>
    <w:rsid w:val="00F01EBE"/>
    <w:rsid w:val="00F06F4A"/>
    <w:rsid w:val="00F15EEC"/>
    <w:rsid w:val="00F2116A"/>
    <w:rsid w:val="00F21DC7"/>
    <w:rsid w:val="00F30F28"/>
    <w:rsid w:val="00F3115A"/>
    <w:rsid w:val="00F32A95"/>
    <w:rsid w:val="00F40B67"/>
    <w:rsid w:val="00F427CB"/>
    <w:rsid w:val="00F45C07"/>
    <w:rsid w:val="00F512C0"/>
    <w:rsid w:val="00F526A1"/>
    <w:rsid w:val="00F53264"/>
    <w:rsid w:val="00F53E84"/>
    <w:rsid w:val="00F5612F"/>
    <w:rsid w:val="00F671DF"/>
    <w:rsid w:val="00F70C42"/>
    <w:rsid w:val="00F73A38"/>
    <w:rsid w:val="00F7740E"/>
    <w:rsid w:val="00F77DED"/>
    <w:rsid w:val="00F803E0"/>
    <w:rsid w:val="00F80DA8"/>
    <w:rsid w:val="00F846C0"/>
    <w:rsid w:val="00F86E19"/>
    <w:rsid w:val="00F928EA"/>
    <w:rsid w:val="00FA00E3"/>
    <w:rsid w:val="00FA101E"/>
    <w:rsid w:val="00FB23D9"/>
    <w:rsid w:val="00FB38F9"/>
    <w:rsid w:val="00FB64BA"/>
    <w:rsid w:val="00FC06BF"/>
    <w:rsid w:val="00FC0F3D"/>
    <w:rsid w:val="00FC2432"/>
    <w:rsid w:val="00FC7FBB"/>
    <w:rsid w:val="00FD58FF"/>
    <w:rsid w:val="00FD67C7"/>
    <w:rsid w:val="00FE3684"/>
    <w:rsid w:val="00FF2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CC6C"/>
  <w14:defaultImageDpi w14:val="330"/>
  <w15:docId w15:val="{396BBBB9-F6FA-41C4-9BE9-B360A99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uiPriority w:val="39"/>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semiHidden/>
    <w:unhideWhenUsed/>
    <w:rsid w:val="00F73A38"/>
    <w:rPr>
      <w:sz w:val="20"/>
      <w:szCs w:val="20"/>
    </w:rPr>
  </w:style>
  <w:style w:type="character" w:customStyle="1" w:styleId="TextodecomentrioChar">
    <w:name w:val="Texto de comentário Char"/>
    <w:basedOn w:val="Fontepargpadro"/>
    <w:link w:val="Textodecomentrio"/>
    <w:uiPriority w:val="99"/>
    <w:semiHidden/>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rPr>
      <w:sz w:val="24"/>
      <w:szCs w:val="24"/>
    </w:rPr>
  </w:style>
  <w:style w:type="paragraph" w:customStyle="1" w:styleId="Corpo">
    <w:name w:val="Corpo"/>
    <w:rsid w:val="00BC00C3"/>
    <w:pPr>
      <w:pBdr>
        <w:top w:val="nil"/>
        <w:left w:val="nil"/>
        <w:bottom w:val="nil"/>
        <w:right w:val="nil"/>
        <w:between w:val="nil"/>
        <w:bar w:val="nil"/>
      </w:pBdr>
      <w:spacing w:after="160" w:line="278"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enhum">
    <w:name w:val="Nenhum"/>
    <w:rsid w:val="00BC00C3"/>
  </w:style>
  <w:style w:type="character" w:customStyle="1" w:styleId="Hyperlink0">
    <w:name w:val="Hyperlink.0"/>
    <w:basedOn w:val="Nenhum"/>
    <w:rsid w:val="00722280"/>
    <w:rPr>
      <w:outline w:val="0"/>
      <w:color w:val="000000"/>
      <w:u w:color="000000"/>
    </w:rPr>
  </w:style>
  <w:style w:type="character" w:styleId="MenoPendente">
    <w:name w:val="Unresolved Mention"/>
    <w:basedOn w:val="Fontepargpadro"/>
    <w:uiPriority w:val="99"/>
    <w:semiHidden/>
    <w:unhideWhenUsed/>
    <w:rsid w:val="004361E7"/>
    <w:rPr>
      <w:color w:val="605E5C"/>
      <w:shd w:val="clear" w:color="auto" w:fill="E1DFDD"/>
    </w:rPr>
  </w:style>
  <w:style w:type="character" w:customStyle="1" w:styleId="Hyperlink1">
    <w:name w:val="Hyperlink.1"/>
    <w:basedOn w:val="Nenhum"/>
    <w:rsid w:val="00E62377"/>
    <w:rPr>
      <w:outline w:val="0"/>
      <w:color w:val="000000"/>
      <w:u w:val="single" w:color="000000"/>
    </w:rPr>
  </w:style>
  <w:style w:type="character" w:customStyle="1" w:styleId="Hyperlink2">
    <w:name w:val="Hyperlink.2"/>
    <w:basedOn w:val="Nenhum"/>
    <w:rsid w:val="00E62377"/>
    <w:rPr>
      <w:outline w:val="0"/>
      <w:color w:val="000000"/>
      <w:u w:val="none" w:color="000000"/>
    </w:rPr>
  </w:style>
  <w:style w:type="character" w:customStyle="1" w:styleId="Hyperlink3">
    <w:name w:val="Hyperlink.3"/>
    <w:basedOn w:val="Nenhum"/>
    <w:rsid w:val="00E62377"/>
    <w:rPr>
      <w:rFonts w:ascii="Arial" w:eastAsia="Arial" w:hAnsi="Arial" w:cs="Arial"/>
      <w:b/>
      <w:bCs/>
      <w:outline w:val="0"/>
      <w:color w:val="000000"/>
      <w:u w:val="none" w:color="000000"/>
    </w:rPr>
  </w:style>
  <w:style w:type="paragraph" w:customStyle="1" w:styleId="CorpoA">
    <w:name w:val="Corpo A"/>
    <w:rsid w:val="00761C2F"/>
    <w:pPr>
      <w:pBdr>
        <w:top w:val="nil"/>
        <w:left w:val="nil"/>
        <w:bottom w:val="nil"/>
        <w:right w:val="nil"/>
        <w:between w:val="nil"/>
        <w:bar w:val="nil"/>
      </w:pBdr>
    </w:pPr>
    <w:rPr>
      <w:rFonts w:ascii="Arial" w:eastAsia="Arial Unicode MS" w:hAnsi="Arial" w:cs="Arial Unicode MS"/>
      <w:color w:val="000000"/>
      <w:sz w:val="24"/>
      <w:szCs w:val="24"/>
      <w:u w:color="000000"/>
      <w:bdr w:val="nil"/>
      <w:lang w:val="pt-PT"/>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221212274">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05834064">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589197807">
      <w:bodyDiv w:val="1"/>
      <w:marLeft w:val="0"/>
      <w:marRight w:val="0"/>
      <w:marTop w:val="0"/>
      <w:marBottom w:val="0"/>
      <w:divBdr>
        <w:top w:val="none" w:sz="0" w:space="0" w:color="auto"/>
        <w:left w:val="none" w:sz="0" w:space="0" w:color="auto"/>
        <w:bottom w:val="none" w:sz="0" w:space="0" w:color="auto"/>
        <w:right w:val="none" w:sz="0" w:space="0" w:color="auto"/>
      </w:divBdr>
    </w:div>
    <w:div w:id="1620332413">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hyperlink" Target="https://repositorio.ipea.gov.br/browse?type=author&amp;value=Silva,+Robson+Dias+d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epositorio.ipea.gov.br/browse?type=author&amp;value=Silva,+Robson+Dias+da"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repositorio.ipea.gov.br/browse?type=author&amp;value=Silva,+Robson+Dias+d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repositorio.ipea.gov.br/browse?type=author&amp;value=Silva,+Robson+Dias+d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repositorio.ipea.gov.br/handle/11058/Cap%25C3%25ADtulo%2520publicado%2520em:%2520Desenvolvimento%2520regional%2520no%2520Brasil%2520:%2520pol%25C3%25ADticas,%2520estrat%25C3%25A9gias%2520e%2520perspectivas%2520/%2520Organizadores:%2520Aristides%2520Monteiro%2520Neto,%2520C%25C3%25A9sar%2520Nunes%2520de%2520Castro,%2520Carlos%2520Antonio%2520Brand%25C3%25A3o%2520-%2520Rio%2520de%2520Janeiro%2520:%2520Ipea,%25202017."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repositorio.ipea.gov.br/handle/11058/Cap%25C3%25ADtulo%2520publicado%2520em:%2520Desenvolvimento%2520regional%2520no%2520Brasil%2520:%2520pol%25C3%25ADticas,%2520estrat%25C3%25A9gias%2520e%2520perspectivas%2520/%2520Organizadores:%2520Aristides%2520Monteiro%2520Neto,%2520C%25C3%25A9sar%2520Nunes%2520de%2520Castro,%2520Carlos%2520Antonio%2520Brand%25C3%25A3o%2520-%2520Rio%2520de%2520Janeiro%2520:%2520Ipea,%25202017."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repositorio.ipea.gov.br/browse?type=author&amp;value=Silva,+Robson+Dias+d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hyperlink" Target="https://repositorio.ipea.gov.br/handle/11058/Cap%25C3%25ADtulo%2520publicado%2520em:%2520Desenvolvimento%2520regional%2520no%2520Brasil%2520:%2520pol%25C3%25ADticas,%2520estrat%25C3%25A9gias%2520e%2520perspectivas%2520/%2520Organizadores:%2520Aristides%2520Monteiro%2520Neto,%2520C%25C3%25A9sar%2520Nunes%2520de%2520Castro,%2520Carlos%2520Antonio%2520Brand%25C3%25A3o%2520-%2520Rio%2520de%2520Janeiro%2520:%2520Ipea,%25202017."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MATERIAL%20ARTIGO%202\Graficos%20indicadores%20e%20royalti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MATERIAL%20ARTIGO%202\Graficos%20indicadores%20e%20royalti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MATERIAL%20ARTIGO%202\Graficos%20indicadores%20e%20royalti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MATERIAL%20ARTIGO%202\Graficos%20indicadores%20e%20royalti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FF00"/>
              </a:solidFill>
              <a:ln>
                <a:solidFill>
                  <a:srgbClr val="FFFF00"/>
                </a:solidFill>
              </a:ln>
              <a:effectLst/>
            </c:spPr>
            <c:extLst>
              <c:ext xmlns:c16="http://schemas.microsoft.com/office/drawing/2014/chart" uri="{C3380CC4-5D6E-409C-BE32-E72D297353CC}">
                <c16:uniqueId val="{00000001-1877-4AA8-8CEF-D9A34748A185}"/>
              </c:ext>
            </c:extLst>
          </c:dPt>
          <c:dPt>
            <c:idx val="1"/>
            <c:invertIfNegative val="0"/>
            <c:bubble3D val="0"/>
            <c:spPr>
              <a:solidFill>
                <a:srgbClr val="0070C0"/>
              </a:solidFill>
              <a:ln>
                <a:solidFill>
                  <a:srgbClr val="0070C0"/>
                </a:solidFill>
              </a:ln>
              <a:effectLst/>
            </c:spPr>
            <c:extLst>
              <c:ext xmlns:c16="http://schemas.microsoft.com/office/drawing/2014/chart" uri="{C3380CC4-5D6E-409C-BE32-E72D297353CC}">
                <c16:uniqueId val="{00000003-1877-4AA8-8CEF-D9A34748A185}"/>
              </c:ext>
            </c:extLst>
          </c:dPt>
          <c:dPt>
            <c:idx val="2"/>
            <c:invertIfNegative val="0"/>
            <c:bubble3D val="0"/>
            <c:spPr>
              <a:solidFill>
                <a:srgbClr val="EE0000"/>
              </a:solidFill>
              <a:ln>
                <a:solidFill>
                  <a:srgbClr val="EE0000"/>
                </a:solidFill>
              </a:ln>
              <a:effectLst/>
            </c:spPr>
            <c:extLst>
              <c:ext xmlns:c16="http://schemas.microsoft.com/office/drawing/2014/chart" uri="{C3380CC4-5D6E-409C-BE32-E72D297353CC}">
                <c16:uniqueId val="{00000005-1877-4AA8-8CEF-D9A34748A18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'Royalties e PE 2013-2023'!$A$70:$A$72</c:f>
              <c:strCache>
                <c:ptCount val="3"/>
                <c:pt idx="0">
                  <c:v>Itapemirim</c:v>
                </c:pt>
                <c:pt idx="1">
                  <c:v>Marataízes</c:v>
                </c:pt>
                <c:pt idx="2">
                  <c:v>Presidente Kennedy</c:v>
                </c:pt>
              </c:strCache>
            </c:strRef>
          </c:cat>
          <c:val>
            <c:numRef>
              <c:f>'Royalties e PE 2013-2023'!$B$70:$B$72</c:f>
              <c:numCache>
                <c:formatCode>#,##0.00</c:formatCode>
                <c:ptCount val="3"/>
                <c:pt idx="0">
                  <c:v>2236902618.73</c:v>
                </c:pt>
                <c:pt idx="1">
                  <c:v>1693269222</c:v>
                </c:pt>
                <c:pt idx="2">
                  <c:v>2802124697.0900002</c:v>
                </c:pt>
              </c:numCache>
            </c:numRef>
          </c:val>
          <c:extLst>
            <c:ext xmlns:c16="http://schemas.microsoft.com/office/drawing/2014/chart" uri="{C3380CC4-5D6E-409C-BE32-E72D297353CC}">
              <c16:uniqueId val="{00000006-1877-4AA8-8CEF-D9A34748A185}"/>
            </c:ext>
          </c:extLst>
        </c:ser>
        <c:dLbls>
          <c:dLblPos val="outEnd"/>
          <c:showLegendKey val="0"/>
          <c:showVal val="1"/>
          <c:showCatName val="0"/>
          <c:showSerName val="0"/>
          <c:showPercent val="0"/>
          <c:showBubbleSize val="0"/>
        </c:dLbls>
        <c:gapWidth val="100"/>
        <c:overlap val="-27"/>
        <c:axId val="334623999"/>
        <c:axId val="334612959"/>
      </c:barChart>
      <c:catAx>
        <c:axId val="334623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t-BR"/>
          </a:p>
        </c:txPr>
        <c:crossAx val="334612959"/>
        <c:crosses val="autoZero"/>
        <c:auto val="1"/>
        <c:lblAlgn val="ctr"/>
        <c:lblOffset val="100"/>
        <c:noMultiLvlLbl val="0"/>
      </c:catAx>
      <c:valAx>
        <c:axId val="334612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3462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'Royalties e PE 2013-2023'!$B$2</c:f>
              <c:strCache>
                <c:ptCount val="1"/>
                <c:pt idx="0">
                  <c:v>2013</c:v>
                </c:pt>
              </c:strCache>
            </c:strRef>
          </c:tx>
          <c:spPr>
            <a:solidFill>
              <a:schemeClr val="accent1"/>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2013-2023'!$B$3:$B$5</c:f>
              <c:numCache>
                <c:formatCode>#,##0.00</c:formatCode>
                <c:ptCount val="3"/>
                <c:pt idx="0">
                  <c:v>169253366.78</c:v>
                </c:pt>
                <c:pt idx="1">
                  <c:v>85564932.270000011</c:v>
                </c:pt>
                <c:pt idx="2">
                  <c:v>255742766.84999999</c:v>
                </c:pt>
              </c:numCache>
            </c:numRef>
          </c:val>
          <c:extLst>
            <c:ext xmlns:c16="http://schemas.microsoft.com/office/drawing/2014/chart" uri="{C3380CC4-5D6E-409C-BE32-E72D297353CC}">
              <c16:uniqueId val="{00000000-0F43-4866-B7E9-6B59979F90A0}"/>
            </c:ext>
          </c:extLst>
        </c:ser>
        <c:ser>
          <c:idx val="1"/>
          <c:order val="1"/>
          <c:tx>
            <c:strRef>
              <c:f>'Royalties e PE 2013-2023'!$C$2</c:f>
              <c:strCache>
                <c:ptCount val="1"/>
                <c:pt idx="0">
                  <c:v>2014</c:v>
                </c:pt>
              </c:strCache>
            </c:strRef>
          </c:tx>
          <c:spPr>
            <a:solidFill>
              <a:schemeClr val="accent2"/>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2013-2023'!$C$3:$C$5</c:f>
              <c:numCache>
                <c:formatCode>#,##0.00</c:formatCode>
                <c:ptCount val="3"/>
                <c:pt idx="0">
                  <c:v>197349940.96000001</c:v>
                </c:pt>
                <c:pt idx="1">
                  <c:v>93844416.199999988</c:v>
                </c:pt>
                <c:pt idx="2">
                  <c:v>286562854.91999996</c:v>
                </c:pt>
              </c:numCache>
            </c:numRef>
          </c:val>
          <c:extLst>
            <c:ext xmlns:c16="http://schemas.microsoft.com/office/drawing/2014/chart" uri="{C3380CC4-5D6E-409C-BE32-E72D297353CC}">
              <c16:uniqueId val="{00000001-0F43-4866-B7E9-6B59979F90A0}"/>
            </c:ext>
          </c:extLst>
        </c:ser>
        <c:ser>
          <c:idx val="2"/>
          <c:order val="2"/>
          <c:tx>
            <c:strRef>
              <c:f>'Royalties e PE 2013-2023'!$D$2</c:f>
              <c:strCache>
                <c:ptCount val="1"/>
                <c:pt idx="0">
                  <c:v>2015</c:v>
                </c:pt>
              </c:strCache>
            </c:strRef>
          </c:tx>
          <c:spPr>
            <a:solidFill>
              <a:schemeClr val="accent3"/>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2013-2023'!$D$3:$D$5</c:f>
              <c:numCache>
                <c:formatCode>#,##0.00</c:formatCode>
                <c:ptCount val="3"/>
                <c:pt idx="0">
                  <c:v>143988830.31</c:v>
                </c:pt>
                <c:pt idx="1">
                  <c:v>64456907.800000004</c:v>
                </c:pt>
                <c:pt idx="2">
                  <c:v>208598692.69999999</c:v>
                </c:pt>
              </c:numCache>
            </c:numRef>
          </c:val>
          <c:extLst>
            <c:ext xmlns:c16="http://schemas.microsoft.com/office/drawing/2014/chart" uri="{C3380CC4-5D6E-409C-BE32-E72D297353CC}">
              <c16:uniqueId val="{00000002-0F43-4866-B7E9-6B59979F90A0}"/>
            </c:ext>
          </c:extLst>
        </c:ser>
        <c:ser>
          <c:idx val="3"/>
          <c:order val="3"/>
          <c:tx>
            <c:strRef>
              <c:f>'Royalties e PE 2013-2023'!$E$2</c:f>
              <c:strCache>
                <c:ptCount val="1"/>
                <c:pt idx="0">
                  <c:v>2016</c:v>
                </c:pt>
              </c:strCache>
            </c:strRef>
          </c:tx>
          <c:spPr>
            <a:solidFill>
              <a:schemeClr val="accent4"/>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2013-2023'!$E$3:$E$5</c:f>
              <c:numCache>
                <c:formatCode>#,##0.00</c:formatCode>
                <c:ptCount val="3"/>
                <c:pt idx="0">
                  <c:v>132547034.38</c:v>
                </c:pt>
                <c:pt idx="1">
                  <c:v>54590072.450000003</c:v>
                </c:pt>
                <c:pt idx="2">
                  <c:v>167535182.27000001</c:v>
                </c:pt>
              </c:numCache>
            </c:numRef>
          </c:val>
          <c:extLst>
            <c:ext xmlns:c16="http://schemas.microsoft.com/office/drawing/2014/chart" uri="{C3380CC4-5D6E-409C-BE32-E72D297353CC}">
              <c16:uniqueId val="{00000003-0F43-4866-B7E9-6B59979F90A0}"/>
            </c:ext>
          </c:extLst>
        </c:ser>
        <c:ser>
          <c:idx val="4"/>
          <c:order val="4"/>
          <c:tx>
            <c:strRef>
              <c:f>'Royalties e PE 2013-2023'!$F$2</c:f>
              <c:strCache>
                <c:ptCount val="1"/>
                <c:pt idx="0">
                  <c:v>2017</c:v>
                </c:pt>
              </c:strCache>
            </c:strRef>
          </c:tx>
          <c:spPr>
            <a:solidFill>
              <a:schemeClr val="accent5"/>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2013-2023'!$F$3:$F$5</c:f>
              <c:numCache>
                <c:formatCode>#,##0.00</c:formatCode>
                <c:ptCount val="3"/>
                <c:pt idx="0">
                  <c:v>170104276.72</c:v>
                </c:pt>
                <c:pt idx="1">
                  <c:v>62272167.129999995</c:v>
                </c:pt>
                <c:pt idx="2">
                  <c:v>213588107.09</c:v>
                </c:pt>
              </c:numCache>
            </c:numRef>
          </c:val>
          <c:extLst>
            <c:ext xmlns:c16="http://schemas.microsoft.com/office/drawing/2014/chart" uri="{C3380CC4-5D6E-409C-BE32-E72D297353CC}">
              <c16:uniqueId val="{00000004-0F43-4866-B7E9-6B59979F90A0}"/>
            </c:ext>
          </c:extLst>
        </c:ser>
        <c:ser>
          <c:idx val="5"/>
          <c:order val="5"/>
          <c:tx>
            <c:strRef>
              <c:f>'Royalties e PE 2013-2023'!$G$2</c:f>
              <c:strCache>
                <c:ptCount val="1"/>
                <c:pt idx="0">
                  <c:v>2018</c:v>
                </c:pt>
              </c:strCache>
            </c:strRef>
          </c:tx>
          <c:spPr>
            <a:solidFill>
              <a:schemeClr val="accent6"/>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2013-2023'!$G$3:$G$5</c:f>
              <c:numCache>
                <c:formatCode>#,##0.00</c:formatCode>
                <c:ptCount val="3"/>
                <c:pt idx="0">
                  <c:v>252250204.48000002</c:v>
                </c:pt>
                <c:pt idx="1">
                  <c:v>79679883.670000002</c:v>
                </c:pt>
                <c:pt idx="2">
                  <c:v>315941008</c:v>
                </c:pt>
              </c:numCache>
            </c:numRef>
          </c:val>
          <c:extLst>
            <c:ext xmlns:c16="http://schemas.microsoft.com/office/drawing/2014/chart" uri="{C3380CC4-5D6E-409C-BE32-E72D297353CC}">
              <c16:uniqueId val="{00000005-0F43-4866-B7E9-6B59979F90A0}"/>
            </c:ext>
          </c:extLst>
        </c:ser>
        <c:ser>
          <c:idx val="6"/>
          <c:order val="6"/>
          <c:tx>
            <c:strRef>
              <c:f>'Royalties e PE 2013-2023'!$H$2</c:f>
              <c:strCache>
                <c:ptCount val="1"/>
                <c:pt idx="0">
                  <c:v>2019</c:v>
                </c:pt>
              </c:strCache>
            </c:strRef>
          </c:tx>
          <c:spPr>
            <a:solidFill>
              <a:schemeClr val="accent1">
                <a:lumMod val="60000"/>
              </a:schemeClr>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2013-2023'!$H$3:$H$5</c:f>
              <c:numCache>
                <c:formatCode>#,##0.00</c:formatCode>
                <c:ptCount val="3"/>
                <c:pt idx="0">
                  <c:v>260400218.04999998</c:v>
                </c:pt>
                <c:pt idx="1">
                  <c:v>261614228.81999999</c:v>
                </c:pt>
                <c:pt idx="2">
                  <c:v>276960884.17000002</c:v>
                </c:pt>
              </c:numCache>
            </c:numRef>
          </c:val>
          <c:extLst>
            <c:ext xmlns:c16="http://schemas.microsoft.com/office/drawing/2014/chart" uri="{C3380CC4-5D6E-409C-BE32-E72D297353CC}">
              <c16:uniqueId val="{00000006-0F43-4866-B7E9-6B59979F90A0}"/>
            </c:ext>
          </c:extLst>
        </c:ser>
        <c:ser>
          <c:idx val="7"/>
          <c:order val="7"/>
          <c:tx>
            <c:strRef>
              <c:f>'Royalties e PE 2013-2023'!$I$2</c:f>
              <c:strCache>
                <c:ptCount val="1"/>
                <c:pt idx="0">
                  <c:v>2020</c:v>
                </c:pt>
              </c:strCache>
            </c:strRef>
          </c:tx>
          <c:spPr>
            <a:solidFill>
              <a:schemeClr val="accent2">
                <a:lumMod val="60000"/>
              </a:schemeClr>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2013-2023'!$I$3:$I$5</c:f>
              <c:numCache>
                <c:formatCode>#,##0.00</c:formatCode>
                <c:ptCount val="3"/>
                <c:pt idx="0">
                  <c:v>143332712.84999999</c:v>
                </c:pt>
                <c:pt idx="1">
                  <c:v>167557229.76999998</c:v>
                </c:pt>
                <c:pt idx="2">
                  <c:v>149372582.41</c:v>
                </c:pt>
              </c:numCache>
            </c:numRef>
          </c:val>
          <c:extLst>
            <c:ext xmlns:c16="http://schemas.microsoft.com/office/drawing/2014/chart" uri="{C3380CC4-5D6E-409C-BE32-E72D297353CC}">
              <c16:uniqueId val="{00000007-0F43-4866-B7E9-6B59979F90A0}"/>
            </c:ext>
          </c:extLst>
        </c:ser>
        <c:ser>
          <c:idx val="8"/>
          <c:order val="8"/>
          <c:tx>
            <c:strRef>
              <c:f>'Royalties e PE 2013-2023'!$J$2</c:f>
              <c:strCache>
                <c:ptCount val="1"/>
                <c:pt idx="0">
                  <c:v>2021</c:v>
                </c:pt>
              </c:strCache>
            </c:strRef>
          </c:tx>
          <c:spPr>
            <a:solidFill>
              <a:schemeClr val="accent3">
                <a:lumMod val="60000"/>
              </a:schemeClr>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2013-2023'!$J$3:$J$5</c:f>
              <c:numCache>
                <c:formatCode>#,##0.00</c:formatCode>
                <c:ptCount val="3"/>
                <c:pt idx="0">
                  <c:v>239051629.81999999</c:v>
                </c:pt>
                <c:pt idx="1">
                  <c:v>263019299.39999998</c:v>
                </c:pt>
                <c:pt idx="2">
                  <c:v>290372294.06999999</c:v>
                </c:pt>
              </c:numCache>
            </c:numRef>
          </c:val>
          <c:extLst>
            <c:ext xmlns:c16="http://schemas.microsoft.com/office/drawing/2014/chart" uri="{C3380CC4-5D6E-409C-BE32-E72D297353CC}">
              <c16:uniqueId val="{00000008-0F43-4866-B7E9-6B59979F90A0}"/>
            </c:ext>
          </c:extLst>
        </c:ser>
        <c:ser>
          <c:idx val="9"/>
          <c:order val="9"/>
          <c:tx>
            <c:strRef>
              <c:f>'Royalties e PE 2013-2023'!$K$2</c:f>
              <c:strCache>
                <c:ptCount val="1"/>
                <c:pt idx="0">
                  <c:v>2022</c:v>
                </c:pt>
              </c:strCache>
            </c:strRef>
          </c:tx>
          <c:spPr>
            <a:solidFill>
              <a:schemeClr val="accent4">
                <a:lumMod val="60000"/>
              </a:schemeClr>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2013-2023'!$K$3:$K$5</c:f>
              <c:numCache>
                <c:formatCode>#,##0.00</c:formatCode>
                <c:ptCount val="3"/>
                <c:pt idx="0">
                  <c:v>197902601.5</c:v>
                </c:pt>
                <c:pt idx="1">
                  <c:v>203685107.38</c:v>
                </c:pt>
                <c:pt idx="2">
                  <c:v>247287831.14000002</c:v>
                </c:pt>
              </c:numCache>
            </c:numRef>
          </c:val>
          <c:extLst>
            <c:ext xmlns:c16="http://schemas.microsoft.com/office/drawing/2014/chart" uri="{C3380CC4-5D6E-409C-BE32-E72D297353CC}">
              <c16:uniqueId val="{00000009-0F43-4866-B7E9-6B59979F90A0}"/>
            </c:ext>
          </c:extLst>
        </c:ser>
        <c:ser>
          <c:idx val="10"/>
          <c:order val="10"/>
          <c:tx>
            <c:strRef>
              <c:f>'Royalties e PE 2013-2023'!$L$2</c:f>
              <c:strCache>
                <c:ptCount val="1"/>
                <c:pt idx="0">
                  <c:v>2023</c:v>
                </c:pt>
              </c:strCache>
            </c:strRef>
          </c:tx>
          <c:spPr>
            <a:solidFill>
              <a:schemeClr val="accent5">
                <a:lumMod val="60000"/>
              </a:schemeClr>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2013-2023'!$L$3:$L$5</c:f>
              <c:numCache>
                <c:formatCode>#,##0.00</c:formatCode>
                <c:ptCount val="3"/>
                <c:pt idx="0">
                  <c:v>162615872.55000001</c:v>
                </c:pt>
                <c:pt idx="1">
                  <c:v>182968376.74000001</c:v>
                </c:pt>
                <c:pt idx="2">
                  <c:v>195623200.31999999</c:v>
                </c:pt>
              </c:numCache>
            </c:numRef>
          </c:val>
          <c:extLst>
            <c:ext xmlns:c16="http://schemas.microsoft.com/office/drawing/2014/chart" uri="{C3380CC4-5D6E-409C-BE32-E72D297353CC}">
              <c16:uniqueId val="{0000000A-0F43-4866-B7E9-6B59979F90A0}"/>
            </c:ext>
          </c:extLst>
        </c:ser>
        <c:ser>
          <c:idx val="11"/>
          <c:order val="11"/>
          <c:tx>
            <c:strRef>
              <c:f>'Royalties e PE 2013-2023'!$M$2</c:f>
              <c:strCache>
                <c:ptCount val="1"/>
                <c:pt idx="0">
                  <c:v>2024</c:v>
                </c:pt>
              </c:strCache>
            </c:strRef>
          </c:tx>
          <c:spPr>
            <a:solidFill>
              <a:schemeClr val="accent6">
                <a:lumMod val="60000"/>
              </a:schemeClr>
            </a:solidFill>
            <a:ln>
              <a:noFill/>
            </a:ln>
            <a:effectLst/>
          </c:spPr>
          <c:invertIfNegative val="0"/>
          <c:cat>
            <c:strRef>
              <c:f>'Royalties e PE 2013-2023'!$A$3:$A$5</c:f>
              <c:strCache>
                <c:ptCount val="3"/>
                <c:pt idx="0">
                  <c:v>Itapemirim</c:v>
                </c:pt>
                <c:pt idx="1">
                  <c:v>Marataízes</c:v>
                </c:pt>
                <c:pt idx="2">
                  <c:v>Presidente Kennedy</c:v>
                </c:pt>
              </c:strCache>
            </c:strRef>
          </c:cat>
          <c:val>
            <c:numRef>
              <c:f>'Royalties e PE 2013-2023'!$M$3:$M$5</c:f>
              <c:numCache>
                <c:formatCode>#,##0.00</c:formatCode>
                <c:ptCount val="3"/>
                <c:pt idx="0">
                  <c:v>168105930.32999998</c:v>
                </c:pt>
                <c:pt idx="1">
                  <c:v>174016600.37</c:v>
                </c:pt>
                <c:pt idx="2">
                  <c:v>194539293.15000001</c:v>
                </c:pt>
              </c:numCache>
            </c:numRef>
          </c:val>
          <c:extLst>
            <c:ext xmlns:c16="http://schemas.microsoft.com/office/drawing/2014/chart" uri="{C3380CC4-5D6E-409C-BE32-E72D297353CC}">
              <c16:uniqueId val="{0000000B-0F43-4866-B7E9-6B59979F90A0}"/>
            </c:ext>
          </c:extLst>
        </c:ser>
        <c:dLbls>
          <c:showLegendKey val="0"/>
          <c:showVal val="0"/>
          <c:showCatName val="0"/>
          <c:showSerName val="0"/>
          <c:showPercent val="0"/>
          <c:showBubbleSize val="0"/>
        </c:dLbls>
        <c:gapWidth val="219"/>
        <c:overlap val="-27"/>
        <c:axId val="334818399"/>
        <c:axId val="334834719"/>
      </c:barChart>
      <c:catAx>
        <c:axId val="33481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334834719"/>
        <c:crosses val="autoZero"/>
        <c:auto val="1"/>
        <c:lblAlgn val="ctr"/>
        <c:lblOffset val="100"/>
        <c:noMultiLvlLbl val="0"/>
      </c:catAx>
      <c:valAx>
        <c:axId val="334834719"/>
        <c:scaling>
          <c:orientation val="minMax"/>
          <c:max val="325000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34818399"/>
        <c:crosses val="autoZero"/>
        <c:crossBetween val="between"/>
        <c:majorUnit val="25000000"/>
      </c:valAx>
      <c:spPr>
        <a:noFill/>
        <a:ln>
          <a:noFill/>
        </a:ln>
        <a:effectLst/>
      </c:spPr>
    </c:plotArea>
    <c:legend>
      <c:legendPos val="b"/>
      <c:layout>
        <c:manualLayout>
          <c:xMode val="edge"/>
          <c:yMode val="edge"/>
          <c:x val="1.1759172154280339E-2"/>
          <c:y val="0.91423737284507112"/>
          <c:w val="0.96850134443448566"/>
          <c:h val="8.51727524356605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2013</c:v>
          </c:tx>
          <c:spPr>
            <a:solidFill>
              <a:schemeClr val="accent1"/>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2013-2023'!$B$83:$B$85</c:f>
              <c:numCache>
                <c:formatCode>#,##0.00</c:formatCode>
                <c:ptCount val="3"/>
                <c:pt idx="0">
                  <c:v>4969.3462781910148</c:v>
                </c:pt>
                <c:pt idx="1">
                  <c:v>2308.2869889606895</c:v>
                </c:pt>
                <c:pt idx="2">
                  <c:v>22629.105974842769</c:v>
                </c:pt>
              </c:numCache>
              <c:extLst/>
            </c:numRef>
          </c:val>
          <c:extLst>
            <c:ext xmlns:c16="http://schemas.microsoft.com/office/drawing/2014/chart" uri="{C3380CC4-5D6E-409C-BE32-E72D297353CC}">
              <c16:uniqueId val="{00000000-F9C3-40D6-BB7A-2530D8ECFAEE}"/>
            </c:ext>
          </c:extLst>
        </c:ser>
        <c:ser>
          <c:idx val="1"/>
          <c:order val="1"/>
          <c:tx>
            <c:v>2014</c:v>
          </c:tx>
          <c:spPr>
            <a:solidFill>
              <a:schemeClr val="accent2"/>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2013-2023'!$C$83:$C$85</c:f>
              <c:numCache>
                <c:formatCode>#,##0.00</c:formatCode>
                <c:ptCount val="3"/>
                <c:pt idx="0">
                  <c:v>5731.688514667766</c:v>
                </c:pt>
                <c:pt idx="1">
                  <c:v>2449.6758129745572</c:v>
                </c:pt>
                <c:pt idx="2">
                  <c:v>25677.933515729437</c:v>
                </c:pt>
              </c:numCache>
              <c:extLst/>
            </c:numRef>
          </c:val>
          <c:extLst>
            <c:ext xmlns:c16="http://schemas.microsoft.com/office/drawing/2014/chart" uri="{C3380CC4-5D6E-409C-BE32-E72D297353CC}">
              <c16:uniqueId val="{00000001-F9C3-40D6-BB7A-2530D8ECFAEE}"/>
            </c:ext>
          </c:extLst>
        </c:ser>
        <c:ser>
          <c:idx val="2"/>
          <c:order val="2"/>
          <c:tx>
            <c:v>2015</c:v>
          </c:tx>
          <c:spPr>
            <a:solidFill>
              <a:schemeClr val="accent3"/>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2013-2023'!$D$83:$D$85</c:f>
              <c:numCache>
                <c:formatCode>#,##0.00</c:formatCode>
                <c:ptCount val="3"/>
                <c:pt idx="0">
                  <c:v>4501.2701327614386</c:v>
                </c:pt>
                <c:pt idx="1">
                  <c:v>1773.1282701790469</c:v>
                </c:pt>
                <c:pt idx="2">
                  <c:v>20020.340118489697</c:v>
                </c:pt>
              </c:numCache>
              <c:extLst/>
            </c:numRef>
          </c:val>
          <c:extLst>
            <c:ext xmlns:c16="http://schemas.microsoft.com/office/drawing/2014/chart" uri="{C3380CC4-5D6E-409C-BE32-E72D297353CC}">
              <c16:uniqueId val="{00000002-F9C3-40D6-BB7A-2530D8ECFAEE}"/>
            </c:ext>
          </c:extLst>
        </c:ser>
        <c:ser>
          <c:idx val="3"/>
          <c:order val="3"/>
          <c:tx>
            <c:v>2016</c:v>
          </c:tx>
          <c:spPr>
            <a:solidFill>
              <a:schemeClr val="accent4"/>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2013-2023'!$E$83:$E$85</c:f>
              <c:numCache>
                <c:formatCode>#,##0.00</c:formatCode>
                <c:ptCount val="3"/>
                <c:pt idx="0">
                  <c:v>3552.1217773601279</c:v>
                </c:pt>
                <c:pt idx="1">
                  <c:v>1375.2483506958042</c:v>
                </c:pt>
                <c:pt idx="2">
                  <c:v>13844.672831695332</c:v>
                </c:pt>
              </c:numCache>
              <c:extLst/>
            </c:numRef>
          </c:val>
          <c:extLst>
            <c:ext xmlns:c16="http://schemas.microsoft.com/office/drawing/2014/chart" uri="{C3380CC4-5D6E-409C-BE32-E72D297353CC}">
              <c16:uniqueId val="{00000003-F9C3-40D6-BB7A-2530D8ECFAEE}"/>
            </c:ext>
          </c:extLst>
        </c:ser>
        <c:ser>
          <c:idx val="4"/>
          <c:order val="4"/>
          <c:tx>
            <c:v>2017</c:v>
          </c:tx>
          <c:spPr>
            <a:solidFill>
              <a:schemeClr val="accent5"/>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2013-2023'!$F$83:$F$85</c:f>
              <c:numCache>
                <c:formatCode>#,##0.00</c:formatCode>
                <c:ptCount val="3"/>
                <c:pt idx="0">
                  <c:v>4881.4512316622386</c:v>
                </c:pt>
                <c:pt idx="1">
                  <c:v>1617.5499175071116</c:v>
                </c:pt>
                <c:pt idx="2">
                  <c:v>18057.942765287004</c:v>
                </c:pt>
              </c:numCache>
              <c:extLst/>
            </c:numRef>
          </c:val>
          <c:extLst>
            <c:ext xmlns:c16="http://schemas.microsoft.com/office/drawing/2014/chart" uri="{C3380CC4-5D6E-409C-BE32-E72D297353CC}">
              <c16:uniqueId val="{00000004-F9C3-40D6-BB7A-2530D8ECFAEE}"/>
            </c:ext>
          </c:extLst>
        </c:ser>
        <c:ser>
          <c:idx val="5"/>
          <c:order val="5"/>
          <c:tx>
            <c:v>2018</c:v>
          </c:tx>
          <c:spPr>
            <a:solidFill>
              <a:schemeClr val="accent6"/>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2013-2023'!$G$83:$G$85</c:f>
              <c:numCache>
                <c:formatCode>#,##0.00</c:formatCode>
                <c:ptCount val="3"/>
                <c:pt idx="0">
                  <c:v>7146.7748348613068</c:v>
                </c:pt>
                <c:pt idx="1">
                  <c:v>2076.2741752387951</c:v>
                </c:pt>
                <c:pt idx="2">
                  <c:v>26685.786645194989</c:v>
                </c:pt>
              </c:numCache>
              <c:extLst/>
            </c:numRef>
          </c:val>
          <c:extLst>
            <c:ext xmlns:c16="http://schemas.microsoft.com/office/drawing/2014/chart" uri="{C3380CC4-5D6E-409C-BE32-E72D297353CC}">
              <c16:uniqueId val="{00000005-F9C3-40D6-BB7A-2530D8ECFAEE}"/>
            </c:ext>
          </c:extLst>
        </c:ser>
        <c:ser>
          <c:idx val="6"/>
          <c:order val="6"/>
          <c:tx>
            <c:v>2019</c:v>
          </c:tx>
          <c:spPr>
            <a:solidFill>
              <a:schemeClr val="accent1">
                <a:lumMod val="60000"/>
              </a:schemeClr>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2013-2023'!$H$83:$H$85</c:f>
              <c:numCache>
                <c:formatCode>#,##0.00</c:formatCode>
                <c:ptCount val="3"/>
                <c:pt idx="0">
                  <c:v>7836.890265226506</c:v>
                </c:pt>
                <c:pt idx="1">
                  <c:v>6270.7596496012884</c:v>
                </c:pt>
                <c:pt idx="2">
                  <c:v>25488.637256782444</c:v>
                </c:pt>
              </c:numCache>
              <c:extLst/>
            </c:numRef>
          </c:val>
          <c:extLst>
            <c:ext xmlns:c16="http://schemas.microsoft.com/office/drawing/2014/chart" uri="{C3380CC4-5D6E-409C-BE32-E72D297353CC}">
              <c16:uniqueId val="{00000006-F9C3-40D6-BB7A-2530D8ECFAEE}"/>
            </c:ext>
          </c:extLst>
        </c:ser>
        <c:ser>
          <c:idx val="7"/>
          <c:order val="7"/>
          <c:tx>
            <c:v>2020</c:v>
          </c:tx>
          <c:spPr>
            <a:solidFill>
              <a:schemeClr val="accent2">
                <a:lumMod val="60000"/>
              </a:schemeClr>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2013-2023'!$I$83:$I$85</c:f>
              <c:numCache>
                <c:formatCode>#,##0.00</c:formatCode>
                <c:ptCount val="3"/>
                <c:pt idx="0">
                  <c:v>3709.4859037396122</c:v>
                </c:pt>
                <c:pt idx="1">
                  <c:v>4419.3584479078263</c:v>
                </c:pt>
                <c:pt idx="2">
                  <c:v>13100.665500943558</c:v>
                </c:pt>
              </c:numCache>
              <c:extLst/>
            </c:numRef>
          </c:val>
          <c:extLst>
            <c:ext xmlns:c16="http://schemas.microsoft.com/office/drawing/2014/chart" uri="{C3380CC4-5D6E-409C-BE32-E72D297353CC}">
              <c16:uniqueId val="{00000007-F9C3-40D6-BB7A-2530D8ECFAEE}"/>
            </c:ext>
          </c:extLst>
        </c:ser>
        <c:ser>
          <c:idx val="8"/>
          <c:order val="8"/>
          <c:tx>
            <c:v>2021</c:v>
          </c:tx>
          <c:spPr>
            <a:solidFill>
              <a:schemeClr val="accent3">
                <a:lumMod val="60000"/>
              </a:schemeClr>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2013-2023'!$J$83:$J$85</c:f>
              <c:numCache>
                <c:formatCode>#,##0.00</c:formatCode>
                <c:ptCount val="3"/>
                <c:pt idx="0">
                  <c:v>6441.4259141230659</c:v>
                </c:pt>
                <c:pt idx="1">
                  <c:v>6286.2633696731973</c:v>
                </c:pt>
                <c:pt idx="2">
                  <c:v>23243.888878289752</c:v>
                </c:pt>
              </c:numCache>
              <c:extLst/>
            </c:numRef>
          </c:val>
          <c:extLst>
            <c:ext xmlns:c16="http://schemas.microsoft.com/office/drawing/2014/chart" uri="{C3380CC4-5D6E-409C-BE32-E72D297353CC}">
              <c16:uniqueId val="{00000008-F9C3-40D6-BB7A-2530D8ECFAEE}"/>
            </c:ext>
          </c:extLst>
        </c:ser>
        <c:ser>
          <c:idx val="9"/>
          <c:order val="9"/>
          <c:tx>
            <c:v>2022</c:v>
          </c:tx>
          <c:spPr>
            <a:solidFill>
              <a:schemeClr val="accent4">
                <a:lumMod val="60000"/>
              </a:schemeClr>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2013-2023'!$K$83:$K$85</c:f>
              <c:numCache>
                <c:formatCode>#,##0.00</c:formatCode>
                <c:ptCount val="3"/>
                <c:pt idx="0">
                  <c:v>5580.3964011347662</c:v>
                </c:pt>
                <c:pt idx="1">
                  <c:v>5537.5769708316438</c:v>
                </c:pt>
                <c:pt idx="2">
                  <c:v>19651.411775700934</c:v>
                </c:pt>
              </c:numCache>
              <c:extLst/>
            </c:numRef>
          </c:val>
          <c:extLst>
            <c:ext xmlns:c16="http://schemas.microsoft.com/office/drawing/2014/chart" uri="{C3380CC4-5D6E-409C-BE32-E72D297353CC}">
              <c16:uniqueId val="{00000009-F9C3-40D6-BB7A-2530D8ECFAEE}"/>
            </c:ext>
          </c:extLst>
        </c:ser>
        <c:ser>
          <c:idx val="10"/>
          <c:order val="10"/>
          <c:tx>
            <c:v>2023</c:v>
          </c:tx>
          <c:spPr>
            <a:solidFill>
              <a:schemeClr val="accent5">
                <a:lumMod val="60000"/>
              </a:schemeClr>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2013-2023'!$L$83:$L$85</c:f>
              <c:numCache>
                <c:formatCode>#,##0.00</c:formatCode>
                <c:ptCount val="3"/>
                <c:pt idx="0">
                  <c:v>4082.5434964350275</c:v>
                </c:pt>
                <c:pt idx="1">
                  <c:v>4363.7667662000049</c:v>
                </c:pt>
                <c:pt idx="2">
                  <c:v>14283.236004672897</c:v>
                </c:pt>
              </c:numCache>
              <c:extLst/>
            </c:numRef>
          </c:val>
          <c:extLst>
            <c:ext xmlns:c16="http://schemas.microsoft.com/office/drawing/2014/chart" uri="{C3380CC4-5D6E-409C-BE32-E72D297353CC}">
              <c16:uniqueId val="{0000000A-F9C3-40D6-BB7A-2530D8ECFAEE}"/>
            </c:ext>
          </c:extLst>
        </c:ser>
        <c:ser>
          <c:idx val="11"/>
          <c:order val="11"/>
          <c:tx>
            <c:v>2024</c:v>
          </c:tx>
          <c:spPr>
            <a:solidFill>
              <a:schemeClr val="accent6">
                <a:lumMod val="60000"/>
              </a:schemeClr>
            </a:solidFill>
            <a:ln>
              <a:noFill/>
            </a:ln>
            <a:effectLst/>
          </c:spPr>
          <c:invertIfNegative val="0"/>
          <c:cat>
            <c:strRef>
              <c:f>'Royalties e PE 2013-2023'!$A$83:$A$85</c:f>
              <c:strCache>
                <c:ptCount val="3"/>
                <c:pt idx="0">
                  <c:v>Itapemirim</c:v>
                </c:pt>
                <c:pt idx="1">
                  <c:v>Marataizes</c:v>
                </c:pt>
                <c:pt idx="2">
                  <c:v>Presidente Kennedy</c:v>
                </c:pt>
              </c:strCache>
              <c:extLst/>
            </c:strRef>
          </c:cat>
          <c:val>
            <c:numRef>
              <c:f>'Royalties e PE 2013-2023'!$M$83:$M$85</c:f>
              <c:numCache>
                <c:formatCode>#,##0.00</c:formatCode>
                <c:ptCount val="3"/>
                <c:pt idx="0">
                  <c:v>3876.8029687283793</c:v>
                </c:pt>
                <c:pt idx="1">
                  <c:v>3831.4456904751423</c:v>
                </c:pt>
                <c:pt idx="2">
                  <c:v>13281.852471495869</c:v>
                </c:pt>
              </c:numCache>
              <c:extLst/>
            </c:numRef>
          </c:val>
          <c:extLst>
            <c:ext xmlns:c16="http://schemas.microsoft.com/office/drawing/2014/chart" uri="{C3380CC4-5D6E-409C-BE32-E72D297353CC}">
              <c16:uniqueId val="{0000000B-F9C3-40D6-BB7A-2530D8ECFAEE}"/>
            </c:ext>
          </c:extLst>
        </c:ser>
        <c:dLbls>
          <c:showLegendKey val="0"/>
          <c:showVal val="0"/>
          <c:showCatName val="0"/>
          <c:showSerName val="0"/>
          <c:showPercent val="0"/>
          <c:showBubbleSize val="0"/>
        </c:dLbls>
        <c:gapWidth val="219"/>
        <c:overlap val="-27"/>
        <c:axId val="1350413680"/>
        <c:axId val="1350393520"/>
      </c:barChart>
      <c:catAx>
        <c:axId val="135041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50393520"/>
        <c:crosses val="autoZero"/>
        <c:auto val="1"/>
        <c:lblAlgn val="ctr"/>
        <c:lblOffset val="100"/>
        <c:noMultiLvlLbl val="0"/>
      </c:catAx>
      <c:valAx>
        <c:axId val="1350393520"/>
        <c:scaling>
          <c:orientation val="minMax"/>
          <c:max val="27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50413680"/>
        <c:crosses val="autoZero"/>
        <c:crossBetween val="between"/>
        <c:majorUnit val="3000"/>
      </c:valAx>
      <c:spPr>
        <a:noFill/>
        <a:ln>
          <a:noFill/>
        </a:ln>
        <a:effectLst/>
      </c:spPr>
    </c:plotArea>
    <c:legend>
      <c:legendPos val="b"/>
      <c:layout>
        <c:manualLayout>
          <c:xMode val="edge"/>
          <c:yMode val="edge"/>
          <c:x val="2.0425393028054274E-2"/>
          <c:y val="0.89557124807013821"/>
          <c:w val="0.95914904033534232"/>
          <c:h val="7.70377453103684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solidFill>
      <a:round/>
    </a:ln>
    <a:effectLst/>
  </c:spPr>
  <c:txPr>
    <a:bodyPr/>
    <a:lstStyle/>
    <a:p>
      <a:pPr algn="just">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IPS!$M$3</c:f>
              <c:strCache>
                <c:ptCount val="1"/>
                <c:pt idx="0">
                  <c:v>Itapemirim (ES)</c:v>
                </c:pt>
              </c:strCache>
            </c:strRef>
          </c:tx>
          <c:spPr>
            <a:solidFill>
              <a:schemeClr val="accent1"/>
            </a:solidFill>
            <a:ln>
              <a:noFill/>
            </a:ln>
            <a:effectLst/>
          </c:spPr>
          <c:invertIfNegative val="0"/>
          <c:dLbls>
            <c:spPr>
              <a:solidFill>
                <a:srgbClr val="FFCC66"/>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IPS!$N$2:$O$2</c:f>
              <c:numCache>
                <c:formatCode>General</c:formatCode>
                <c:ptCount val="2"/>
                <c:pt idx="0">
                  <c:v>2024</c:v>
                </c:pt>
                <c:pt idx="1">
                  <c:v>2025</c:v>
                </c:pt>
              </c:numCache>
            </c:numRef>
          </c:cat>
          <c:val>
            <c:numRef>
              <c:f>IPS!$N$3:$O$3</c:f>
              <c:numCache>
                <c:formatCode>General</c:formatCode>
                <c:ptCount val="2"/>
                <c:pt idx="0">
                  <c:v>57.59</c:v>
                </c:pt>
                <c:pt idx="1">
                  <c:v>61.02</c:v>
                </c:pt>
              </c:numCache>
            </c:numRef>
          </c:val>
          <c:extLst>
            <c:ext xmlns:c16="http://schemas.microsoft.com/office/drawing/2014/chart" uri="{C3380CC4-5D6E-409C-BE32-E72D297353CC}">
              <c16:uniqueId val="{00000000-DFD3-4556-B14D-99ACF9321233}"/>
            </c:ext>
          </c:extLst>
        </c:ser>
        <c:ser>
          <c:idx val="1"/>
          <c:order val="1"/>
          <c:tx>
            <c:strRef>
              <c:f>IPS!$M$4</c:f>
              <c:strCache>
                <c:ptCount val="1"/>
                <c:pt idx="0">
                  <c:v>Marataízes (ES)</c:v>
                </c:pt>
              </c:strCache>
            </c:strRef>
          </c:tx>
          <c:spPr>
            <a:solidFill>
              <a:schemeClr val="accent2"/>
            </a:solidFill>
            <a:ln>
              <a:noFill/>
            </a:ln>
            <a:effectLst/>
          </c:spPr>
          <c:invertIfNegative val="0"/>
          <c:dLbls>
            <c:spPr>
              <a:solidFill>
                <a:srgbClr val="FFCC66"/>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IPS!$N$2:$O$2</c:f>
              <c:numCache>
                <c:formatCode>General</c:formatCode>
                <c:ptCount val="2"/>
                <c:pt idx="0">
                  <c:v>2024</c:v>
                </c:pt>
                <c:pt idx="1">
                  <c:v>2025</c:v>
                </c:pt>
              </c:numCache>
            </c:numRef>
          </c:cat>
          <c:val>
            <c:numRef>
              <c:f>IPS!$N$4:$O$4</c:f>
              <c:numCache>
                <c:formatCode>General</c:formatCode>
                <c:ptCount val="2"/>
                <c:pt idx="0">
                  <c:v>59.52</c:v>
                </c:pt>
                <c:pt idx="1">
                  <c:v>63.96</c:v>
                </c:pt>
              </c:numCache>
            </c:numRef>
          </c:val>
          <c:extLst>
            <c:ext xmlns:c16="http://schemas.microsoft.com/office/drawing/2014/chart" uri="{C3380CC4-5D6E-409C-BE32-E72D297353CC}">
              <c16:uniqueId val="{00000001-DFD3-4556-B14D-99ACF9321233}"/>
            </c:ext>
          </c:extLst>
        </c:ser>
        <c:ser>
          <c:idx val="2"/>
          <c:order val="2"/>
          <c:tx>
            <c:strRef>
              <c:f>IPS!$M$5</c:f>
              <c:strCache>
                <c:ptCount val="1"/>
                <c:pt idx="0">
                  <c:v>Presidente Kennedy (ES)</c:v>
                </c:pt>
              </c:strCache>
            </c:strRef>
          </c:tx>
          <c:spPr>
            <a:solidFill>
              <a:schemeClr val="accent3"/>
            </a:solidFill>
            <a:ln>
              <a:noFill/>
            </a:ln>
            <a:effectLst/>
          </c:spPr>
          <c:invertIfNegative val="0"/>
          <c:dLbls>
            <c:spPr>
              <a:solidFill>
                <a:srgbClr val="FFCC66"/>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IPS!$N$2:$O$2</c:f>
              <c:numCache>
                <c:formatCode>General</c:formatCode>
                <c:ptCount val="2"/>
                <c:pt idx="0">
                  <c:v>2024</c:v>
                </c:pt>
                <c:pt idx="1">
                  <c:v>2025</c:v>
                </c:pt>
              </c:numCache>
            </c:numRef>
          </c:cat>
          <c:val>
            <c:numRef>
              <c:f>IPS!$N$5:$O$5</c:f>
              <c:numCache>
                <c:formatCode>General</c:formatCode>
                <c:ptCount val="2"/>
                <c:pt idx="0">
                  <c:v>55.01</c:v>
                </c:pt>
                <c:pt idx="1">
                  <c:v>56.57</c:v>
                </c:pt>
              </c:numCache>
            </c:numRef>
          </c:val>
          <c:extLst>
            <c:ext xmlns:c16="http://schemas.microsoft.com/office/drawing/2014/chart" uri="{C3380CC4-5D6E-409C-BE32-E72D297353CC}">
              <c16:uniqueId val="{00000002-DFD3-4556-B14D-99ACF9321233}"/>
            </c:ext>
          </c:extLst>
        </c:ser>
        <c:dLbls>
          <c:dLblPos val="outEnd"/>
          <c:showLegendKey val="0"/>
          <c:showVal val="1"/>
          <c:showCatName val="0"/>
          <c:showSerName val="0"/>
          <c:showPercent val="0"/>
          <c:showBubbleSize val="0"/>
        </c:dLbls>
        <c:gapWidth val="219"/>
        <c:overlap val="-27"/>
        <c:axId val="334618719"/>
        <c:axId val="334629279"/>
      </c:barChart>
      <c:catAx>
        <c:axId val="334618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34629279"/>
        <c:crosses val="autoZero"/>
        <c:auto val="1"/>
        <c:lblAlgn val="ctr"/>
        <c:lblOffset val="100"/>
        <c:noMultiLvlLbl val="0"/>
      </c:catAx>
      <c:valAx>
        <c:axId val="33462927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34618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solidFill>
      <a:round/>
    </a:ln>
    <a:effectLst/>
  </c:spPr>
  <c:txPr>
    <a:bodyPr/>
    <a:lstStyle/>
    <a:p>
      <a:pPr algn="just">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8AB2-C8F2-43A5-876B-395F27AA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6151</Words>
  <Characters>36232</Characters>
  <Application>Microsoft Office Word</Application>
  <DocSecurity>0</DocSecurity>
  <Lines>862</Lines>
  <Paragraphs>313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Ofício 01/11- Hotel Rifoles                                                         Natal, 10 de maio de 2011</vt:lpstr>
    </vt:vector>
  </TitlesOfParts>
  <Company>Hewlett-Packard</Company>
  <LinksUpToDate>false</LinksUpToDate>
  <CharactersWithSpaces>42070</CharactersWithSpaces>
  <SharedDoc>false</SharedDoc>
  <HLinks>
    <vt:vector size="24" baseType="variant">
      <vt:variant>
        <vt:i4>2359340</vt:i4>
      </vt:variant>
      <vt:variant>
        <vt:i4>9</vt:i4>
      </vt:variant>
      <vt:variant>
        <vt:i4>0</vt:i4>
      </vt:variant>
      <vt:variant>
        <vt:i4>5</vt:i4>
      </vt:variant>
      <vt:variant>
        <vt:lpwstr>http://www.abnt.org.br/</vt:lpwstr>
      </vt:variant>
      <vt:variant>
        <vt:lpwstr/>
      </vt:variant>
      <vt:variant>
        <vt:i4>2490484</vt:i4>
      </vt:variant>
      <vt:variant>
        <vt:i4>6</vt:i4>
      </vt:variant>
      <vt:variant>
        <vt:i4>0</vt:i4>
      </vt:variant>
      <vt:variant>
        <vt:i4>5</vt:i4>
      </vt:variant>
      <vt:variant>
        <vt:lpwstr>http://loja.ibge.gov.br/informacoes-gerais/normas/normas-de-apresentac-o-tabular-3-edic-o.html</vt:lpwstr>
      </vt:variant>
      <vt:variant>
        <vt:lpwstr/>
      </vt:variant>
      <vt:variant>
        <vt:i4>1179649</vt:i4>
      </vt:variant>
      <vt:variant>
        <vt:i4>3</vt:i4>
      </vt:variant>
      <vt:variant>
        <vt:i4>0</vt:i4>
      </vt:variant>
      <vt:variant>
        <vt:i4>5</vt:i4>
      </vt:variant>
      <vt:variant>
        <vt:lpwstr>http://www.ibge.gov.br/home/</vt:lpwstr>
      </vt:variant>
      <vt:variant>
        <vt:lpwstr/>
      </vt:variant>
      <vt:variant>
        <vt:i4>2490484</vt:i4>
      </vt:variant>
      <vt:variant>
        <vt:i4>0</vt:i4>
      </vt:variant>
      <vt:variant>
        <vt:i4>0</vt:i4>
      </vt:variant>
      <vt:variant>
        <vt:i4>5</vt:i4>
      </vt:variant>
      <vt:variant>
        <vt:lpwstr>http://loja.ibge.gov.br/informacoes-gerais/normas/normas-de-apresentac-o-tabular-3-edic-o.html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Aurimar Viana</cp:lastModifiedBy>
  <cp:revision>2</cp:revision>
  <cp:lastPrinted>2011-10-07T12:07:00Z</cp:lastPrinted>
  <dcterms:created xsi:type="dcterms:W3CDTF">2025-12-02T12:58:00Z</dcterms:created>
  <dcterms:modified xsi:type="dcterms:W3CDTF">2025-12-02T12:58:00Z</dcterms:modified>
</cp:coreProperties>
</file>