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43341" w14:textId="42A27D07" w:rsidR="00957CDD" w:rsidRPr="004739E0" w:rsidRDefault="00957CDD" w:rsidP="11BCB810">
      <w:pPr>
        <w:shd w:val="clear" w:color="auto" w:fill="FFFFFF" w:themeFill="background1"/>
        <w:spacing w:line="360" w:lineRule="auto"/>
        <w:rPr>
          <w:rFonts w:ascii="Arial" w:hAnsi="Arial" w:cs="Arial"/>
          <w:color w:val="212529"/>
          <w:sz w:val="18"/>
          <w:szCs w:val="18"/>
        </w:rPr>
      </w:pPr>
      <w:bookmarkStart w:id="0" w:name="_Toc211615598"/>
    </w:p>
    <w:p w14:paraId="39C22C70" w14:textId="2BA716CA" w:rsidR="00957CDD" w:rsidRDefault="00957CDD" w:rsidP="00957CDD">
      <w:pPr>
        <w:pStyle w:val="IDpaper-Title"/>
        <w:widowControl/>
        <w:spacing w:line="360" w:lineRule="auto"/>
        <w:ind w:left="0"/>
        <w:jc w:val="center"/>
        <w:rPr>
          <w:rFonts w:cs="Arial"/>
          <w:color w:val="0070C0"/>
          <w:szCs w:val="24"/>
          <w:lang w:val="pt-BR"/>
        </w:rPr>
      </w:pPr>
      <w:bookmarkStart w:id="1" w:name="_Hlk120915664"/>
      <w:r w:rsidRPr="004739E0">
        <w:rPr>
          <w:rFonts w:cs="Arial"/>
          <w:szCs w:val="24"/>
          <w:lang w:val="pt-BR"/>
        </w:rPr>
        <w:t xml:space="preserve">Eixo Temático: </w:t>
      </w:r>
      <w:bookmarkStart w:id="2" w:name="OLE_LINK1"/>
      <w:bookmarkEnd w:id="1"/>
      <w:r w:rsidR="003C1144" w:rsidRPr="003C1144">
        <w:rPr>
          <w:rFonts w:cs="Arial"/>
          <w:color w:val="0070C0"/>
          <w:szCs w:val="24"/>
          <w:lang w:val="pt-BR"/>
        </w:rPr>
        <w:t>Território, Governança e Mercado de Trabalho</w:t>
      </w:r>
    </w:p>
    <w:bookmarkEnd w:id="2"/>
    <w:p w14:paraId="49827D37" w14:textId="77777777" w:rsidR="00957CDD" w:rsidRPr="004739E0" w:rsidRDefault="00957CDD" w:rsidP="00957CDD">
      <w:pPr>
        <w:pStyle w:val="IDpaper-Title"/>
        <w:widowControl/>
        <w:spacing w:line="360" w:lineRule="auto"/>
        <w:ind w:left="0"/>
        <w:jc w:val="center"/>
        <w:rPr>
          <w:rFonts w:cs="Arial"/>
          <w:color w:val="212529"/>
          <w:sz w:val="16"/>
          <w:szCs w:val="16"/>
          <w:lang w:val="pt-BR"/>
        </w:rPr>
      </w:pPr>
    </w:p>
    <w:p w14:paraId="14C3F5D1" w14:textId="420595E4" w:rsidR="008D49DD" w:rsidRDefault="000B19F1" w:rsidP="00397B28">
      <w:pPr>
        <w:pStyle w:val="TITTRAB"/>
        <w:spacing w:after="240"/>
        <w:rPr>
          <w:sz w:val="28"/>
        </w:rPr>
      </w:pPr>
      <w:r>
        <w:rPr>
          <w:sz w:val="28"/>
        </w:rPr>
        <w:t>Variação do emprego formal:</w:t>
      </w:r>
      <w:r w:rsidR="008D49DD" w:rsidRPr="000C6877">
        <w:rPr>
          <w:sz w:val="28"/>
        </w:rPr>
        <w:t xml:space="preserve"> uma análise </w:t>
      </w:r>
      <w:r w:rsidR="00FC575E">
        <w:rPr>
          <w:sz w:val="28"/>
        </w:rPr>
        <w:t>nas regi</w:t>
      </w:r>
      <w:r w:rsidR="00485DCE">
        <w:rPr>
          <w:sz w:val="28"/>
        </w:rPr>
        <w:t xml:space="preserve">ões </w:t>
      </w:r>
      <w:r w:rsidR="00302619">
        <w:rPr>
          <w:sz w:val="28"/>
        </w:rPr>
        <w:t>imediatas impactada pela economia</w:t>
      </w:r>
      <w:r w:rsidR="00485DCE">
        <w:rPr>
          <w:sz w:val="28"/>
        </w:rPr>
        <w:t xml:space="preserve"> </w:t>
      </w:r>
      <w:r w:rsidR="00302619">
        <w:rPr>
          <w:sz w:val="28"/>
        </w:rPr>
        <w:t>do</w:t>
      </w:r>
      <w:r w:rsidR="00485DCE">
        <w:rPr>
          <w:sz w:val="28"/>
        </w:rPr>
        <w:t xml:space="preserve"> petróleo</w:t>
      </w:r>
    </w:p>
    <w:p w14:paraId="6424F85A" w14:textId="0FC127A8" w:rsidR="00D94E73" w:rsidRPr="00B416BD" w:rsidRDefault="00B416BD" w:rsidP="00D94E73">
      <w:pPr>
        <w:widowControl w:val="0"/>
        <w:shd w:val="clear" w:color="auto" w:fill="FFFFFF"/>
        <w:tabs>
          <w:tab w:val="left" w:pos="709"/>
          <w:tab w:val="left" w:pos="3119"/>
          <w:tab w:val="left" w:pos="5812"/>
        </w:tabs>
        <w:spacing w:line="276" w:lineRule="auto"/>
        <w:jc w:val="right"/>
        <w:outlineLvl w:val="0"/>
        <w:rPr>
          <w:rFonts w:ascii="Arial" w:hAnsi="Arial" w:cs="Arial"/>
          <w:sz w:val="18"/>
          <w:szCs w:val="18"/>
        </w:rPr>
      </w:pPr>
      <w:r>
        <w:rPr>
          <w:rFonts w:ascii="Arial" w:hAnsi="Arial" w:cs="Arial"/>
          <w:sz w:val="18"/>
          <w:szCs w:val="18"/>
        </w:rPr>
        <w:t>Elzira Lúcia de Oliveira</w:t>
      </w:r>
      <w:r w:rsidR="00D94E73" w:rsidRPr="00B416BD">
        <w:rPr>
          <w:rStyle w:val="Refdenotaderodap"/>
          <w:rFonts w:ascii="Arial" w:hAnsi="Arial" w:cs="Arial"/>
          <w:sz w:val="18"/>
          <w:szCs w:val="18"/>
        </w:rPr>
        <w:footnoteReference w:id="1"/>
      </w:r>
    </w:p>
    <w:p w14:paraId="7958817D" w14:textId="4BC058F8" w:rsidR="00D94E73" w:rsidRPr="00B416BD" w:rsidRDefault="00B416BD" w:rsidP="00D94E73">
      <w:pPr>
        <w:widowControl w:val="0"/>
        <w:shd w:val="clear" w:color="auto" w:fill="FFFFFF"/>
        <w:tabs>
          <w:tab w:val="left" w:pos="709"/>
          <w:tab w:val="left" w:pos="3119"/>
          <w:tab w:val="left" w:pos="5812"/>
        </w:tabs>
        <w:spacing w:line="276" w:lineRule="auto"/>
        <w:jc w:val="right"/>
        <w:outlineLvl w:val="0"/>
        <w:rPr>
          <w:rFonts w:ascii="Arial" w:hAnsi="Arial" w:cs="Arial"/>
          <w:sz w:val="18"/>
          <w:szCs w:val="18"/>
        </w:rPr>
      </w:pPr>
      <w:r>
        <w:rPr>
          <w:rFonts w:ascii="Arial" w:hAnsi="Arial" w:cs="Arial"/>
          <w:sz w:val="18"/>
          <w:szCs w:val="18"/>
        </w:rPr>
        <w:t>Gustavo Henrique Naves Givisiez</w:t>
      </w:r>
      <w:r w:rsidR="00D94E73" w:rsidRPr="00B416BD">
        <w:rPr>
          <w:rStyle w:val="Refdenotaderodap"/>
          <w:rFonts w:ascii="Arial" w:hAnsi="Arial" w:cs="Arial"/>
          <w:sz w:val="18"/>
          <w:szCs w:val="18"/>
        </w:rPr>
        <w:footnoteReference w:id="2"/>
      </w:r>
    </w:p>
    <w:p w14:paraId="35C3BB90" w14:textId="77777777" w:rsidR="00397B28" w:rsidRDefault="00397B28" w:rsidP="00397B28">
      <w:pPr>
        <w:autoSpaceDE w:val="0"/>
        <w:autoSpaceDN w:val="0"/>
        <w:adjustRightInd w:val="0"/>
        <w:jc w:val="both"/>
        <w:rPr>
          <w:rFonts w:ascii="Arial" w:hAnsi="Arial" w:cs="Arial"/>
          <w:b/>
          <w:sz w:val="20"/>
          <w:szCs w:val="20"/>
        </w:rPr>
      </w:pPr>
    </w:p>
    <w:p w14:paraId="66AF1154" w14:textId="0B305520" w:rsidR="00BC5B16" w:rsidRDefault="00BC5B16" w:rsidP="00397B28">
      <w:pPr>
        <w:autoSpaceDE w:val="0"/>
        <w:autoSpaceDN w:val="0"/>
        <w:adjustRightInd w:val="0"/>
        <w:jc w:val="both"/>
        <w:rPr>
          <w:rFonts w:ascii="Arial" w:hAnsi="Arial" w:cs="Arial"/>
          <w:b/>
          <w:sz w:val="20"/>
          <w:szCs w:val="20"/>
        </w:rPr>
      </w:pPr>
      <w:r w:rsidRPr="00220D27">
        <w:rPr>
          <w:rFonts w:ascii="Arial" w:hAnsi="Arial" w:cs="Arial"/>
          <w:b/>
          <w:sz w:val="20"/>
          <w:szCs w:val="20"/>
        </w:rPr>
        <w:t>RESUMO</w:t>
      </w:r>
    </w:p>
    <w:p w14:paraId="6538BED8" w14:textId="18A33F61" w:rsidR="00BC5B16" w:rsidRPr="003158D2" w:rsidRDefault="00797B9B" w:rsidP="00397B28">
      <w:pPr>
        <w:pStyle w:val="IDpaper-Title"/>
        <w:ind w:left="0"/>
        <w:jc w:val="both"/>
        <w:rPr>
          <w:rFonts w:cs="Arial"/>
          <w:b w:val="0"/>
          <w:i/>
          <w:iCs/>
          <w:kern w:val="0"/>
          <w:sz w:val="20"/>
          <w:lang w:val="pt-BR" w:eastAsia="pt-BR"/>
        </w:rPr>
      </w:pPr>
      <w:r w:rsidRPr="00F37029">
        <w:rPr>
          <w:rFonts w:cs="Arial"/>
          <w:b w:val="0"/>
          <w:i/>
          <w:iCs/>
          <w:kern w:val="0"/>
          <w:sz w:val="20"/>
          <w:lang w:val="pt-BR" w:eastAsia="pt-BR"/>
        </w:rPr>
        <w:t>O estudo analisa a estrutura produtiva das Regiões Intermediárias de Campos dos Goytacazes e Macaé</w:t>
      </w:r>
      <w:r w:rsidR="00F37029" w:rsidRPr="00F37029">
        <w:rPr>
          <w:rFonts w:cs="Arial"/>
          <w:b w:val="0"/>
          <w:i/>
          <w:iCs/>
          <w:kern w:val="0"/>
          <w:sz w:val="20"/>
          <w:lang w:val="pt-BR" w:eastAsia="pt-BR"/>
        </w:rPr>
        <w:t>-</w:t>
      </w:r>
      <w:r w:rsidRPr="00F37029">
        <w:rPr>
          <w:rFonts w:cs="Arial"/>
          <w:b w:val="0"/>
          <w:i/>
          <w:iCs/>
          <w:kern w:val="0"/>
          <w:sz w:val="20"/>
          <w:lang w:val="pt-BR" w:eastAsia="pt-BR"/>
        </w:rPr>
        <w:t>Rio das Ostras</w:t>
      </w:r>
      <w:r w:rsidR="00F37029">
        <w:rPr>
          <w:rFonts w:cs="Arial"/>
          <w:b w:val="0"/>
          <w:i/>
          <w:iCs/>
          <w:kern w:val="0"/>
          <w:sz w:val="20"/>
          <w:lang w:val="pt-BR" w:eastAsia="pt-BR"/>
        </w:rPr>
        <w:t>-</w:t>
      </w:r>
      <w:r w:rsidRPr="00F37029">
        <w:rPr>
          <w:rFonts w:cs="Arial"/>
          <w:b w:val="0"/>
          <w:i/>
          <w:iCs/>
          <w:kern w:val="0"/>
          <w:sz w:val="20"/>
          <w:lang w:val="pt-BR" w:eastAsia="pt-BR"/>
        </w:rPr>
        <w:t xml:space="preserve">Cabo Frio, e de suas Regiões Imediatas, entre 2002 e 2021. </w:t>
      </w:r>
      <w:r w:rsidRPr="00797B9B">
        <w:rPr>
          <w:rFonts w:cs="Arial"/>
          <w:b w:val="0"/>
          <w:i/>
          <w:iCs/>
          <w:kern w:val="0"/>
          <w:sz w:val="20"/>
          <w:lang w:val="pt-BR" w:eastAsia="pt-BR"/>
        </w:rPr>
        <w:t>O objetivo é compreender as transformações socioeconômicas decorrentes da transição da economia canavieira para a petrolífera no Norte Fluminense e seus reflexos na organização regional do estado do Rio de Janeiro. A metodologia combina análise descritiva com base em dados</w:t>
      </w:r>
      <w:r w:rsidR="009D54EC">
        <w:rPr>
          <w:rFonts w:cs="Arial"/>
          <w:b w:val="0"/>
          <w:i/>
          <w:iCs/>
          <w:kern w:val="0"/>
          <w:sz w:val="20"/>
          <w:lang w:val="pt-BR" w:eastAsia="pt-BR"/>
        </w:rPr>
        <w:t xml:space="preserve"> dos </w:t>
      </w:r>
      <w:r w:rsidR="009D54EC" w:rsidRPr="00797B9B">
        <w:rPr>
          <w:rFonts w:cs="Arial"/>
          <w:b w:val="0"/>
          <w:i/>
          <w:iCs/>
          <w:kern w:val="0"/>
          <w:sz w:val="20"/>
          <w:lang w:val="pt-BR" w:eastAsia="pt-BR"/>
        </w:rPr>
        <w:t>Censos Demográficos de 2000, 2010 e 2022</w:t>
      </w:r>
      <w:r w:rsidR="009D54EC">
        <w:rPr>
          <w:rFonts w:cs="Arial"/>
          <w:b w:val="0"/>
          <w:i/>
          <w:iCs/>
          <w:kern w:val="0"/>
          <w:sz w:val="20"/>
          <w:lang w:val="pt-BR" w:eastAsia="pt-BR"/>
        </w:rPr>
        <w:t xml:space="preserve">, </w:t>
      </w:r>
      <w:r w:rsidR="00B733C5">
        <w:rPr>
          <w:rFonts w:cs="Arial"/>
          <w:b w:val="0"/>
          <w:i/>
          <w:iCs/>
          <w:kern w:val="0"/>
          <w:sz w:val="20"/>
          <w:lang w:val="pt-BR" w:eastAsia="pt-BR"/>
        </w:rPr>
        <w:t xml:space="preserve">com </w:t>
      </w:r>
      <w:r w:rsidR="0034282A" w:rsidRPr="0034282A">
        <w:rPr>
          <w:rFonts w:cs="Arial"/>
          <w:b w:val="0"/>
          <w:i/>
          <w:iCs/>
          <w:kern w:val="0"/>
          <w:sz w:val="20"/>
          <w:lang w:val="pt-BR" w:eastAsia="pt-BR"/>
        </w:rPr>
        <w:t>uma decomposição estatística dos componentes do crescimento do emprego formal</w:t>
      </w:r>
      <w:r w:rsidR="009D54EC">
        <w:rPr>
          <w:rFonts w:cs="Arial"/>
          <w:b w:val="0"/>
          <w:i/>
          <w:iCs/>
          <w:kern w:val="0"/>
          <w:sz w:val="20"/>
          <w:lang w:val="pt-BR" w:eastAsia="pt-BR"/>
        </w:rPr>
        <w:t xml:space="preserve"> com base na </w:t>
      </w:r>
      <w:r w:rsidRPr="00797B9B">
        <w:rPr>
          <w:rFonts w:cs="Arial"/>
          <w:b w:val="0"/>
          <w:i/>
          <w:iCs/>
          <w:kern w:val="0"/>
          <w:sz w:val="20"/>
          <w:lang w:val="pt-BR" w:eastAsia="pt-BR"/>
        </w:rPr>
        <w:t xml:space="preserve">Relação Anual de Informações Sociais (RAIS). </w:t>
      </w:r>
      <w:r w:rsidR="009D54EC">
        <w:rPr>
          <w:rFonts w:cs="Arial"/>
          <w:b w:val="0"/>
          <w:i/>
          <w:iCs/>
          <w:kern w:val="0"/>
          <w:sz w:val="20"/>
          <w:lang w:val="pt-BR" w:eastAsia="pt-BR"/>
        </w:rPr>
        <w:t>Para decomposição foram</w:t>
      </w:r>
      <w:r w:rsidRPr="00AC2129">
        <w:rPr>
          <w:rFonts w:cs="Arial"/>
          <w:b w:val="0"/>
          <w:i/>
          <w:iCs/>
          <w:kern w:val="0"/>
          <w:sz w:val="20"/>
          <w:lang w:val="pt-BR" w:eastAsia="pt-BR"/>
        </w:rPr>
        <w:t xml:space="preserve"> examinadas </w:t>
      </w:r>
      <w:r w:rsidR="009D54EC">
        <w:rPr>
          <w:rFonts w:cs="Arial"/>
          <w:b w:val="0"/>
          <w:i/>
          <w:iCs/>
          <w:kern w:val="0"/>
          <w:sz w:val="20"/>
          <w:lang w:val="pt-BR" w:eastAsia="pt-BR"/>
        </w:rPr>
        <w:t>a evolução do emprego forma</w:t>
      </w:r>
      <w:r w:rsidR="00D91FD7">
        <w:rPr>
          <w:rFonts w:cs="Arial"/>
          <w:b w:val="0"/>
          <w:i/>
          <w:iCs/>
          <w:kern w:val="0"/>
          <w:sz w:val="20"/>
          <w:lang w:val="pt-BR" w:eastAsia="pt-BR"/>
        </w:rPr>
        <w:t xml:space="preserve">l considerando as </w:t>
      </w:r>
      <w:r w:rsidRPr="00AC2129">
        <w:rPr>
          <w:rFonts w:cs="Arial"/>
          <w:b w:val="0"/>
          <w:i/>
          <w:iCs/>
          <w:kern w:val="0"/>
          <w:sz w:val="20"/>
          <w:lang w:val="pt-BR" w:eastAsia="pt-BR"/>
        </w:rPr>
        <w:t xml:space="preserve">variações do número de estabelecimentos e tamanho médio das firmas, </w:t>
      </w:r>
      <w:r w:rsidR="00E9059E">
        <w:rPr>
          <w:rFonts w:cs="Arial"/>
          <w:b w:val="0"/>
          <w:i/>
          <w:iCs/>
          <w:kern w:val="0"/>
          <w:sz w:val="20"/>
          <w:lang w:val="pt-BR" w:eastAsia="pt-BR"/>
        </w:rPr>
        <w:t>decompostas pelos</w:t>
      </w:r>
      <w:r w:rsidRPr="00AC2129">
        <w:rPr>
          <w:rFonts w:cs="Arial"/>
          <w:b w:val="0"/>
          <w:i/>
          <w:iCs/>
          <w:kern w:val="0"/>
          <w:sz w:val="20"/>
          <w:lang w:val="pt-BR" w:eastAsia="pt-BR"/>
        </w:rPr>
        <w:t xml:space="preserve"> efeitos quantidade, escala e composição.</w:t>
      </w:r>
      <w:r w:rsidR="00AC2129" w:rsidRPr="00AC2129">
        <w:rPr>
          <w:rFonts w:cs="Arial"/>
          <w:b w:val="0"/>
          <w:i/>
          <w:iCs/>
          <w:kern w:val="0"/>
          <w:sz w:val="20"/>
          <w:lang w:val="pt-BR" w:eastAsia="pt-BR"/>
        </w:rPr>
        <w:t xml:space="preserve"> </w:t>
      </w:r>
      <w:r w:rsidRPr="00AC2129">
        <w:rPr>
          <w:rFonts w:cs="Arial"/>
          <w:b w:val="0"/>
          <w:i/>
          <w:iCs/>
          <w:kern w:val="0"/>
          <w:sz w:val="20"/>
          <w:lang w:val="pt-BR" w:eastAsia="pt-BR"/>
        </w:rPr>
        <w:t xml:space="preserve">O estudo contribui ao integrar a abordagem da reestruturação produtiva com a nova regionalização do IBGE, evidenciando deslocamentos funcionais e hierárquicos entre polos regionais. </w:t>
      </w:r>
      <w:r w:rsidRPr="0078654D">
        <w:rPr>
          <w:rFonts w:cs="Arial"/>
          <w:b w:val="0"/>
          <w:i/>
          <w:iCs/>
          <w:kern w:val="0"/>
          <w:sz w:val="20"/>
          <w:lang w:val="pt-BR" w:eastAsia="pt-BR"/>
        </w:rPr>
        <w:t>Os resultados indicam que o aumento do emprego formal resultou principalmente da expansão do número de estabelecimentos, com destaque para Macaé, Rio das Ostras e São João da Barra, impulsionados pela cadeia de petróleo e gás e pelo Porto do Açu.</w:t>
      </w:r>
      <w:r w:rsidR="0078654D" w:rsidRPr="0078654D">
        <w:rPr>
          <w:rFonts w:cs="Arial"/>
          <w:b w:val="0"/>
          <w:i/>
          <w:iCs/>
          <w:kern w:val="0"/>
          <w:sz w:val="20"/>
          <w:lang w:val="pt-BR" w:eastAsia="pt-BR"/>
        </w:rPr>
        <w:t xml:space="preserve"> </w:t>
      </w:r>
      <w:r w:rsidR="003158D2">
        <w:rPr>
          <w:rFonts w:cs="Arial"/>
          <w:b w:val="0"/>
          <w:i/>
          <w:iCs/>
          <w:kern w:val="0"/>
          <w:sz w:val="20"/>
          <w:lang w:val="pt-BR" w:eastAsia="pt-BR"/>
        </w:rPr>
        <w:t>O</w:t>
      </w:r>
      <w:r w:rsidRPr="0078654D">
        <w:rPr>
          <w:rFonts w:cs="Arial"/>
          <w:b w:val="0"/>
          <w:i/>
          <w:iCs/>
          <w:kern w:val="0"/>
          <w:sz w:val="20"/>
          <w:lang w:val="pt-BR" w:eastAsia="pt-BR"/>
        </w:rPr>
        <w:t xml:space="preserve"> artigo reforça a pertinência das Regiões Intermediárias e Imediatas como escala de análise territorial</w:t>
      </w:r>
      <w:r w:rsidR="003158D2">
        <w:rPr>
          <w:rFonts w:cs="Arial"/>
          <w:b w:val="0"/>
          <w:i/>
          <w:iCs/>
          <w:kern w:val="0"/>
          <w:sz w:val="20"/>
          <w:lang w:val="pt-BR" w:eastAsia="pt-BR"/>
        </w:rPr>
        <w:t xml:space="preserve"> e, d</w:t>
      </w:r>
      <w:r w:rsidRPr="003158D2">
        <w:rPr>
          <w:rFonts w:cs="Arial"/>
          <w:b w:val="0"/>
          <w:i/>
          <w:iCs/>
          <w:kern w:val="0"/>
          <w:sz w:val="20"/>
          <w:lang w:val="pt-BR" w:eastAsia="pt-BR"/>
        </w:rPr>
        <w:t>o ponto de vista social, evidencia a persistência de desigualdades e a necessidade de políticas públicas voltadas à diversificação produtiva e ao aproveitamento sustentável das rendas petrolíferas.</w:t>
      </w:r>
    </w:p>
    <w:p w14:paraId="754D9CAB" w14:textId="257A1552" w:rsidR="008A1E23" w:rsidRDefault="008A1E23" w:rsidP="00397B28">
      <w:pPr>
        <w:jc w:val="both"/>
        <w:rPr>
          <w:rFonts w:ascii="Arial" w:hAnsi="Arial" w:cs="Arial"/>
          <w:b/>
          <w:sz w:val="20"/>
          <w:szCs w:val="20"/>
        </w:rPr>
      </w:pPr>
    </w:p>
    <w:p w14:paraId="564C2D73" w14:textId="71E5832A" w:rsidR="00BC5B16" w:rsidRPr="00BC5B16" w:rsidRDefault="00BC5B16" w:rsidP="00397B28">
      <w:pPr>
        <w:jc w:val="both"/>
        <w:rPr>
          <w:rFonts w:ascii="Arial" w:hAnsi="Arial" w:cs="Arial"/>
          <w:sz w:val="20"/>
          <w:szCs w:val="20"/>
        </w:rPr>
      </w:pPr>
      <w:r w:rsidRPr="00BC5B16">
        <w:rPr>
          <w:rFonts w:ascii="Arial" w:hAnsi="Arial" w:cs="Arial"/>
          <w:b/>
          <w:sz w:val="20"/>
          <w:szCs w:val="20"/>
        </w:rPr>
        <w:t xml:space="preserve">PALAVRAS-CHAVE: </w:t>
      </w:r>
      <w:r w:rsidR="0063493C" w:rsidRPr="0063493C">
        <w:rPr>
          <w:rFonts w:ascii="Arial" w:hAnsi="Arial" w:cs="Arial"/>
          <w:sz w:val="20"/>
          <w:szCs w:val="20"/>
        </w:rPr>
        <w:t>Reestruturação produtiva</w:t>
      </w:r>
      <w:r w:rsidRPr="00BC5B16">
        <w:rPr>
          <w:rFonts w:ascii="Arial" w:hAnsi="Arial" w:cs="Arial"/>
          <w:sz w:val="20"/>
          <w:szCs w:val="20"/>
        </w:rPr>
        <w:t xml:space="preserve">; </w:t>
      </w:r>
      <w:r w:rsidR="0063493C" w:rsidRPr="0063493C">
        <w:rPr>
          <w:rFonts w:ascii="Arial" w:hAnsi="Arial" w:cs="Arial"/>
          <w:sz w:val="20"/>
          <w:szCs w:val="20"/>
        </w:rPr>
        <w:t>Dinâmica econômica</w:t>
      </w:r>
      <w:r w:rsidRPr="00BC5B16">
        <w:rPr>
          <w:rFonts w:ascii="Arial" w:hAnsi="Arial" w:cs="Arial"/>
          <w:sz w:val="20"/>
          <w:szCs w:val="20"/>
        </w:rPr>
        <w:t>;</w:t>
      </w:r>
      <w:r w:rsidR="0021254C">
        <w:rPr>
          <w:rFonts w:ascii="Arial" w:hAnsi="Arial" w:cs="Arial"/>
          <w:sz w:val="20"/>
          <w:szCs w:val="20"/>
        </w:rPr>
        <w:t xml:space="preserve"> </w:t>
      </w:r>
      <w:r w:rsidR="0021254C" w:rsidRPr="0021254C">
        <w:rPr>
          <w:rFonts w:ascii="Arial" w:hAnsi="Arial" w:cs="Arial"/>
          <w:sz w:val="20"/>
          <w:szCs w:val="20"/>
        </w:rPr>
        <w:t>Planejamento territorial</w:t>
      </w:r>
    </w:p>
    <w:p w14:paraId="43787104" w14:textId="77777777" w:rsidR="00BC5B16" w:rsidRPr="004739E0" w:rsidRDefault="00BC5B16" w:rsidP="00397B28">
      <w:pPr>
        <w:pStyle w:val="IDpaper-Title"/>
        <w:widowControl/>
        <w:ind w:left="0"/>
        <w:rPr>
          <w:rFonts w:cs="Arial"/>
          <w:b w:val="0"/>
          <w:bCs/>
          <w:sz w:val="22"/>
          <w:lang w:val="pt-BR"/>
        </w:rPr>
      </w:pPr>
    </w:p>
    <w:p w14:paraId="7E9470EE" w14:textId="1F0AF41E" w:rsidR="00BC5B16" w:rsidRPr="00136A83" w:rsidRDefault="00BC5B16" w:rsidP="00397B28">
      <w:pPr>
        <w:pStyle w:val="IDpaper-Title"/>
        <w:ind w:left="0"/>
        <w:jc w:val="both"/>
        <w:rPr>
          <w:rFonts w:cs="Arial"/>
          <w:b w:val="0"/>
          <w:i/>
          <w:iCs/>
          <w:kern w:val="0"/>
          <w:sz w:val="20"/>
          <w:lang w:val="en-US" w:eastAsia="pt-BR"/>
        </w:rPr>
      </w:pPr>
      <w:r>
        <w:rPr>
          <w:rFonts w:cs="Arial"/>
          <w:bCs/>
          <w:i/>
          <w:iCs/>
          <w:kern w:val="0"/>
          <w:sz w:val="20"/>
          <w:lang w:val="en-US" w:eastAsia="pt-BR"/>
        </w:rPr>
        <w:t>ABSTRACT</w:t>
      </w:r>
    </w:p>
    <w:p w14:paraId="3BB6DB40" w14:textId="298BBA38" w:rsidR="00BC5B16" w:rsidRPr="00136A83" w:rsidRDefault="001E646B" w:rsidP="00397B28">
      <w:pPr>
        <w:pStyle w:val="IDpaper-Title"/>
        <w:ind w:left="0"/>
        <w:jc w:val="both"/>
        <w:rPr>
          <w:rFonts w:cs="Arial"/>
          <w:b w:val="0"/>
          <w:i/>
          <w:iCs/>
          <w:kern w:val="0"/>
          <w:sz w:val="20"/>
          <w:lang w:eastAsia="pt-BR"/>
        </w:rPr>
      </w:pPr>
      <w:r w:rsidRPr="001E646B">
        <w:rPr>
          <w:rFonts w:cs="Arial"/>
          <w:b w:val="0"/>
          <w:i/>
          <w:iCs/>
          <w:kern w:val="0"/>
          <w:sz w:val="20"/>
          <w:lang w:eastAsia="pt-BR"/>
        </w:rPr>
        <w:t xml:space="preserve">The study </w:t>
      </w:r>
      <w:r w:rsidR="00397B28" w:rsidRPr="001E646B">
        <w:rPr>
          <w:rFonts w:cs="Arial"/>
          <w:b w:val="0"/>
          <w:i/>
          <w:iCs/>
          <w:kern w:val="0"/>
          <w:sz w:val="20"/>
          <w:lang w:eastAsia="pt-BR"/>
        </w:rPr>
        <w:t>analyses</w:t>
      </w:r>
      <w:r w:rsidRPr="001E646B">
        <w:rPr>
          <w:rFonts w:cs="Arial"/>
          <w:b w:val="0"/>
          <w:i/>
          <w:iCs/>
          <w:kern w:val="0"/>
          <w:sz w:val="20"/>
          <w:lang w:eastAsia="pt-BR"/>
        </w:rPr>
        <w:t xml:space="preserve"> the productive structure of the Intermediate Regions of Campos dos Goytacazes and Macaé</w:t>
      </w:r>
      <w:r w:rsidR="00397B28">
        <w:rPr>
          <w:rFonts w:cs="Arial"/>
          <w:b w:val="0"/>
          <w:i/>
          <w:iCs/>
          <w:kern w:val="0"/>
          <w:sz w:val="20"/>
          <w:lang w:eastAsia="pt-BR"/>
        </w:rPr>
        <w:t>-</w:t>
      </w:r>
      <w:r w:rsidRPr="001E646B">
        <w:rPr>
          <w:rFonts w:cs="Arial"/>
          <w:b w:val="0"/>
          <w:i/>
          <w:iCs/>
          <w:kern w:val="0"/>
          <w:sz w:val="20"/>
          <w:lang w:eastAsia="pt-BR"/>
        </w:rPr>
        <w:t xml:space="preserve">Rio das </w:t>
      </w:r>
      <w:proofErr w:type="spellStart"/>
      <w:r w:rsidRPr="001E646B">
        <w:rPr>
          <w:rFonts w:cs="Arial"/>
          <w:b w:val="0"/>
          <w:i/>
          <w:iCs/>
          <w:kern w:val="0"/>
          <w:sz w:val="20"/>
          <w:lang w:eastAsia="pt-BR"/>
        </w:rPr>
        <w:t>Ostras</w:t>
      </w:r>
      <w:proofErr w:type="spellEnd"/>
      <w:r w:rsidR="00397B28">
        <w:rPr>
          <w:rFonts w:cs="Arial"/>
          <w:b w:val="0"/>
          <w:i/>
          <w:iCs/>
          <w:kern w:val="0"/>
          <w:sz w:val="20"/>
          <w:lang w:eastAsia="pt-BR"/>
        </w:rPr>
        <w:t>-</w:t>
      </w:r>
      <w:r w:rsidRPr="001E646B">
        <w:rPr>
          <w:rFonts w:cs="Arial"/>
          <w:b w:val="0"/>
          <w:i/>
          <w:iCs/>
          <w:kern w:val="0"/>
          <w:sz w:val="20"/>
          <w:lang w:eastAsia="pt-BR"/>
        </w:rPr>
        <w:t>Cabo Frio, as well as their Immediate Regions, between 2002 and 2021. The objective is to understand the socioeconomic transformations resulting from the transition from a sugarcane-based economy to an oil-driven economy in Northern Rio de Janeiro and their effects</w:t>
      </w:r>
      <w:r w:rsidR="00201DBF">
        <w:rPr>
          <w:rFonts w:cs="Arial"/>
          <w:b w:val="0"/>
          <w:i/>
          <w:iCs/>
          <w:kern w:val="0"/>
          <w:sz w:val="20"/>
          <w:lang w:eastAsia="pt-BR"/>
        </w:rPr>
        <w:t xml:space="preserve"> on</w:t>
      </w:r>
      <w:r w:rsidRPr="001E646B">
        <w:rPr>
          <w:rFonts w:cs="Arial"/>
          <w:b w:val="0"/>
          <w:i/>
          <w:iCs/>
          <w:kern w:val="0"/>
          <w:sz w:val="20"/>
          <w:lang w:eastAsia="pt-BR"/>
        </w:rPr>
        <w:t xml:space="preserve"> </w:t>
      </w:r>
      <w:r w:rsidR="000B083D" w:rsidRPr="000B083D">
        <w:rPr>
          <w:rFonts w:cs="Arial"/>
          <w:b w:val="0"/>
          <w:i/>
          <w:iCs/>
          <w:kern w:val="0"/>
          <w:sz w:val="20"/>
          <w:lang w:eastAsia="pt-BR"/>
        </w:rPr>
        <w:t>the territorial configuration within the state</w:t>
      </w:r>
      <w:r w:rsidR="00201DBF">
        <w:rPr>
          <w:rFonts w:cs="Arial"/>
          <w:b w:val="0"/>
          <w:i/>
          <w:iCs/>
          <w:kern w:val="0"/>
          <w:sz w:val="20"/>
          <w:lang w:eastAsia="pt-BR"/>
        </w:rPr>
        <w:t xml:space="preserve"> </w:t>
      </w:r>
      <w:proofErr w:type="spellStart"/>
      <w:r w:rsidR="00201DBF">
        <w:rPr>
          <w:rFonts w:cs="Arial"/>
          <w:b w:val="0"/>
          <w:i/>
          <w:iCs/>
          <w:kern w:val="0"/>
          <w:sz w:val="20"/>
          <w:lang w:eastAsia="pt-BR"/>
        </w:rPr>
        <w:t>o</w:t>
      </w:r>
      <w:proofErr w:type="spellEnd"/>
      <w:r w:rsidR="00201DBF">
        <w:rPr>
          <w:rFonts w:cs="Arial"/>
          <w:b w:val="0"/>
          <w:i/>
          <w:iCs/>
          <w:kern w:val="0"/>
          <w:sz w:val="20"/>
          <w:lang w:eastAsia="pt-BR"/>
        </w:rPr>
        <w:t xml:space="preserve"> Rio de Janeiro</w:t>
      </w:r>
      <w:r w:rsidRPr="001E646B">
        <w:rPr>
          <w:rFonts w:cs="Arial"/>
          <w:b w:val="0"/>
          <w:i/>
          <w:iCs/>
          <w:kern w:val="0"/>
          <w:sz w:val="20"/>
          <w:lang w:eastAsia="pt-BR"/>
        </w:rPr>
        <w:t xml:space="preserve">. The methodology combines descriptive analysis based on data from the 2000, 2010, and 2022 Population Censuses with </w:t>
      </w:r>
      <w:r w:rsidR="009F4DE5" w:rsidRPr="009F4DE5">
        <w:rPr>
          <w:rFonts w:cs="Arial"/>
          <w:b w:val="0"/>
          <w:i/>
          <w:iCs/>
          <w:kern w:val="0"/>
          <w:sz w:val="20"/>
          <w:lang w:eastAsia="pt-BR"/>
        </w:rPr>
        <w:t>a decomposition of employment growth components</w:t>
      </w:r>
      <w:r w:rsidRPr="001E646B">
        <w:rPr>
          <w:rFonts w:cs="Arial"/>
          <w:b w:val="0"/>
          <w:i/>
          <w:iCs/>
          <w:kern w:val="0"/>
          <w:sz w:val="20"/>
          <w:lang w:eastAsia="pt-BR"/>
        </w:rPr>
        <w:t xml:space="preserve"> using data from the Annual Social Information Report (RAIS). The decomposition examines the evolution of formal employment by </w:t>
      </w:r>
      <w:r w:rsidR="00D71CC8" w:rsidRPr="001E646B">
        <w:rPr>
          <w:rFonts w:cs="Arial"/>
          <w:b w:val="0"/>
          <w:i/>
          <w:iCs/>
          <w:kern w:val="0"/>
          <w:sz w:val="20"/>
          <w:lang w:eastAsia="pt-BR"/>
        </w:rPr>
        <w:t>analysing</w:t>
      </w:r>
      <w:r w:rsidRPr="001E646B">
        <w:rPr>
          <w:rFonts w:cs="Arial"/>
          <w:b w:val="0"/>
          <w:i/>
          <w:iCs/>
          <w:kern w:val="0"/>
          <w:sz w:val="20"/>
          <w:lang w:eastAsia="pt-BR"/>
        </w:rPr>
        <w:t xml:space="preserve"> variations in the number of establishments and the average firm size, further disaggregated into quantity, scale, and composition effects. The study contributes by integrating the approach of productive restructuring with the new regionalization proposed by the IBGE, revealing functional and hierarchical shifts among urban </w:t>
      </w:r>
      <w:r w:rsidR="00BB4F5D" w:rsidRPr="001E646B">
        <w:rPr>
          <w:rFonts w:cs="Arial"/>
          <w:b w:val="0"/>
          <w:i/>
          <w:iCs/>
          <w:kern w:val="0"/>
          <w:sz w:val="20"/>
          <w:lang w:eastAsia="pt-BR"/>
        </w:rPr>
        <w:t>centres</w:t>
      </w:r>
      <w:r w:rsidRPr="001E646B">
        <w:rPr>
          <w:rFonts w:cs="Arial"/>
          <w:b w:val="0"/>
          <w:i/>
          <w:iCs/>
          <w:kern w:val="0"/>
          <w:sz w:val="20"/>
          <w:lang w:eastAsia="pt-BR"/>
        </w:rPr>
        <w:t xml:space="preserve">. The results indicate that the increase in formal employment was mainly driven by the expansion in the number of establishments, with emphasis on Macaé, Rio das </w:t>
      </w:r>
      <w:proofErr w:type="spellStart"/>
      <w:r w:rsidRPr="001E646B">
        <w:rPr>
          <w:rFonts w:cs="Arial"/>
          <w:b w:val="0"/>
          <w:i/>
          <w:iCs/>
          <w:kern w:val="0"/>
          <w:sz w:val="20"/>
          <w:lang w:eastAsia="pt-BR"/>
        </w:rPr>
        <w:t>Ostras</w:t>
      </w:r>
      <w:proofErr w:type="spellEnd"/>
      <w:r w:rsidRPr="001E646B">
        <w:rPr>
          <w:rFonts w:cs="Arial"/>
          <w:b w:val="0"/>
          <w:i/>
          <w:iCs/>
          <w:kern w:val="0"/>
          <w:sz w:val="20"/>
          <w:lang w:eastAsia="pt-BR"/>
        </w:rPr>
        <w:t>, and São João da Barra, influenced by the oil and gas production chain and the Porto do Açu complex. The article reinforces the relevance of Intermediate and Immediate Regions as analytical scales for territorial studies and, from a social perspective, highlights the persistence of inequalities and the need for public policies aimed at productive diversification and the sustainable use of oil revenues.</w:t>
      </w:r>
    </w:p>
    <w:p w14:paraId="1D4AB983" w14:textId="2567148E" w:rsidR="008A1E23" w:rsidRDefault="008A1E23" w:rsidP="00397B28">
      <w:pPr>
        <w:pStyle w:val="IDpaper-Title"/>
        <w:widowControl/>
        <w:ind w:left="0"/>
        <w:jc w:val="both"/>
        <w:rPr>
          <w:rFonts w:cs="Arial"/>
          <w:bCs/>
          <w:i/>
          <w:iCs/>
          <w:kern w:val="0"/>
          <w:sz w:val="20"/>
          <w:lang w:eastAsia="pt-BR"/>
        </w:rPr>
      </w:pPr>
    </w:p>
    <w:p w14:paraId="41C70993" w14:textId="7C94913B" w:rsidR="00BC5B16" w:rsidRPr="00BC5B16" w:rsidRDefault="00BC5B16" w:rsidP="00397B28">
      <w:pPr>
        <w:pStyle w:val="IDpaper-Title"/>
        <w:widowControl/>
        <w:ind w:left="0"/>
        <w:jc w:val="both"/>
        <w:rPr>
          <w:rFonts w:ascii="Calibri" w:hAnsi="Calibri" w:cs="Arial"/>
          <w:b w:val="0"/>
          <w:bCs/>
          <w:kern w:val="32"/>
          <w:szCs w:val="32"/>
          <w:lang w:val="en-US"/>
          <w14:ligatures w14:val="standardContextual"/>
        </w:rPr>
      </w:pPr>
      <w:r w:rsidRPr="00136A83">
        <w:rPr>
          <w:rFonts w:cs="Arial"/>
          <w:bCs/>
          <w:i/>
          <w:iCs/>
          <w:kern w:val="0"/>
          <w:sz w:val="20"/>
          <w:lang w:eastAsia="pt-BR"/>
        </w:rPr>
        <w:t>KEYWORDS:</w:t>
      </w:r>
      <w:r w:rsidRPr="00136A83">
        <w:rPr>
          <w:rFonts w:cs="Arial"/>
          <w:b w:val="0"/>
          <w:i/>
          <w:iCs/>
          <w:kern w:val="0"/>
          <w:sz w:val="20"/>
          <w:lang w:eastAsia="pt-BR"/>
        </w:rPr>
        <w:t xml:space="preserve"> </w:t>
      </w:r>
      <w:r w:rsidR="00397B28" w:rsidRPr="00397B28">
        <w:rPr>
          <w:rFonts w:cs="Arial"/>
          <w:b w:val="0"/>
          <w:i/>
          <w:iCs/>
          <w:kern w:val="0"/>
          <w:sz w:val="20"/>
          <w:lang w:eastAsia="pt-BR"/>
        </w:rPr>
        <w:t>Productive restructuring; Economic dynamics; Territorial planning</w:t>
      </w:r>
      <w:r w:rsidRPr="00BC5B16">
        <w:rPr>
          <w:lang w:val="en-US"/>
        </w:rPr>
        <w:br w:type="page"/>
      </w:r>
    </w:p>
    <w:p w14:paraId="7218BE81" w14:textId="2824BEE3" w:rsidR="002E0E59" w:rsidRDefault="00914BE9" w:rsidP="00C648D0">
      <w:pPr>
        <w:pStyle w:val="Ttulo1"/>
      </w:pPr>
      <w:r>
        <w:lastRenderedPageBreak/>
        <w:t>Introdução</w:t>
      </w:r>
      <w:bookmarkEnd w:id="0"/>
    </w:p>
    <w:p w14:paraId="70394A6A" w14:textId="327A1853" w:rsidR="000A4E27" w:rsidRDefault="00C12CB4" w:rsidP="0009002C">
      <w:pPr>
        <w:pStyle w:val="Corpodetexto"/>
      </w:pPr>
      <w:r w:rsidRPr="0009002C">
        <w:t xml:space="preserve">A mesorregião norte fluminense tem sido objeto de análise </w:t>
      </w:r>
      <w:r w:rsidR="00787462">
        <w:t>em</w:t>
      </w:r>
      <w:r w:rsidRPr="0009002C">
        <w:t xml:space="preserve"> vários estudos especialmente em função das profundas transformações </w:t>
      </w:r>
      <w:r w:rsidR="00C774C8" w:rsidRPr="0009002C">
        <w:t>econômica</w:t>
      </w:r>
      <w:r w:rsidR="00787462">
        <w:t>s</w:t>
      </w:r>
      <w:r w:rsidR="00C774C8" w:rsidRPr="0009002C">
        <w:t xml:space="preserve">, demográficas, </w:t>
      </w:r>
      <w:r w:rsidRPr="0009002C">
        <w:t xml:space="preserve">sociais, </w:t>
      </w:r>
      <w:r w:rsidR="00C774C8" w:rsidRPr="0009002C">
        <w:t>políticas</w:t>
      </w:r>
      <w:r w:rsidRPr="0009002C">
        <w:t>,</w:t>
      </w:r>
      <w:r w:rsidR="00C774C8" w:rsidRPr="0009002C">
        <w:t xml:space="preserve"> ambientais e</w:t>
      </w:r>
      <w:r w:rsidRPr="0009002C">
        <w:t xml:space="preserve"> culturais que vem experimentando desde meados da década de 1970, com a descoberta de petróleo </w:t>
      </w:r>
      <w:r w:rsidR="0002421B">
        <w:t xml:space="preserve">na </w:t>
      </w:r>
      <w:r w:rsidRPr="0009002C">
        <w:t xml:space="preserve">Bacia petrolífera de Campos. É vasta a literatura que </w:t>
      </w:r>
      <w:r w:rsidR="00BC4315" w:rsidRPr="0009002C">
        <w:t xml:space="preserve">aborda a transição de uma economia baseada na cultura canavieira e na produção sucroalcooleira para uma indústria </w:t>
      </w:r>
      <w:r w:rsidR="00935E11" w:rsidRPr="0009002C">
        <w:t>da</w:t>
      </w:r>
      <w:r w:rsidR="00BC4315" w:rsidRPr="0009002C">
        <w:t xml:space="preserve"> produção e exploração de petróleo e gás, com todos os seus encadeamentos e impactos na estrutura</w:t>
      </w:r>
      <w:r w:rsidR="000A4E27">
        <w:t xml:space="preserve"> territorial e</w:t>
      </w:r>
      <w:r w:rsidR="00BC4315" w:rsidRPr="0009002C">
        <w:t xml:space="preserve"> produtiva regional</w:t>
      </w:r>
      <w:r w:rsidR="00654376" w:rsidRPr="0009002C">
        <w:t>.</w:t>
      </w:r>
      <w:r w:rsidR="00C774C8" w:rsidRPr="0009002C">
        <w:t xml:space="preserve"> </w:t>
      </w:r>
    </w:p>
    <w:p w14:paraId="7F802E9B" w14:textId="1A9DADF7" w:rsidR="00E454C7" w:rsidRDefault="3743D1A4" w:rsidP="493C3F53">
      <w:pPr>
        <w:pStyle w:val="Corpodetexto"/>
      </w:pPr>
      <w:r>
        <w:t xml:space="preserve">Embora o objeto de estudo deste artigo seja, originalmente, a mesorregião Norte Fluminense, a análise contempla também as Regiões Intermediárias e Imediatas, </w:t>
      </w:r>
      <w:r w:rsidR="509E033E">
        <w:t>cuja</w:t>
      </w:r>
      <w:r>
        <w:t xml:space="preserve"> metodologia de </w:t>
      </w:r>
      <w:r w:rsidR="53C92A98">
        <w:t>regionalização privilegia</w:t>
      </w:r>
      <w:r>
        <w:t xml:space="preserve"> a articulação a partir dos fluxos de gestão privado e público e </w:t>
      </w:r>
      <w:r w:rsidR="789273DC">
        <w:t>a</w:t>
      </w:r>
      <w:r>
        <w:t xml:space="preserve"> presença de funções urbanas de maior complexidade, que, em conjunto, permitem identificar polos de hierarquia superior na rede urbana. Dessa forma, considera aspectos associados à classificação hierárquica dos centros urbanos, detecção dos fluxos de gestão, delimitação de áreas de influência, entre outros.</w:t>
      </w:r>
    </w:p>
    <w:p w14:paraId="0D71E48E" w14:textId="7E45B1EC" w:rsidR="00E454C7" w:rsidRDefault="7BCB6E40" w:rsidP="493C3F53">
      <w:pPr>
        <w:pStyle w:val="Corpodetexto"/>
      </w:pPr>
      <w:r>
        <w:t>As</w:t>
      </w:r>
      <w:r w:rsidR="48654B19">
        <w:t xml:space="preserve"> regiões </w:t>
      </w:r>
      <w:r w:rsidR="5273A871">
        <w:t xml:space="preserve">Intermediárias </w:t>
      </w:r>
      <w:r w:rsidR="044262BE">
        <w:t xml:space="preserve">e </w:t>
      </w:r>
      <w:r>
        <w:t xml:space="preserve">Imediatas </w:t>
      </w:r>
      <w:r w:rsidR="22BFB2B5">
        <w:t xml:space="preserve">que </w:t>
      </w:r>
      <w:r w:rsidR="35CAD46D">
        <w:t xml:space="preserve">serão </w:t>
      </w:r>
      <w:r w:rsidR="5250EEFE">
        <w:t xml:space="preserve">analisadas neste </w:t>
      </w:r>
      <w:r w:rsidR="193985BF">
        <w:t xml:space="preserve">estudo </w:t>
      </w:r>
      <w:r w:rsidR="5D3B75BE">
        <w:t>serão</w:t>
      </w:r>
      <w:r w:rsidR="312A70D1">
        <w:t>:</w:t>
      </w:r>
      <w:r w:rsidR="101FF289">
        <w:t xml:space="preserve"> </w:t>
      </w:r>
      <w:r w:rsidR="7D8B27A1">
        <w:t xml:space="preserve">Região </w:t>
      </w:r>
      <w:r w:rsidR="6C600CDB">
        <w:t xml:space="preserve">Geográfica </w:t>
      </w:r>
      <w:r w:rsidR="389F89AD">
        <w:t>Intermediária Campos</w:t>
      </w:r>
      <w:r w:rsidR="6C600CDB">
        <w:t xml:space="preserve"> </w:t>
      </w:r>
      <w:r w:rsidR="656788C6">
        <w:t>dos Goytacazes</w:t>
      </w:r>
      <w:r w:rsidR="62AD828A">
        <w:t xml:space="preserve">, compostas </w:t>
      </w:r>
      <w:r w:rsidR="6B454344">
        <w:t xml:space="preserve">pelas Regiões </w:t>
      </w:r>
      <w:r w:rsidR="7DC5F19E">
        <w:t xml:space="preserve">Geográficas </w:t>
      </w:r>
      <w:r w:rsidR="02D8A6F3">
        <w:t xml:space="preserve">Imediatas </w:t>
      </w:r>
      <w:r w:rsidR="389F89AD">
        <w:t xml:space="preserve">Campos dos </w:t>
      </w:r>
      <w:r w:rsidR="522443F3">
        <w:t xml:space="preserve">Goytacazes, </w:t>
      </w:r>
      <w:r w:rsidR="736BD311">
        <w:t xml:space="preserve">Itaperuna e São </w:t>
      </w:r>
      <w:r w:rsidR="22E8A575">
        <w:t xml:space="preserve">Antônio de </w:t>
      </w:r>
      <w:r w:rsidR="172173ED">
        <w:t xml:space="preserve">Pádua; </w:t>
      </w:r>
      <w:r w:rsidR="5526877E">
        <w:t>Região</w:t>
      </w:r>
      <w:r w:rsidR="76216CA2">
        <w:t xml:space="preserve"> </w:t>
      </w:r>
      <w:r w:rsidR="6109809B">
        <w:t xml:space="preserve">Geográfica Intermediária </w:t>
      </w:r>
      <w:r w:rsidR="04A15A47">
        <w:t>Macaé</w:t>
      </w:r>
      <w:r w:rsidR="18B6B3AB">
        <w:t>-Rio das Ostras</w:t>
      </w:r>
      <w:r w:rsidR="17B7C0D9">
        <w:t xml:space="preserve"> </w:t>
      </w:r>
      <w:r w:rsidR="68CA1B1A">
        <w:t xml:space="preserve">– </w:t>
      </w:r>
      <w:r w:rsidR="4E060B79">
        <w:t>Cabo</w:t>
      </w:r>
      <w:r w:rsidR="68CA1B1A">
        <w:t xml:space="preserve"> Frio, composta</w:t>
      </w:r>
      <w:r w:rsidR="36D0FB4E">
        <w:t xml:space="preserve"> </w:t>
      </w:r>
      <w:r w:rsidR="229C548F">
        <w:t xml:space="preserve">pelas </w:t>
      </w:r>
      <w:r w:rsidR="0502B1A3">
        <w:t>Regiões</w:t>
      </w:r>
      <w:r w:rsidR="776A8EB1">
        <w:t xml:space="preserve"> </w:t>
      </w:r>
      <w:r w:rsidR="0D236F2A">
        <w:t xml:space="preserve">Geográficas </w:t>
      </w:r>
      <w:r w:rsidR="158FB99C">
        <w:t xml:space="preserve">Imediatas </w:t>
      </w:r>
      <w:r w:rsidR="1B9860B8">
        <w:t>Cabo</w:t>
      </w:r>
      <w:r w:rsidR="765492B8">
        <w:t xml:space="preserve"> Frio e </w:t>
      </w:r>
      <w:r w:rsidR="6F4848A1">
        <w:t>Macaé-</w:t>
      </w:r>
      <w:r w:rsidR="1BAB076C">
        <w:t>Rio das Ostras</w:t>
      </w:r>
      <w:r w:rsidR="651F8C08">
        <w:t>,</w:t>
      </w:r>
      <w:r w:rsidR="5843B5E3">
        <w:t xml:space="preserve"> </w:t>
      </w:r>
      <w:r w:rsidR="7E580A40">
        <w:t xml:space="preserve">totalizando </w:t>
      </w:r>
      <w:r w:rsidR="4A2F9E2B">
        <w:t xml:space="preserve">30 municípios. </w:t>
      </w:r>
    </w:p>
    <w:p w14:paraId="24413D6F" w14:textId="41A7597A" w:rsidR="00E454C7" w:rsidRDefault="09B6C247" w:rsidP="00E454C7">
      <w:pPr>
        <w:pStyle w:val="Corpodetexto"/>
      </w:pPr>
      <w:r>
        <w:t>A Mesorregião Norte Fluminense já evidenciava sinais de transbordamento da área originalmente delimitada, desenhando relações espaciais para municípios da Mesorregião das Baixadas Litorâneas, principalmente com Cabo Frio, Rio das Ostras e Macaé</w:t>
      </w:r>
      <w:r w:rsidR="6F5C27BB">
        <w:t xml:space="preserve">, que </w:t>
      </w:r>
      <w:r w:rsidR="53DA926C">
        <w:t xml:space="preserve">justifica a </w:t>
      </w:r>
      <w:r w:rsidR="434EB3F5">
        <w:t xml:space="preserve">delimitação </w:t>
      </w:r>
      <w:r w:rsidR="20D18E15">
        <w:t xml:space="preserve">geográfica deste </w:t>
      </w:r>
      <w:r w:rsidR="49E94CC1">
        <w:t>estudo</w:t>
      </w:r>
      <w:r w:rsidR="09983051">
        <w:t xml:space="preserve">, </w:t>
      </w:r>
      <w:r w:rsidR="26DBAB95">
        <w:t xml:space="preserve">que </w:t>
      </w:r>
      <w:r w:rsidR="7DD08A66">
        <w:t xml:space="preserve">inclui, </w:t>
      </w:r>
      <w:r w:rsidR="0A9B935C">
        <w:t>além</w:t>
      </w:r>
      <w:r w:rsidR="7DD08A66">
        <w:t xml:space="preserve"> da </w:t>
      </w:r>
      <w:r w:rsidR="43E6E916">
        <w:t>Norte</w:t>
      </w:r>
      <w:r w:rsidR="4F88CBAB">
        <w:t xml:space="preserve">, </w:t>
      </w:r>
      <w:r w:rsidR="07EF7899">
        <w:t>as mesorregiões Noroeste e</w:t>
      </w:r>
      <w:r w:rsidR="31417649">
        <w:t xml:space="preserve"> </w:t>
      </w:r>
      <w:r w:rsidR="45A89788">
        <w:t>Baixadas</w:t>
      </w:r>
      <w:r w:rsidR="2B89F908">
        <w:t xml:space="preserve"> </w:t>
      </w:r>
      <w:r w:rsidR="590CFA4A">
        <w:t>Litorâneas.</w:t>
      </w:r>
      <w:r>
        <w:t xml:space="preserve"> Oliveira, Givisiez e Rios-Neto </w:t>
      </w:r>
      <w:r w:rsidR="00E454C7">
        <w:fldChar w:fldCharType="begin"/>
      </w:r>
      <w:r w:rsidR="00E454C7">
        <w:instrText xml:space="preserve"> ADDIN ZOTERO_ITEM CSL_CITATION {"citationID":"E9anKO68","properties":{"formattedCitation":"(2009)","plainCitation":"(2009)","noteIndex":0},"citationItems":[{"id":1325,"uris":["http://zotero.org/users/11809071/items/UTJGZCDY"],"itemData":{"id":1325,"type":"book","edition":"1","event-place":"Brasília","ISBN":"978-85-7958-000-0","language":"pt-br","number-of-pages":"144","publisher":"Ministério das Cidades","publisher-place":"Brasília","title":"Demanda Futura por Moradias no Brasil 2003-2023: Uma abordagem demográfica","URL":"https://antigo.mdr.gov.br/legislacao/2-uncategorised/5714-livro-demanda-futura-por-moradias-2010","author":[{"family":"Oliveira","given":"Elzira Lúcia","dropping-particle":"de"},{"family":"Givisiez","given":"Gustavo Henrique Naves"},{"family":"Rios-Neto","given":"Eduardo Gonçalves"}],"accessed":{"date-parts":[["2023",8,11]]},"issued":{"date-parts":[["2009"]]},"citation-key":"oliveira2009"},"suppress-author":true}],"schema":"https://github.com/citation-style-language/schema/raw/master/csl-citation.json"} </w:instrText>
      </w:r>
      <w:r w:rsidR="00E454C7">
        <w:fldChar w:fldCharType="separate"/>
      </w:r>
      <w:r w:rsidRPr="09B6C247">
        <w:rPr>
          <w:noProof/>
        </w:rPr>
        <w:t>(2009)</w:t>
      </w:r>
      <w:r w:rsidR="00E454C7">
        <w:fldChar w:fldCharType="end"/>
      </w:r>
      <w:r>
        <w:t xml:space="preserve"> já previam transformações espaciais que transbordariam as fronteiras da região Norte Fluminense.</w:t>
      </w:r>
    </w:p>
    <w:p w14:paraId="7E70E225" w14:textId="7DDDFE01" w:rsidR="00E454C7" w:rsidRDefault="09B6C247" w:rsidP="6E572FF3">
      <w:pPr>
        <w:pStyle w:val="Citao"/>
      </w:pPr>
      <w:r w:rsidRPr="09B6C247">
        <w:rPr>
          <w:rStyle w:val="CitaoChar"/>
        </w:rPr>
        <w:t xml:space="preserve">Contudo, é certo que o centro econômico regional, e provavelmente também o centro político e cultural, se deslocará da tradicional cidade de Campos dos Goytacazes para a nova região industrializada e com vocação turística, representada pela tríade dos municípios de Macaé, Rio das Ostras e Cabo Frio </w:t>
      </w:r>
      <w:r w:rsidR="00E454C7" w:rsidRPr="09B6C247">
        <w:rPr>
          <w:rStyle w:val="CitaoChar"/>
        </w:rPr>
        <w:fldChar w:fldCharType="begin"/>
      </w:r>
      <w:r w:rsidR="00E454C7" w:rsidRPr="09B6C247">
        <w:rPr>
          <w:rStyle w:val="CitaoChar"/>
        </w:rPr>
        <w:instrText xml:space="preserve"> ADDIN ZOTERO_ITEM CSL_CITATION {"citationID":"lygBNBfq","properties":{"formattedCitation":"(Oliveira; Givisiez; Rios-Neto, 2009, p. 117)","plainCitation":"(Oliveira; Givisiez; Rios-Neto, 2009, p. 117)","noteIndex":0},"citationItems":[{"id":1325,"uris":["http://zotero.org/users/11809071/items/UTJGZCDY"],"itemData":{"id":1325,"type":"book","edition":"1","event-place":"Brasília","ISBN":"978-85-7958-000-0","language":"pt-br","number-of-pages":"144","publisher":"Ministério das Cidades","publisher-place":"Brasília","title":"Demanda Futura por Moradias no Brasil 2003-2023: Uma abordagem demográfica","URL":"https://antigo.mdr.gov.br/legislacao/2-uncategorised/5714-livro-demanda-futura-por-moradias-2010","author":[{"family":"Oliveira","given":"Elzira Lúcia","dropping-particle":"de"},{"family":"Givisiez","given":"Gustavo Henrique Naves"},{"family":"Rios-Neto","given":"Eduardo Gonçalves"}],"accessed":{"date-parts":[["2023",8,11]]},"issued":{"date-parts":[["2009"]]},"citation-key":"oliveira2009"},"locator":"p. 117","label":"page"}],"schema":"https://github.com/citation-style-language/schema/raw/master/csl-citation.json"} </w:instrText>
      </w:r>
      <w:r w:rsidR="00E454C7" w:rsidRPr="09B6C247">
        <w:rPr>
          <w:rStyle w:val="CitaoChar"/>
        </w:rPr>
        <w:fldChar w:fldCharType="separate"/>
      </w:r>
      <w:r w:rsidRPr="09B6C247">
        <w:rPr>
          <w:rStyle w:val="CitaoChar"/>
          <w:noProof/>
        </w:rPr>
        <w:t>(Oliveira; Givisiez; Rios-Neto, 2009, p. 117)</w:t>
      </w:r>
      <w:r w:rsidR="00E454C7" w:rsidRPr="09B6C247">
        <w:rPr>
          <w:rStyle w:val="CitaoChar"/>
        </w:rPr>
        <w:fldChar w:fldCharType="end"/>
      </w:r>
      <w:r>
        <w:t>.</w:t>
      </w:r>
    </w:p>
    <w:p w14:paraId="291035AD" w14:textId="77777777" w:rsidR="00E454C7" w:rsidRDefault="00E454C7" w:rsidP="00E454C7">
      <w:pPr>
        <w:pStyle w:val="Corpodetexto"/>
      </w:pPr>
      <w:r>
        <w:lastRenderedPageBreak/>
        <w:t xml:space="preserve">A literatura regional dá conta que, em que pese as transformações socioterritoriais que se processam nesse espaço delimitado para análise, trata-se de um espaço que apresenta um histórico de desigualdade. Especificamente em relação à mesorregião Norte Fluminense: </w:t>
      </w:r>
    </w:p>
    <w:p w14:paraId="6DE7E8D0" w14:textId="539B78C0" w:rsidR="00E454C7" w:rsidRDefault="00E454C7" w:rsidP="00E454C7">
      <w:pPr>
        <w:pStyle w:val="Citao"/>
      </w:pPr>
      <w:r w:rsidRPr="00024580">
        <w:t>Em que pese a relativa abundância de recursos, as sucessivas gestões políticas e administrativas da região como um todo e de alguns municípios em particular não privilegiaram os investimentos em políticas públicas que melhorassem a qualidade de vida da população. Além disso, não se preocuparam em desenvolver ações e políticas de incentivo à diversificação da estrutura produtiva local visando a um futuro que seria incerto em relação a estes recursos adicionais, não tanto atrelados à escassez dos recursos geradores, mas muito mais a fatores exógenos como mudanças na legislação e flutuação dos preços da commodity no mercado internacional. O resultado dos processos históricos e contemporâneos produziu uma região de contrastes: por um lado a riqueza circula e atrai população; por outro a realidade evidencia um território das desigualdades socioterritoriais</w:t>
      </w:r>
      <w:r>
        <w:t xml:space="preserve"> </w:t>
      </w:r>
      <w:r w:rsidR="009C254A">
        <w:fldChar w:fldCharType="begin"/>
      </w:r>
      <w:r w:rsidR="009C46D8">
        <w:instrText xml:space="preserve"> ADDIN ZOTERO_ITEM CSL_CITATION {"citationID":"Wi6eD6Bx","properties":{"formattedCitation":"(Oliveira; Givisiez, 2015, p. 67)","plainCitation":"(Oliveira; Givisiez, 2015, p. 67)","noteIndex":0},"citationItems":[{"id":1204,"uris":["http://zotero.org/users/11809071/items/PXWJ9T59"],"itemData":{"id":1204,"type":"article-journal","container-title":"Terceiro Milênio: Revista Crítica de Sociologia e Política","ISSN":"2318-373X","issue":"1","journalAbbreviation":"Terceiro Milênio","language":"pt-br","note":"Campos dos Goytacazes","page":"65-92","title":"Mobilidade espacial, demografia e desigualdade no Norte Fluminense","volume":"4","author":[{"family":"Oliveira","given":"Elzira Lúcia","dropping-particle":"de"},{"family":"Givisiez","given":"Gustavo Henrique Naves"}],"issued":{"date-parts":[["2015"]]},"citation-key":"oliveira2015"},"locator":"p. 67","label":"page"}],"schema":"https://github.com/citation-style-language/schema/raw/master/csl-citation.json"} </w:instrText>
      </w:r>
      <w:r w:rsidR="009C254A">
        <w:fldChar w:fldCharType="separate"/>
      </w:r>
      <w:r w:rsidR="009C254A">
        <w:rPr>
          <w:noProof/>
        </w:rPr>
        <w:t>(Oliveira; Givisiez, 2015, p. 67)</w:t>
      </w:r>
      <w:r w:rsidR="009C254A">
        <w:fldChar w:fldCharType="end"/>
      </w:r>
    </w:p>
    <w:p w14:paraId="74DB71E4" w14:textId="1C696D5A" w:rsidR="00E454C7" w:rsidRDefault="00E454C7" w:rsidP="00E454C7">
      <w:pPr>
        <w:pStyle w:val="Corpodetexto"/>
      </w:pPr>
      <w:r>
        <w:t xml:space="preserve">Sobre a mesorregião Noroeste Fluminense, </w:t>
      </w:r>
      <w:r w:rsidR="003B7A3E">
        <w:t xml:space="preserve">Natal, Cruz e Medeiros Junior </w:t>
      </w:r>
      <w:r w:rsidR="008B6FC2">
        <w:fldChar w:fldCharType="begin"/>
      </w:r>
      <w:r w:rsidR="003B7A3E">
        <w:instrText xml:space="preserve"> ADDIN ZOTERO_ITEM CSL_CITATION {"citationID":"tw9Zoczo","properties":{"formattedCitation":"(2024)","plainCitation":"(2024)","noteIndex":0},"citationItems":[{"id":2767,"uris":["http://zotero.org/users/11809071/items/VVNVGZRN"],"itemData":{"id":2767,"type":"article-journal","abstract":"Esse espaço é apresentado recorrente e amplamente como sendo a região-problema por excelência do estado do Rio de Janeiro. Os indicadores econômicos e sociais, ruins, corroboram esse entendimento. Não fora bastante, como seu contingente populacional é pequeno, essa região possui poucos votos e consequentemente poucos votos/peso político nas lutas federativas – quer ao nível estadual quer ao nível federal. Não obstante, ela não expressa flagrantes “assimetrias” sociais – aliás, encontradiças largamente na sociedade brasileira. Ademais, o processo histórico de ocupação socioeconômico legou uma série de atividades econômicas (pequenas) que, de alguma forma, sustentam a renda e o emprego regionais – algumas inclusive com peso relativo importante na cena econômica estadual. Sendo assim, apesar dos muitos senões, defende-se que, dada a incapacidade endógena das suas forças internas catapultarem per se seu desenvolvimento, faz-se necessário o devido apoio institucional oriundo de escalas “superiores” para que essa região possa fazer frente ao histórico limbo em que historicamente se encontra. Defende-se ainda, concluindo, que essa região poderia vir a ser, inclusive, um caso paradigmático de desenvolvimento regional, posto que assentado em empreendimentos de pequeno porte e sem as referidas disparidades sociais que tanto definem e estruturam a sociedade brasileira.","container-title":"Cadernos do Desenvolvimento Fluminense","DOI":"10.12957/cdf.2024.86735","ISSN":"2317-6539","issue":"27","language":"pt","license":"Copyright (c) 2024 Professor, Professor, Professor","note":"Rio de Janeiro","source":"www.e-publicacoes.uerj.br","title":"A atual região noroeste fluminense: uma esfinge a ser decifrada?","title-short":"A atual região noroeste fluminense","URL":"https://www.e-publicacoes.uerj.br/cdf/article/view/86735","author":[{"family":"Natal","given":"Jorge Luis Alves"},{"family":"Cruz","given":"José Luis Vianna","dropping-particle":"da"},{"family":"Junior","given":"Helcio Medeiros"}],"accessed":{"date-parts":[["2025",10,17]]},"issued":{"date-parts":[["2024"]]},"citation-key":"natal2024"},"suppress-author":true}],"schema":"https://github.com/citation-style-language/schema/raw/master/csl-citation.json"} </w:instrText>
      </w:r>
      <w:r w:rsidR="008B6FC2">
        <w:fldChar w:fldCharType="separate"/>
      </w:r>
      <w:r w:rsidR="003B7A3E">
        <w:rPr>
          <w:noProof/>
        </w:rPr>
        <w:t>(2024)</w:t>
      </w:r>
      <w:r w:rsidR="008B6FC2">
        <w:fldChar w:fldCharType="end"/>
      </w:r>
      <w:r w:rsidR="003B7A3E">
        <w:t xml:space="preserve"> </w:t>
      </w:r>
      <w:r>
        <w:t>resumem bem a situação:</w:t>
      </w:r>
    </w:p>
    <w:p w14:paraId="21AD1B1C" w14:textId="523B6824" w:rsidR="00E454C7" w:rsidRPr="003F4C86" w:rsidRDefault="00E454C7" w:rsidP="00E454C7">
      <w:pPr>
        <w:pStyle w:val="Citao"/>
        <w:rPr>
          <w:b/>
          <w:bCs/>
        </w:rPr>
      </w:pPr>
      <w:r>
        <w:t>...t</w:t>
      </w:r>
      <w:r w:rsidRPr="00B819FD">
        <w:t>al unidade político-administrativa é proclamada como a área-problema por excelência do estado do Rio de Janeiro (ERJ). De forma diversa: os analistas que estudam esse lugar, quer na academia quer em nível governamental, o enunciam como se ele habitasse uma espécie de limbo marcado pela estagnação econômica, pela larga pobreza e pelo abandono no que trata das políticas públicas</w:t>
      </w:r>
      <w:r>
        <w:t xml:space="preserve"> </w:t>
      </w:r>
      <w:r w:rsidR="00E66B3B">
        <w:fldChar w:fldCharType="begin"/>
      </w:r>
      <w:r w:rsidR="00B0177E">
        <w:instrText xml:space="preserve"> ADDIN ZOTERO_ITEM CSL_CITATION {"citationID":"wGSP4EGj","properties":{"formattedCitation":"(Natal; Cruz; Junior, 2024, p. 296)","plainCitation":"(Natal; Cruz; Junior, 2024, p. 296)","noteIndex":0},"citationItems":[{"id":2767,"uris":["http://zotero.org/users/11809071/items/VVNVGZRN"],"itemData":{"id":2767,"type":"article-journal","abstract":"Esse espaço é apresentado recorrente e amplamente como sendo a região-problema por excelência do estado do Rio de Janeiro. Os indicadores econômicos e sociais, ruins, corroboram esse entendimento. Não fora bastante, como seu contingente populacional é pequeno, essa região possui poucos votos e consequentemente poucos votos/peso político nas lutas federativas – quer ao nível estadual quer ao nível federal. Não obstante, ela não expressa flagrantes “assimetrias” sociais – aliás, encontradiças largamente na sociedade brasileira. Ademais, o processo histórico de ocupação socioeconômico legou uma série de atividades econômicas (pequenas) que, de alguma forma, sustentam a renda e o emprego regionais – algumas inclusive com peso relativo importante na cena econômica estadual. Sendo assim, apesar dos muitos senões, defende-se que, dada a incapacidade endógena das suas forças internas catapultarem per se seu desenvolvimento, faz-se necessário o devido apoio institucional oriundo de escalas “superiores” para que essa região possa fazer frente ao histórico limbo em que historicamente se encontra. Defende-se ainda, concluindo, que essa região poderia vir a ser, inclusive, um caso paradigmático de desenvolvimento regional, posto que assentado em empreendimentos de pequeno porte e sem as referidas disparidades sociais que tanto definem e estruturam a sociedade brasileira.","container-title":"Cadernos do Desenvolvimento Fluminense","DOI":"10.12957/cdf.2024.86735","ISSN":"2317-6539","issue":"27","language":"pt","license":"Copyright (c) 2024 Professor, Professor, Professor","note":"Rio de Janeiro","source":"www.e-publicacoes.uerj.br","title":"A atual região noroeste fluminense: uma esfinge a ser decifrada?","title-short":"A atual região noroeste fluminense","URL":"https://www.e-publicacoes.uerj.br/cdf/article/view/86735","author":[{"family":"Natal","given":"Jorge Luis Alves"},{"family":"Cruz","given":"José Luis Vianna","dropping-particle":"da"},{"family":"Junior","given":"Helcio Medeiros"}],"accessed":{"date-parts":[["2025",10,17]]},"issued":{"date-parts":[["2024"]]},"citation-key":"natal2024"},"locator":"296","label":"page"}],"schema":"https://github.com/citation-style-language/schema/raw/master/csl-citation.json"} </w:instrText>
      </w:r>
      <w:r w:rsidR="00E66B3B">
        <w:fldChar w:fldCharType="separate"/>
      </w:r>
      <w:r w:rsidR="00B0177E">
        <w:rPr>
          <w:noProof/>
        </w:rPr>
        <w:t>(Natal; Cruz; Junior, 2024, p. 296)</w:t>
      </w:r>
      <w:r w:rsidR="00E66B3B">
        <w:fldChar w:fldCharType="end"/>
      </w:r>
    </w:p>
    <w:p w14:paraId="08F5CE94" w14:textId="77777777" w:rsidR="00E454C7" w:rsidRDefault="00E454C7" w:rsidP="00E454C7">
      <w:pPr>
        <w:pStyle w:val="Corpodetexto"/>
      </w:pPr>
      <w:r>
        <w:t xml:space="preserve">Já a mesorregião das Baixadas Litorâneas onde se localizam Rio das Ostras e Cabo Frio vive o melhor e o pior dos dois mundos. Por um lado, a região é tradicionalmente turística em função de suas belezas naturais e por outro, é influenciada pela economia petrolífera da Bacia de Campos com base Operacional em Macaé. </w:t>
      </w:r>
    </w:p>
    <w:p w14:paraId="5902A93B" w14:textId="1663ABF7" w:rsidR="00E454C7" w:rsidRPr="00445F40" w:rsidRDefault="00E454C7" w:rsidP="00E454C7">
      <w:pPr>
        <w:pStyle w:val="Citao"/>
      </w:pPr>
      <w:r w:rsidRPr="00445F40">
        <w:t>O município de Rio das Ostras se beneficia dessas atividades porque há um</w:t>
      </w:r>
      <w:r>
        <w:t xml:space="preserve"> </w:t>
      </w:r>
      <w:r w:rsidRPr="00445F40">
        <w:t>transbordamento das empresas e de suas atividades ligadas à exploração e à produção de petróleo e gás para, especialmente, a região da Zona Especial de Negócios (ZEN), localizada na fronteira com Macaé, ao lado do Parque de Tubos da Petrobras</w:t>
      </w:r>
      <w:r w:rsidR="009C46D8">
        <w:t xml:space="preserve"> </w:t>
      </w:r>
      <w:r w:rsidR="009C46D8">
        <w:fldChar w:fldCharType="begin"/>
      </w:r>
      <w:r w:rsidR="009C46D8">
        <w:instrText xml:space="preserve"> ADDIN ZOTERO_ITEM CSL_CITATION {"citationID":"TJv2jycd","properties":{"formattedCitation":"(Neto {\\i{}et al.}, 2018, p. 303)","plainCitation":"(Neto et al., 2018, p. 303)","noteIndex":0},"citationItems":[{"id":2770,"uris":["http://zotero.org/users/11809071/items/SUPGIG5T"],"itemData":{"id":2770,"type":"article-journal","abstract":"Na faixa do território do Estado do Rio de Janeiro, denominada de Circuito Espacial do Petróleo e dos Royalties (CEP), tem se observado uma complexa dinâmica de trocas e movimentações influenciadas pela indústria do petróleo e por suas rendas que têm provocado impactos socioeconômicos nos municí­pios a partir dos anos 2000. Em função da necessidade de se compreender de que forma e em que intensidade se dão esses impactos, tem-se como objetivo analisar esses impactos sobre a dinâmica do emprego formal, sobre a migração e os movimentos pendulares, sobre a arrecadação e sobre o processo de desenvolvimento socioeconômico nos municí­pios do CEP. O trabalhoÂ desenvolvido tem caráter exploratório e descritivo, onde se fez necessária uma ampla revisão bibliográfica em livros, publicações técnicas especializadas e artigos de eventos e de periódicos, assim como o levantamento e análise de um amplo conjunto de dados de fontes secundárias. Os resultados apontam que os impactos são positivos para o crescimento do emprego formal, com reflexos na migração e no movimento pendular, e da arrecadação dos municí­pios. No entanto, o crescimento do emprego e das rendas não consegue, necessariamente, traduzir-se em desenvolvimento. Somente os municí­pios que sediam as atividades do petróleo conseguem apresentar os melhores IDH-M.","container-title":"Revista Brasileira de Gestão e Desenvolvimento Regional","ISSN":"1809-239X","issue":"3","language":"pt","license":"Copyright (c) 2018 Revista Brasileira de Gestão e Desenvolvimento Regional","note":"Taubaté","source":"www.rbgdr.net","title":"Impactos socioeconômicos das atividades do petróleo e de suas rendas nos municípios do circuito espacial do petróleo no Estado do Rio de Janeiro","URL":"https://www.rbgdr.net/revista/index.php/rbgdr/article/view/3815","volume":"14","author":[{"family":"Neto","given":"Romeu e Silva"},{"family":"Oliveira","given":"Floriano Godinho","dropping-particle":"de"},{"family":"Júnior","given":"Luiz de Pinedo Quinto"},{"family":"Filho","given":"Hélio Gomes"}],"accessed":{"date-parts":[["2025",10,17]]},"issued":{"date-parts":[["2018",6,15]]},"citation-key":"neto2018"},"locator":"p. 303","label":"page"}],"schema":"https://github.com/citation-style-language/schema/raw/master/csl-citation.json"} </w:instrText>
      </w:r>
      <w:r w:rsidR="009C46D8">
        <w:fldChar w:fldCharType="separate"/>
      </w:r>
      <w:r w:rsidR="009C46D8" w:rsidRPr="009C46D8">
        <w:rPr>
          <w:rFonts w:cs="Times New Roman"/>
        </w:rPr>
        <w:t xml:space="preserve">(Neto </w:t>
      </w:r>
      <w:r w:rsidR="009C46D8" w:rsidRPr="009C46D8">
        <w:rPr>
          <w:rFonts w:cs="Times New Roman"/>
          <w:i/>
          <w:iCs w:val="0"/>
        </w:rPr>
        <w:t>et al.</w:t>
      </w:r>
      <w:r w:rsidR="009C46D8" w:rsidRPr="009C46D8">
        <w:rPr>
          <w:rFonts w:cs="Times New Roman"/>
        </w:rPr>
        <w:t>, 2018, p. 303)</w:t>
      </w:r>
      <w:r w:rsidR="009C46D8">
        <w:fldChar w:fldCharType="end"/>
      </w:r>
      <w:r w:rsidRPr="00445F40">
        <w:t>.</w:t>
      </w:r>
    </w:p>
    <w:p w14:paraId="49B82160" w14:textId="7E6D6670" w:rsidR="00E454C7" w:rsidRDefault="00E454C7" w:rsidP="00E454C7">
      <w:pPr>
        <w:pStyle w:val="Corpodetexto"/>
      </w:pPr>
      <w:r>
        <w:t xml:space="preserve">Nesse contexto, o objetivo deste artigo </w:t>
      </w:r>
      <w:r w:rsidR="5BE41C12">
        <w:t>foi</w:t>
      </w:r>
      <w:r>
        <w:t xml:space="preserve"> analisar a Estrutura produtiva das Regiões Intermediárias de Campos dos Goytacazes, Itaperuna, Santo Antônio de Pádua, Macaé-Rio das Ostras e Cabo Frio, </w:t>
      </w:r>
      <w:r w:rsidR="0C6B31A6">
        <w:t>entre</w:t>
      </w:r>
      <w:r w:rsidR="713E516E">
        <w:t xml:space="preserve"> </w:t>
      </w:r>
      <w:r w:rsidR="291FA24A">
        <w:t xml:space="preserve">2002 e </w:t>
      </w:r>
      <w:r w:rsidR="6699FA3A">
        <w:t>2021.</w:t>
      </w:r>
      <w:r>
        <w:t xml:space="preserve"> </w:t>
      </w:r>
      <w:r w:rsidRPr="0055024C">
        <w:t xml:space="preserve">A estrutura produtiva </w:t>
      </w:r>
      <w:r w:rsidR="5B405D0A">
        <w:t>foi analisada</w:t>
      </w:r>
      <w:r w:rsidRPr="0055024C">
        <w:t xml:space="preserve"> por meio dos dados de trabalho formal da Relação Anual de Informações Sociais – RAIS</w:t>
      </w:r>
      <w:r w:rsidR="72ACAEEB">
        <w:t xml:space="preserve"> e </w:t>
      </w:r>
      <w:r w:rsidR="250A3B6A">
        <w:t xml:space="preserve">algumas </w:t>
      </w:r>
      <w:r w:rsidR="1A9A51D5">
        <w:t xml:space="preserve">análises demográficas </w:t>
      </w:r>
      <w:r w:rsidR="3C2E21E6">
        <w:t xml:space="preserve">por meio dos dados </w:t>
      </w:r>
      <w:r w:rsidR="374E2ADF">
        <w:t xml:space="preserve">dos Censos </w:t>
      </w:r>
      <w:r w:rsidR="46671792">
        <w:t xml:space="preserve">Demográficos de </w:t>
      </w:r>
      <w:r w:rsidR="27F9A197">
        <w:t xml:space="preserve">2000, </w:t>
      </w:r>
      <w:r w:rsidR="7614E55C">
        <w:t xml:space="preserve">2010 e </w:t>
      </w:r>
      <w:r w:rsidR="46DD56CD">
        <w:t>2022.</w:t>
      </w:r>
      <w:r w:rsidR="64997E27">
        <w:t xml:space="preserve"> </w:t>
      </w:r>
      <w:r w:rsidR="6FAEF4D1">
        <w:t>Objetivamente</w:t>
      </w:r>
      <w:r w:rsidR="769DC2A6">
        <w:t>, em termos</w:t>
      </w:r>
      <w:r w:rsidR="4A8B3174">
        <w:t xml:space="preserve"> específicos </w:t>
      </w:r>
      <w:r w:rsidR="5A840525">
        <w:t xml:space="preserve">foi analisado </w:t>
      </w:r>
      <w:r w:rsidR="41CC7069">
        <w:t xml:space="preserve">foram </w:t>
      </w:r>
      <w:r w:rsidR="5D9AC295">
        <w:t>realizadas</w:t>
      </w:r>
      <w:r w:rsidR="4662BD15">
        <w:t xml:space="preserve"> </w:t>
      </w:r>
      <w:r w:rsidR="74A79A13">
        <w:t xml:space="preserve">as seguintes </w:t>
      </w:r>
      <w:r w:rsidR="46862A64">
        <w:t>análises</w:t>
      </w:r>
      <w:r w:rsidR="504E557F">
        <w:t xml:space="preserve">: </w:t>
      </w:r>
      <w:r w:rsidR="69509095">
        <w:t xml:space="preserve">i) </w:t>
      </w:r>
      <w:r w:rsidR="01AE7747">
        <w:t xml:space="preserve">variação do </w:t>
      </w:r>
      <w:r w:rsidR="4273AB1F">
        <w:t>total de</w:t>
      </w:r>
      <w:r w:rsidR="6E365A22">
        <w:t xml:space="preserve"> </w:t>
      </w:r>
      <w:r w:rsidR="01FD3F97">
        <w:t xml:space="preserve">estabelecimentos </w:t>
      </w:r>
      <w:r w:rsidR="50393709">
        <w:t xml:space="preserve">e vínculos ativos do mercado de </w:t>
      </w:r>
      <w:r w:rsidR="0ADCC64E">
        <w:t>trabalho formal</w:t>
      </w:r>
      <w:r w:rsidR="2A02518B">
        <w:t xml:space="preserve"> </w:t>
      </w:r>
      <w:r w:rsidR="526331AB">
        <w:t>entre 2002</w:t>
      </w:r>
      <w:r w:rsidR="0309489E">
        <w:t xml:space="preserve"> e </w:t>
      </w:r>
      <w:r w:rsidR="4731422A">
        <w:t>2021</w:t>
      </w:r>
      <w:r w:rsidR="6A2B48E7">
        <w:t xml:space="preserve">; </w:t>
      </w:r>
      <w:proofErr w:type="spellStart"/>
      <w:r w:rsidR="1215E087">
        <w:t>ii</w:t>
      </w:r>
      <w:proofErr w:type="spellEnd"/>
      <w:r w:rsidR="1215E087">
        <w:t xml:space="preserve">) </w:t>
      </w:r>
      <w:r w:rsidR="383B2802">
        <w:t xml:space="preserve">variação </w:t>
      </w:r>
      <w:r w:rsidR="05D406A7">
        <w:t xml:space="preserve">do </w:t>
      </w:r>
      <w:r w:rsidR="6D5D1F2D">
        <w:t xml:space="preserve">tamanho médio dos </w:t>
      </w:r>
      <w:r w:rsidR="24C791B0">
        <w:t>estabelecimentos</w:t>
      </w:r>
      <w:r w:rsidR="4731422A">
        <w:t xml:space="preserve"> </w:t>
      </w:r>
      <w:r w:rsidR="2A74C309">
        <w:t>entre 2002</w:t>
      </w:r>
      <w:r w:rsidR="51910877">
        <w:t xml:space="preserve"> e 2021</w:t>
      </w:r>
      <w:r w:rsidR="24C791B0">
        <w:t xml:space="preserve">; </w:t>
      </w:r>
      <w:proofErr w:type="spellStart"/>
      <w:r w:rsidR="1C923325">
        <w:t>iii</w:t>
      </w:r>
      <w:proofErr w:type="spellEnd"/>
      <w:r w:rsidR="1C923325">
        <w:t xml:space="preserve">) </w:t>
      </w:r>
      <w:r w:rsidR="26F5E4F6">
        <w:lastRenderedPageBreak/>
        <w:t xml:space="preserve">decomposição do </w:t>
      </w:r>
      <w:r w:rsidR="6E9980C9">
        <w:t>efeito</w:t>
      </w:r>
      <w:r w:rsidR="35E135A7">
        <w:t xml:space="preserve"> tamanho médio e </w:t>
      </w:r>
      <w:r w:rsidR="332E6BA1">
        <w:t xml:space="preserve">quantidade entre 2002 e </w:t>
      </w:r>
      <w:r w:rsidR="3BA00FC5">
        <w:t>2021</w:t>
      </w:r>
      <w:r w:rsidR="6E9980C9">
        <w:t xml:space="preserve">; </w:t>
      </w:r>
      <w:proofErr w:type="spellStart"/>
      <w:r w:rsidR="72DADBE4">
        <w:t>iv</w:t>
      </w:r>
      <w:proofErr w:type="spellEnd"/>
      <w:r w:rsidR="3F5B415B">
        <w:t xml:space="preserve">) </w:t>
      </w:r>
      <w:r w:rsidR="66DEF04A">
        <w:t xml:space="preserve">decomposição </w:t>
      </w:r>
      <w:r w:rsidR="1803236E">
        <w:t xml:space="preserve">do efeito </w:t>
      </w:r>
      <w:r w:rsidR="6CC0A94C">
        <w:t xml:space="preserve">tamanho </w:t>
      </w:r>
      <w:r w:rsidR="07AAA0FF">
        <w:t xml:space="preserve">médio </w:t>
      </w:r>
      <w:r w:rsidR="344DC0CD">
        <w:t xml:space="preserve">em efeito </w:t>
      </w:r>
      <w:r w:rsidR="44B4FB96">
        <w:t xml:space="preserve">escala e </w:t>
      </w:r>
      <w:r w:rsidR="08E801EF">
        <w:t>composição entre</w:t>
      </w:r>
      <w:r w:rsidR="478A0E32">
        <w:t xml:space="preserve"> 2002</w:t>
      </w:r>
      <w:r w:rsidR="1D3F53AF">
        <w:t xml:space="preserve"> e </w:t>
      </w:r>
      <w:r w:rsidR="2CB1F53D">
        <w:t xml:space="preserve">2021. </w:t>
      </w:r>
    </w:p>
    <w:p w14:paraId="5D73230E" w14:textId="7C0F83F8" w:rsidR="00C648D0" w:rsidRDefault="00E454C7" w:rsidP="00E454C7">
      <w:pPr>
        <w:pStyle w:val="Corpodetexto"/>
      </w:pPr>
      <w:r>
        <w:t>Além des</w:t>
      </w:r>
      <w:r w:rsidR="00061854">
        <w:t>t</w:t>
      </w:r>
      <w:r>
        <w:t xml:space="preserve">a introdução, este artigo se estrutura </w:t>
      </w:r>
      <w:r w:rsidR="00C648D0">
        <w:t xml:space="preserve">em </w:t>
      </w:r>
      <w:r w:rsidR="00061854">
        <w:t>cinco</w:t>
      </w:r>
      <w:r w:rsidR="00C648D0">
        <w:t xml:space="preserve"> seções. P</w:t>
      </w:r>
      <w:r w:rsidR="00C648D0" w:rsidRPr="00C648D0">
        <w:t xml:space="preserve">ara </w:t>
      </w:r>
      <w:r w:rsidR="00C648D0">
        <w:t>apresentar</w:t>
      </w:r>
      <w:r w:rsidR="00C648D0" w:rsidRPr="00C648D0">
        <w:t xml:space="preserve"> o espaço delimitado como área de estudo deste artigo, </w:t>
      </w:r>
      <w:r w:rsidR="00061854">
        <w:t>a</w:t>
      </w:r>
      <w:r w:rsidR="00C648D0">
        <w:t xml:space="preserve"> segunda seção </w:t>
      </w:r>
      <w:r w:rsidR="00C648D0" w:rsidRPr="00C648D0">
        <w:t>apresenta uma breve revisão sobre as diversas configurações regionais até a delimitação das Regiões Intermediárias e Imediatas</w:t>
      </w:r>
      <w:r w:rsidR="00C648D0">
        <w:t>, considerando questões relevante sobre a regionalização das regiões brasileiras ao longo das últimas quatro décadas do século passado. Na terceira seção são apresentadas análise descritivas sobre a população da área de estudo delimita</w:t>
      </w:r>
      <w:r w:rsidR="00061854">
        <w:t>da</w:t>
      </w:r>
      <w:r w:rsidR="00C648D0">
        <w:t>. Na quarta seção ...</w:t>
      </w:r>
    </w:p>
    <w:p w14:paraId="16481C47" w14:textId="462B07C4" w:rsidR="00E454C7" w:rsidRDefault="00C648D0" w:rsidP="00061854">
      <w:pPr>
        <w:pStyle w:val="Ttulo1"/>
      </w:pPr>
      <w:bookmarkStart w:id="3" w:name="_Toc211615599"/>
      <w:r>
        <w:t>Considerações sobre a</w:t>
      </w:r>
      <w:r w:rsidR="00E454C7">
        <w:t xml:space="preserve"> área de estudo</w:t>
      </w:r>
      <w:bookmarkEnd w:id="3"/>
    </w:p>
    <w:p w14:paraId="0F805891" w14:textId="22C80CC3" w:rsidR="00C774C8" w:rsidRPr="0009002C" w:rsidRDefault="00C774C8" w:rsidP="0009002C">
      <w:pPr>
        <w:pStyle w:val="Corpodetexto"/>
      </w:pPr>
      <w:r w:rsidRPr="0009002C">
        <w:t>A divisão regional de um território</w:t>
      </w:r>
      <w:r w:rsidR="004C49F9" w:rsidRPr="0009002C">
        <w:t xml:space="preserve">, </w:t>
      </w:r>
      <w:r w:rsidR="003629C1">
        <w:t xml:space="preserve">está </w:t>
      </w:r>
      <w:r w:rsidR="00936071" w:rsidRPr="0009002C">
        <w:t>longe de ser um conceito estático</w:t>
      </w:r>
      <w:r w:rsidR="003629C1">
        <w:t xml:space="preserve"> </w:t>
      </w:r>
      <w:r w:rsidR="00C657ED" w:rsidRPr="0009002C">
        <w:t>como argumentou Milton Santos</w:t>
      </w:r>
      <w:r w:rsidR="00FD01A3" w:rsidRPr="0009002C">
        <w:t>.</w:t>
      </w:r>
    </w:p>
    <w:p w14:paraId="55B306F7" w14:textId="4EC09D3D" w:rsidR="00A82C34" w:rsidRDefault="00C657ED" w:rsidP="00C657ED">
      <w:pPr>
        <w:pStyle w:val="Citao"/>
      </w:pPr>
      <w:bookmarkStart w:id="4" w:name="_Hlk211864983"/>
      <w:r>
        <w:t xml:space="preserve">Acostumáramo-nos a uma ideia de região como um subespaço longamente </w:t>
      </w:r>
      <w:bookmarkEnd w:id="4"/>
      <w:r>
        <w:t>elaborado, uma construção estável. Mas o que faz a região não é a longevidade do edifício, mas a coerência funcional que a distingue das outras entidades, vizinhas ou não. O fato de ter vida curta não muda a definição do recorte territorial</w:t>
      </w:r>
      <w:r w:rsidR="00FD01A3">
        <w:t xml:space="preserve"> </w:t>
      </w:r>
      <w:r w:rsidR="00444B9A">
        <w:fldChar w:fldCharType="begin"/>
      </w:r>
      <w:r w:rsidR="00AD21D7">
        <w:instrText xml:space="preserve"> ADDIN ZOTERO_ITEM CSL_CITATION {"citationID":"dQdf9SHZ","properties":{"formattedCitation":"(Santos, 2006)","plainCitation":"(Santos, 2006)","noteIndex":0},"citationItems":[{"id":2653,"uris":["http://zotero.org/users/11809071/items/VMGM5V4S"],"itemData":{"id":2653,"type":"book","collection-number":"1","collection-title":"Coleção Mílton Santos","edition":"4. edição","event-place":"São Paulo, SP","ISBN":"978-85-314-0713-0","language":"pt-br","number-of-pages":"419","publisher":"EDUSP","publisher-place":"São Paulo, SP","source":"K10plus ISBN","title":"A natureza do espaço: técnica e tempo, razão e emoção","title-short":"A natureza do espaço","URL":"https://sites.usp.br/fabulacoesdafamiliabrasileira/wp-content/uploads/sites/1073/2022/08/A-natureza-do-Espaco.pdf","author":[{"family":"Santos","given":"Milton"}],"accessed":{"date-parts":[["2025",8,25]]},"issued":{"date-parts":[["2006"]]},"citation-key":"santos2006"}}],"schema":"https://github.com/citation-style-language/schema/raw/master/csl-citation.json"} </w:instrText>
      </w:r>
      <w:r w:rsidR="00444B9A">
        <w:fldChar w:fldCharType="separate"/>
      </w:r>
      <w:r w:rsidR="00AD21D7">
        <w:rPr>
          <w:noProof/>
        </w:rPr>
        <w:t>(Santos, 2006)</w:t>
      </w:r>
      <w:r w:rsidR="00444B9A">
        <w:fldChar w:fldCharType="end"/>
      </w:r>
    </w:p>
    <w:p w14:paraId="344A4748" w14:textId="0591333B" w:rsidR="00FD01A3" w:rsidRPr="0009002C" w:rsidRDefault="00FD01A3" w:rsidP="0009002C">
      <w:pPr>
        <w:pStyle w:val="Corpodetexto"/>
      </w:pPr>
      <w:r w:rsidRPr="0009002C">
        <w:t>Partindo desse princípio, que descarta a imobilidade da região como um recorte territorial absoluto, o IBGE, ao longo do tempo</w:t>
      </w:r>
      <w:r w:rsidR="006A7656" w:rsidRPr="0009002C">
        <w:t>, empreendeu esforços para discutir e elaborar conceitos e métodos acerca da Divisão Regional do Brasil, visando, principalmente, ampliar o conhecimento científico sobre “um território em contínua transformação”</w:t>
      </w:r>
      <w:r w:rsidR="00466967">
        <w:t xml:space="preserve"> </w:t>
      </w:r>
      <w:r w:rsidR="00466967">
        <w:fldChar w:fldCharType="begin"/>
      </w:r>
      <w:r w:rsidR="00BA156F">
        <w:instrText xml:space="preserve"> ADDIN ZOTERO_ITEM CSL_CITATION {"citationID":"CwSjvCuF","properties":{"formattedCitation":"(IBGE, 2017, p. 60)","plainCitation":"(IBGE, 2017, p. 60)","noteIndex":0},"citationItems":[{"id":2815,"uris":["http://zotero.org/users/11809071/items/YU3WZHDY"],"itemData":{"id":2815,"type":"book","event-place":"Rio de Janeiro","ISBN":"978-85-240-4418-2","language":"pt-BR","number-of-pages":"83","publisher":"IBGE, Coordenação de Geografia","publisher-place":"Rio de Janeiro","source":"Câmara Brasileira do Livro ISBN","title":"Divisão regional do Brasil em regiões geográficas imediatas e regiões geográficas intermediárias: 2017","URL":"https://biblioteca.ibge.gov.br/visualizacao/livros/liv101728.pdf","author":[{"literal":"IBGE"}],"accessed":{"date-parts":[["2025",10,21]]},"issued":{"date-parts":[["2017"]]},"citation-key":"ibge2017b"},"locator":"60","label":"page"}],"schema":"https://github.com/citation-style-language/schema/raw/master/csl-citation.json"} </w:instrText>
      </w:r>
      <w:r w:rsidR="00466967">
        <w:fldChar w:fldCharType="separate"/>
      </w:r>
      <w:r w:rsidR="00BA156F">
        <w:rPr>
          <w:noProof/>
        </w:rPr>
        <w:t>(IBGE, 2017, p. 60)</w:t>
      </w:r>
      <w:r w:rsidR="00466967">
        <w:fldChar w:fldCharType="end"/>
      </w:r>
      <w:r w:rsidR="00466967">
        <w:t xml:space="preserve"> </w:t>
      </w:r>
      <w:r w:rsidR="006A7656" w:rsidRPr="0009002C">
        <w:t xml:space="preserve">em diferentes contextos históricos </w:t>
      </w:r>
      <w:r w:rsidR="00466967">
        <w:fldChar w:fldCharType="begin"/>
      </w:r>
      <w:r w:rsidR="00BA156F">
        <w:instrText xml:space="preserve"> ADDIN ZOTERO_ITEM CSL_CITATION {"citationID":"q0xxET48","properties":{"formattedCitation":"(IBGE, 2017)","plainCitation":"(IBGE, 2017)","noteIndex":0},"citationItems":[{"id":2815,"uris":["http://zotero.org/users/11809071/items/YU3WZHDY"],"itemData":{"id":2815,"type":"book","event-place":"Rio de Janeiro","ISBN":"978-85-240-4418-2","language":"pt-BR","number-of-pages":"83","publisher":"IBGE, Coordenação de Geografia","publisher-place":"Rio de Janeiro","source":"Câmara Brasileira do Livro ISBN","title":"Divisão regional do Brasil em regiões geográficas imediatas e regiões geográficas intermediárias: 2017","URL":"https://biblioteca.ibge.gov.br/visualizacao/livros/liv101728.pdf","author":[{"literal":"IBGE"}],"accessed":{"date-parts":[["2025",10,21]]},"issued":{"date-parts":[["2017"]]},"citation-key":"ibge2017b"}}],"schema":"https://github.com/citation-style-language/schema/raw/master/csl-citation.json"} </w:instrText>
      </w:r>
      <w:r w:rsidR="00466967">
        <w:fldChar w:fldCharType="separate"/>
      </w:r>
      <w:r w:rsidR="00BA156F">
        <w:rPr>
          <w:noProof/>
        </w:rPr>
        <w:t>(IBGE, 2017)</w:t>
      </w:r>
      <w:r w:rsidR="00466967">
        <w:fldChar w:fldCharType="end"/>
      </w:r>
      <w:r w:rsidR="000057A2">
        <w:t>.</w:t>
      </w:r>
    </w:p>
    <w:p w14:paraId="79105B28" w14:textId="5AEFDE9F" w:rsidR="0009002C" w:rsidRPr="0009002C" w:rsidRDefault="005F5461" w:rsidP="0009002C">
      <w:pPr>
        <w:pStyle w:val="Corpodetexto"/>
      </w:pPr>
      <w:r w:rsidRPr="0009002C">
        <w:t xml:space="preserve">Assim, desde as </w:t>
      </w:r>
      <w:r w:rsidR="00052A5A" w:rsidRPr="0009002C">
        <w:t>Zonas</w:t>
      </w:r>
      <w:r w:rsidRPr="0009002C">
        <w:t xml:space="preserve"> </w:t>
      </w:r>
      <w:r w:rsidR="00052A5A" w:rsidRPr="0009002C">
        <w:t>F</w:t>
      </w:r>
      <w:r w:rsidRPr="0009002C">
        <w:t>isiográficas de 194</w:t>
      </w:r>
      <w:r w:rsidR="00052A5A" w:rsidRPr="0009002C">
        <w:t>2</w:t>
      </w:r>
      <w:r w:rsidRPr="0009002C">
        <w:t xml:space="preserve">, </w:t>
      </w:r>
      <w:r w:rsidR="00052A5A" w:rsidRPr="0009002C">
        <w:t>propostas pelo Conselho Nacional de Geografia, que segundo o pensamento à época era o recorte mais próximo do que “</w:t>
      </w:r>
      <w:bookmarkStart w:id="5" w:name="_Hlk211866468"/>
      <w:r w:rsidR="00052A5A" w:rsidRPr="0009002C">
        <w:t>eram consideradas as características geográficas dominantes</w:t>
      </w:r>
      <w:bookmarkEnd w:id="5"/>
      <w:r w:rsidR="00052A5A" w:rsidRPr="0009002C">
        <w:t>”</w:t>
      </w:r>
      <w:r w:rsidR="00BC3504">
        <w:t xml:space="preserve"> </w:t>
      </w:r>
      <w:r w:rsidR="00BC3504">
        <w:fldChar w:fldCharType="begin"/>
      </w:r>
      <w:r w:rsidR="00BA156F">
        <w:instrText xml:space="preserve"> ADDIN ZOTERO_ITEM CSL_CITATION {"citationID":"2KUdcnHS","properties":{"formattedCitation":"(IBGE, 1942, 2017, p. 61)","plainCitation":"(IBGE, 1942, 2017, p. 61)","noteIndex":0},"citationItems":[{"id":2812,"uris":["http://zotero.org/users/11809071/items/Z35R4T5H"],"itemData":{"id":2812,"type":"bill","abstract":"Fixa o quadro de divisão regional do Brasil, para fins práticos, promove a sua adoção pela Estatística Brasileira e dá outras providências","authority":"Assembléia Geral","container-title":"Revista Brasileira de Geografia","language":"pt-br","note":"Brasília, DF","number":"Resolução nº 72, de 14 de julho de 1941","page":"217-218","section":"1","title":"Conselho Nacional de Geografia","URL":"https://biblioteca.ibge.gov.br/visualizacao/periodicos/115/rbg_1942_v4_n1.pdf","volume":"4","author":[{"literal":"IBGE"}],"accessed":{"date-parts":[["2025",10,20]]},"issued":{"date-parts":[["1942"]]},"citation-key":"ibge1942"}},{"id":2815,"uris":["http://zotero.org/users/11809071/items/YU3WZHDY"],"itemData":{"id":2815,"type":"book","event-place":"Rio de Janeiro","ISBN":"978-85-240-4418-2","language":"pt-BR","number-of-pages":"83","publisher":"IBGE, Coordenação de Geografia","publisher-place":"Rio de Janeiro","source":"Câmara Brasileira do Livro ISBN","title":"Divisão regional do Brasil em regiões geográficas imediatas e regiões geográficas intermediárias: 2017","URL":"https://biblioteca.ibge.gov.br/visualizacao/livros/liv101728.pdf","author":[{"literal":"IBGE"}],"accessed":{"date-parts":[["2025",10,21]]},"issued":{"date-parts":[["2017"]]},"citation-key":"ibge2017b"},"locator":"61","label":"page"}],"schema":"https://github.com/citation-style-language/schema/raw/master/csl-citation.json"} </w:instrText>
      </w:r>
      <w:r w:rsidR="00BC3504">
        <w:fldChar w:fldCharType="separate"/>
      </w:r>
      <w:r w:rsidR="00BA156F">
        <w:rPr>
          <w:noProof/>
        </w:rPr>
        <w:t>(IBGE, 1942, 2017, p. 61)</w:t>
      </w:r>
      <w:r w:rsidR="00BC3504">
        <w:fldChar w:fldCharType="end"/>
      </w:r>
      <w:r w:rsidR="00052A5A" w:rsidRPr="0009002C">
        <w:t>, evoluíram para as Zonas Fisiográficas de 1960</w:t>
      </w:r>
      <w:r w:rsidR="0009002C" w:rsidRPr="0009002C">
        <w:t>. Essa atualização visava incorporar não apenas mudanças no mapa político do país como, “...principalmente, os processos interligados de interiorização, de urbanização e de integração do território brasileiro que, ao longo do tempo, iriam provocar novas formas de analisar a Divisão Regional do Brasil</w:t>
      </w:r>
      <w:r w:rsidR="00E445EA">
        <w:t xml:space="preserve"> </w:t>
      </w:r>
      <w:r w:rsidR="00E87939">
        <w:fldChar w:fldCharType="begin"/>
      </w:r>
      <w:r w:rsidR="00BA156F">
        <w:instrText xml:space="preserve"> ADDIN ZOTERO_ITEM CSL_CITATION {"citationID":"60tBkXi5","properties":{"formattedCitation":"(IBGE, 2017, p. 64)","plainCitation":"(IBGE, 2017, p. 64)","noteIndex":0},"citationItems":[{"id":2815,"uris":["http://zotero.org/users/11809071/items/YU3WZHDY"],"itemData":{"id":2815,"type":"book","event-place":"Rio de Janeiro","ISBN":"978-85-240-4418-2","language":"pt-BR","number-of-pages":"83","publisher":"IBGE, Coordenação de Geografia","publisher-place":"Rio de Janeiro","source":"Câmara Brasileira do Livro ISBN","title":"Divisão regional do Brasil em regiões geográficas imediatas e regiões geográficas intermediárias: 2017","URL":"https://biblioteca.ibge.gov.br/visualizacao/livros/liv101728.pdf","author":[{"literal":"IBGE"}],"accessed":{"date-parts":[["2025",10,21]]},"issued":{"date-parts":[["2017"]]},"citation-key":"ibge2017b"},"locator":"64","label":"page"}],"schema":"https://github.com/citation-style-language/schema/raw/master/csl-citation.json"} </w:instrText>
      </w:r>
      <w:r w:rsidR="00E87939">
        <w:fldChar w:fldCharType="separate"/>
      </w:r>
      <w:r w:rsidR="00BA156F">
        <w:rPr>
          <w:noProof/>
        </w:rPr>
        <w:t>(IBGE, 2017, p. 64)</w:t>
      </w:r>
      <w:r w:rsidR="00E87939">
        <w:fldChar w:fldCharType="end"/>
      </w:r>
      <w:r w:rsidR="0009002C" w:rsidRPr="0009002C">
        <w:t>.</w:t>
      </w:r>
      <w:r w:rsidR="0009002C">
        <w:t xml:space="preserve"> Adicionam-se as </w:t>
      </w:r>
      <w:r w:rsidR="001D7187">
        <w:t>Microrregiões homogêneas</w:t>
      </w:r>
      <w:r w:rsidR="0009002C">
        <w:t xml:space="preserve"> de 1968, que </w:t>
      </w:r>
    </w:p>
    <w:p w14:paraId="76855CD8" w14:textId="6E2AC654" w:rsidR="005F5461" w:rsidRPr="0009002C" w:rsidRDefault="0009002C" w:rsidP="00BA50AD">
      <w:pPr>
        <w:pStyle w:val="Citao"/>
      </w:pPr>
      <w:r>
        <w:t>...</w:t>
      </w:r>
      <w:r w:rsidRPr="0009002C">
        <w:t>introduz critérios diversificados, reveladores da importância crescente da articulação econômica e da estrutura urbana na compreensão do processo de organização do espaço</w:t>
      </w:r>
      <w:r w:rsidR="00BA50AD">
        <w:t xml:space="preserve"> </w:t>
      </w:r>
      <w:r w:rsidRPr="0009002C">
        <w:t>brasileiro estruturados com informações do Censo Demográfico 1960 e das estatísticas de produção agrícola e industrial de 1965 produzidas pelo IBGE</w:t>
      </w:r>
      <w:r w:rsidR="00C04009">
        <w:t xml:space="preserve"> </w:t>
      </w:r>
      <w:r w:rsidR="00C04009">
        <w:fldChar w:fldCharType="begin"/>
      </w:r>
      <w:r w:rsidR="00BA156F">
        <w:instrText xml:space="preserve"> ADDIN ZOTERO_ITEM CSL_CITATION {"citationID":"7mHPQQ3Q","properties":{"formattedCitation":"(IBGE, 2017, p. 69)","plainCitation":"(IBGE, 2017, p. 69)","noteIndex":0},"citationItems":[{"id":2815,"uris":["http://zotero.org/users/11809071/items/YU3WZHDY"],"itemData":{"id":2815,"type":"book","event-place":"Rio de Janeiro","ISBN":"978-85-240-4418-2","language":"pt-BR","number-of-pages":"83","publisher":"IBGE, Coordenação de Geografia","publisher-place":"Rio de Janeiro","source":"Câmara Brasileira do Livro ISBN","title":"Divisão regional do Brasil em regiões geográficas imediatas e regiões geográficas intermediárias: 2017","URL":"https://biblioteca.ibge.gov.br/visualizacao/livros/liv101728.pdf","author":[{"literal":"IBGE"}],"accessed":{"date-parts":[["2025",10,21]]},"issued":{"date-parts":[["2017"]]},"citation-key":"ibge2017b"},"locator":"69","label":"page"}],"schema":"https://github.com/citation-style-language/schema/raw/master/csl-citation.json"} </w:instrText>
      </w:r>
      <w:r w:rsidR="00C04009">
        <w:fldChar w:fldCharType="separate"/>
      </w:r>
      <w:r w:rsidR="00BA156F">
        <w:rPr>
          <w:noProof/>
        </w:rPr>
        <w:t>(IBGE, 2017, p. 69)</w:t>
      </w:r>
      <w:r w:rsidR="00C04009">
        <w:fldChar w:fldCharType="end"/>
      </w:r>
      <w:r w:rsidR="00156CE4">
        <w:t>.</w:t>
      </w:r>
    </w:p>
    <w:p w14:paraId="2522D71E" w14:textId="28DC724B" w:rsidR="006C433A" w:rsidRDefault="006C433A" w:rsidP="001D7187">
      <w:pPr>
        <w:pStyle w:val="Corpodetexto"/>
      </w:pPr>
      <w:r>
        <w:lastRenderedPageBreak/>
        <w:t xml:space="preserve">Em 1976, </w:t>
      </w:r>
      <w:r w:rsidR="00E454C7">
        <w:t xml:space="preserve">à divisão regional foram </w:t>
      </w:r>
      <w:r>
        <w:t>incorpora</w:t>
      </w:r>
      <w:r w:rsidR="00E454C7">
        <w:t>das</w:t>
      </w:r>
      <w:r>
        <w:t xml:space="preserve"> um nível regional intermediário, denominado Mesorregião, definido pelo agrupamento de Microrregiões</w:t>
      </w:r>
      <w:r w:rsidR="00DE3C39">
        <w:t xml:space="preserve"> Homogêneas</w:t>
      </w:r>
      <w:r>
        <w:t>. Em 1989, surgem as Mesorregiões e Microrregiões Geográficas para “</w:t>
      </w:r>
      <w:r>
        <w:rPr>
          <w:iCs/>
        </w:rPr>
        <w:t xml:space="preserve">completar as lacunas </w:t>
      </w:r>
      <w:r w:rsidRPr="001D7187">
        <w:t>que</w:t>
      </w:r>
      <w:r>
        <w:rPr>
          <w:iCs/>
        </w:rPr>
        <w:t xml:space="preserve"> as Mesorregiões e Microrregiões Homogêneas já não eram capazes de abarcar, notadamente quanto às desigualdades encontradas entre suas diversas regiões</w:t>
      </w:r>
      <w:r w:rsidR="0096633E">
        <w:rPr>
          <w:iCs/>
        </w:rPr>
        <w:t xml:space="preserve">” </w:t>
      </w:r>
      <w:r w:rsidR="0096633E">
        <w:rPr>
          <w:iCs/>
        </w:rPr>
        <w:fldChar w:fldCharType="begin"/>
      </w:r>
      <w:r w:rsidR="00BA156F">
        <w:rPr>
          <w:iCs/>
        </w:rPr>
        <w:instrText xml:space="preserve"> ADDIN ZOTERO_ITEM CSL_CITATION {"citationID":"wwAhp99I","properties":{"formattedCitation":"(IBGE, 2017, p. 71)","plainCitation":"(IBGE, 2017, p. 71)","noteIndex":0},"citationItems":[{"id":2815,"uris":["http://zotero.org/users/11809071/items/YU3WZHDY"],"itemData":{"id":2815,"type":"book","event-place":"Rio de Janeiro","ISBN":"978-85-240-4418-2","language":"pt-BR","number-of-pages":"83","publisher":"IBGE, Coordenação de Geografia","publisher-place":"Rio de Janeiro","source":"Câmara Brasileira do Livro ISBN","title":"Divisão regional do Brasil em regiões geográficas imediatas e regiões geográficas intermediárias: 2017","URL":"https://biblioteca.ibge.gov.br/visualizacao/livros/liv101728.pdf","author":[{"literal":"IBGE"}],"accessed":{"date-parts":[["2025",10,21]]},"issued":{"date-parts":[["2017"]]},"citation-key":"ibge2017b"},"locator":"71","label":"page"}],"schema":"https://github.com/citation-style-language/schema/raw/master/csl-citation.json"} </w:instrText>
      </w:r>
      <w:r w:rsidR="0096633E">
        <w:rPr>
          <w:iCs/>
        </w:rPr>
        <w:fldChar w:fldCharType="separate"/>
      </w:r>
      <w:r w:rsidR="00BA156F">
        <w:rPr>
          <w:iCs/>
          <w:noProof/>
        </w:rPr>
        <w:t>(IBGE, 2017, p. 71)</w:t>
      </w:r>
      <w:r w:rsidR="0096633E">
        <w:rPr>
          <w:iCs/>
        </w:rPr>
        <w:fldChar w:fldCharType="end"/>
      </w:r>
      <w:r>
        <w:rPr>
          <w:iCs/>
        </w:rPr>
        <w:t xml:space="preserve">. </w:t>
      </w:r>
    </w:p>
    <w:p w14:paraId="75E0C565" w14:textId="2F93AF58" w:rsidR="00FD01A3" w:rsidRDefault="00FD01A3" w:rsidP="006C433A">
      <w:pPr>
        <w:pStyle w:val="Citao"/>
      </w:pPr>
      <w:r>
        <w:t>O tempo é a base indispensável para o entendimento do espaço. Se as ações sobre um conjunto de objetos se dessem segundo tempos iguais não haveria história; o mundo seria imóvel. Mas o mundo é móvel, em transformação permanente — formando uma totalidade em processo de mudança para surgir amanhã como uma nova totalidade</w:t>
      </w:r>
      <w:r w:rsidR="006C433A">
        <w:t xml:space="preserve"> </w:t>
      </w:r>
      <w:r w:rsidR="002E1C81">
        <w:fldChar w:fldCharType="begin"/>
      </w:r>
      <w:r w:rsidR="00AA35A6">
        <w:instrText xml:space="preserve"> ADDIN ZOTERO_ITEM CSL_CITATION {"citationID":"RgQy6h9A","properties":{"formattedCitation":"(Santos, 1994, p. 84)","plainCitation":"(Santos, 1994, p. 84)","noteIndex":0},"citationItems":[{"id":2791,"uris":["http://zotero.org/users/11809071/items/P9I3R3QI"],"itemData":{"id":2791,"type":"book","event-place":"São Paulo","ISBN":"978-85-314-1049-9","language":"pt-BR","number-of-pages":"190","publisher":"Edusp","publisher-place":"São Paulo","source":"Câmara Brasileira do Livro ISBN","title":"Técnico, Espaço, Tempo Globalização e Meio Técnico-Científico Informacional","author":[{"family":"Santos","given":"Milton"}],"issued":{"date-parts":[["1994"]]},"citation-key":"santos1994"},"locator":"84","label":"page"}],"schema":"https://github.com/citation-style-language/schema/raw/master/csl-citation.json"} </w:instrText>
      </w:r>
      <w:r w:rsidR="002E1C81">
        <w:fldChar w:fldCharType="separate"/>
      </w:r>
      <w:r w:rsidR="00AA35A6">
        <w:rPr>
          <w:noProof/>
        </w:rPr>
        <w:t>(Santos, 1994, p. 84)</w:t>
      </w:r>
      <w:r w:rsidR="002E1C81">
        <w:fldChar w:fldCharType="end"/>
      </w:r>
    </w:p>
    <w:p w14:paraId="556ECD83" w14:textId="7FA39DD6" w:rsidR="006543D3" w:rsidRDefault="001D7187" w:rsidP="001D7187">
      <w:pPr>
        <w:pStyle w:val="Corpodetexto"/>
      </w:pPr>
      <w:r>
        <w:t xml:space="preserve">Por fim, o recorte das Regiões Imediatas e Intermediárias de 2017 incorpora as mudanças ocorridas nas décadas </w:t>
      </w:r>
      <w:r w:rsidR="00BA50AD">
        <w:t xml:space="preserve">anteriores </w:t>
      </w:r>
      <w:r>
        <w:t xml:space="preserve">no </w:t>
      </w:r>
      <w:r w:rsidRPr="001D7187">
        <w:t>Brasil</w:t>
      </w:r>
      <w:r>
        <w:t xml:space="preserve">. Vários estudos desenvolvidos pelo IBGE </w:t>
      </w:r>
      <w:r w:rsidR="00977F7A">
        <w:fldChar w:fldCharType="begin"/>
      </w:r>
      <w:r w:rsidR="00BA156F">
        <w:instrText xml:space="preserve"> ADDIN ZOTERO_ITEM CSL_CITATION {"citationID":"cy1C0nNN","properties":{"formattedCitation":"(IBGE, 2017, 2000, 2008, 2020; Motta, 2024)","plainCitation":"(IBGE, 2017, 2000, 2008, 2020; Motta, 2024)","noteIndex":0},"citationItems":[{"id":2815,"uris":["http://zotero.org/users/11809071/items/YU3WZHDY"],"itemData":{"id":2815,"type":"book","event-place":"Rio de Janeiro","ISBN":"978-85-240-4418-2","language":"pt-BR","number-of-pages":"83","publisher":"IBGE, Coordenação de Geografia","publisher-place":"Rio de Janeiro","source":"Câmara Brasileira do Livro ISBN","title":"Divisão regional do Brasil em regiões geográficas imediatas e regiões geográficas intermediárias: 2017","URL":"https://biblioteca.ibge.gov.br/visualizacao/livros/liv101728.pdf","author":[{"literal":"IBGE"}],"accessed":{"date-parts":[["2025",10,21]]},"issued":{"date-parts":[["2017"]]},"citation-key":"ibge2017b"}},{"id":2821,"uris":["http://zotero.org/users/11809071/items/4QQ6T89C"],"itemData":{"id":2821,"type":"book","event-place":"Rio de Janeiro","language":"pt-br","number-of-pages":"220","publisher":"IBGE, Coordenação de Geografia","publisher-place":"Rio de Janeiro","title":"Regiões de influência das cidades: 1993","URL":"https://biblioteca.ibge.gov.br/visualizacao/livros/liv7199.pdf","author":[{"literal":"IBGE"}],"accessed":{"date-parts":[["2025",10,21]]},"issued":{"date-parts":[["2000"]]},"citation-key":"ibge2000"}},{"id":2820,"uris":["http://zotero.org/users/11809071/items/AGN9I9AQ"],"itemData":{"id":2820,"type":"book","event-place":"Rio de Janeiro","ISBN":"978-85-240-4039-9","language":"pt","number-of-pages":"201","publisher":"Ibge","publisher-place":"Rio de Janeiro","source":"Câmara Brasileira do Livro ISBN","title":"Regiões De Influência Das Cidades: 2007","title-short":"Regiões De Influência Das Cidades","URL":"https://biblioteca.ibge.gov.br/visualizacao/livros/liv40677.pdf","author":[{"literal":"IBGE"}],"accessed":{"date-parts":[["2025",10,21]]},"issued":{"date-parts":[["2008"]]},"citation-key":"ibge2008a"}},{"id":2824,"uris":["http://zotero.org/users/11809071/items/67TWJB7I"],"itemData":{"id":2824,"type":"book","event-place":"Rio de Janeiro","ISBN":"978-65-87201-04-7","language":"pt","number-of-pages":"201","publisher":"Ibge","publisher-place":"Rio de Janeiro","source":"Câmara Brasileira do Livro ISBN","title":"Regiões De Influência Das Cidades: 2018","title-short":"Regiões De Influência Das Cidades","URL":"https://biblioteca.ibge.gov.br/visualizacao/livros/liv101728.pdf","author":[{"literal":"IBGE"}],"accessed":{"date-parts":[["2025",10,21]]},"issued":{"date-parts":[["2020"]]},"citation-key":"ibge2020b"}},{"id":2826,"uris":["http://zotero.org/users/11809071/items/58KTYBFL"],"itemData":{"id":2826,"type":"book","event-place":"Rio de Janeiro","ISBN":"978-85-240-4642-1","language":"pt-br","number-of-pages":"55","publisher":"IBGE","publisher-place":"Rio de Janeiro","title":"Regiões de Influência das Cidades: metodologia de compatibilização hierárquica entre as edições da pesquisa no período de 1966 a 2018","URL":"https://biblioteca.ibge.gov.br/visualizacao/livros/liv102151.pdf","author":[{"family":"Motta","given":"Marcelo Paiva","dropping-particle":"da"}],"accessed":{"date-parts":[["2025",10,21]]},"issued":{"date-parts":[["2024"]]},"citation-key":"motta2024"}}],"schema":"https://github.com/citation-style-language/schema/raw/master/csl-citation.json"} </w:instrText>
      </w:r>
      <w:r w:rsidR="00977F7A">
        <w:fldChar w:fldCharType="separate"/>
      </w:r>
      <w:r w:rsidR="00BA156F">
        <w:rPr>
          <w:noProof/>
        </w:rPr>
        <w:t>(IBGE, 2017, 2000, 2008, 2020; Motta, 2024)</w:t>
      </w:r>
      <w:r w:rsidR="00977F7A">
        <w:fldChar w:fldCharType="end"/>
      </w:r>
      <w:r>
        <w:t xml:space="preserve"> </w:t>
      </w:r>
      <w:r w:rsidR="0093768A">
        <w:t>evidenciaram o processo socioespacial recente de fragmentação</w:t>
      </w:r>
      <w:r w:rsidR="00E454C7">
        <w:t xml:space="preserve"> e </w:t>
      </w:r>
      <w:r w:rsidR="0093768A">
        <w:t xml:space="preserve">articulação do território em variados formatos. </w:t>
      </w:r>
    </w:p>
    <w:p w14:paraId="0332ED8E" w14:textId="273DB069" w:rsidR="0093768A" w:rsidRDefault="0093768A" w:rsidP="0093768A">
      <w:pPr>
        <w:pStyle w:val="Citao"/>
      </w:pPr>
      <w:r>
        <w:t xml:space="preserve">A região torna-se, por meio dessa opção, uma construção do conhecimento geográfico, delineada pela dinâmica dos processos de transformação ocorridos recentemente e operacionalizada a partir de elementos concretos (rede urbana, classificação hierárquica dos centros urbanos, detecção dos fluxos de gestão, entre outros), capazes de distinguir espaços regionais em escalas </w:t>
      </w:r>
      <w:r w:rsidR="00A76FF0">
        <w:t xml:space="preserve">adequadas </w:t>
      </w:r>
      <w:r w:rsidR="00647469">
        <w:fldChar w:fldCharType="begin"/>
      </w:r>
      <w:r w:rsidR="009B59F5">
        <w:instrText xml:space="preserve"> ADDIN ZOTERO_ITEM CSL_CITATION {"citationID":"az76rCCk","properties":{"formattedCitation":"(IBGE, 2017, p. 19)","plainCitation":"(IBGE, 2017, p. 19)","noteIndex":0},"citationItems":[{"id":2815,"uris":["http://zotero.org/users/11809071/items/YU3WZHDY"],"itemData":{"id":2815,"type":"book","event-place":"Rio de Janeiro","ISBN":"978-85-240-4418-2","language":"pt-BR","number-of-pages":"83","publisher":"IBGE, Coordenação de Geografia","publisher-place":"Rio de Janeiro","source":"Câmara Brasileira do Livro ISBN","title":"Divisão regional do Brasil em regiões geográficas imediatas e regiões geográficas intermediárias: 2017","URL":"https://biblioteca.ibge.gov.br/visualizacao/livros/liv101728.pdf","author":[{"literal":"IBGE"}],"accessed":{"date-parts":[["2025",10,21]]},"issued":{"date-parts":[["2017"]]},"citation-key":"ibge2017b"},"locator":"19","label":"page"}],"schema":"https://github.com/citation-style-language/schema/raw/master/csl-citation.json"} </w:instrText>
      </w:r>
      <w:r w:rsidR="00647469">
        <w:fldChar w:fldCharType="separate"/>
      </w:r>
      <w:r w:rsidR="009B59F5">
        <w:rPr>
          <w:noProof/>
        </w:rPr>
        <w:t>(IBGE, 2017, p. 19)</w:t>
      </w:r>
      <w:r w:rsidR="00647469">
        <w:fldChar w:fldCharType="end"/>
      </w:r>
    </w:p>
    <w:p w14:paraId="2EF71D63" w14:textId="3F54B280" w:rsidR="0093768A" w:rsidRDefault="00B94D07" w:rsidP="001D7187">
      <w:pPr>
        <w:pStyle w:val="Corpodetexto"/>
      </w:pPr>
      <w:r>
        <w:t xml:space="preserve">Nesse sentido as regiões Geográficas </w:t>
      </w:r>
      <w:r w:rsidR="00A76FF0">
        <w:t>Imediatas</w:t>
      </w:r>
      <w:r>
        <w:t xml:space="preserve"> têm como elemento de referência a rede urbana. </w:t>
      </w:r>
    </w:p>
    <w:p w14:paraId="4FAE3A27" w14:textId="5D95EA3B" w:rsidR="00B94D07" w:rsidRDefault="00B94D07" w:rsidP="00B94D07">
      <w:pPr>
        <w:pStyle w:val="Citao"/>
      </w:pPr>
      <w:r w:rsidRPr="00B94D07">
        <w:t>São estruturas a partir de centros urbanos próximos para a satisfação das necessidades imediatas das populações, tais como: compras de bens de consumo duráveis e não duráveis; busca de trabalho; procura por serviços de saúde e educação; e prestação de serviços públicos, como postos de atendimento do Instituto Nacional do Seguro Social - INSS, do Ministério do Trabalho e de serviços judiciários, entre outros</w:t>
      </w:r>
      <w:r w:rsidR="00C54FC6">
        <w:t xml:space="preserve"> </w:t>
      </w:r>
      <w:r w:rsidR="00C54FC6">
        <w:fldChar w:fldCharType="begin"/>
      </w:r>
      <w:r w:rsidR="00D03F5E">
        <w:instrText xml:space="preserve"> ADDIN ZOTERO_ITEM CSL_CITATION {"citationID":"GkheNM2O","properties":{"formattedCitation":"(IBGE, 2017, p. 20)","plainCitation":"(IBGE, 2017, p. 20)","noteIndex":0},"citationItems":[{"id":2815,"uris":["http://zotero.org/users/11809071/items/YU3WZHDY"],"itemData":{"id":2815,"type":"book","event-place":"Rio de Janeiro","ISBN":"978-85-240-4418-2","language":"pt-BR","number-of-pages":"83","publisher":"IBGE, Coordenação de Geografia","publisher-place":"Rio de Janeiro","source":"Câmara Brasileira do Livro ISBN","title":"Divisão regional do Brasil em regiões geográficas imediatas e regiões geográficas intermediárias: 2017","URL":"https://biblioteca.ibge.gov.br/visualizacao/livros/liv101728.pdf","author":[{"literal":"IBGE"}],"accessed":{"date-parts":[["2025",10,21]]},"issued":{"date-parts":[["2017"]]},"citation-key":"ibge2017b"},"locator":"20","label":"page"}],"schema":"https://github.com/citation-style-language/schema/raw/master/csl-citation.json"} </w:instrText>
      </w:r>
      <w:r w:rsidR="00C54FC6">
        <w:fldChar w:fldCharType="separate"/>
      </w:r>
      <w:r w:rsidR="00D03F5E">
        <w:rPr>
          <w:noProof/>
        </w:rPr>
        <w:t>(IBGE, 2017, p. 20)</w:t>
      </w:r>
      <w:r w:rsidR="00C54FC6">
        <w:fldChar w:fldCharType="end"/>
      </w:r>
      <w:r w:rsidR="00A851FD">
        <w:t>.</w:t>
      </w:r>
    </w:p>
    <w:p w14:paraId="0CD0E9D4" w14:textId="016F7E63" w:rsidR="00B94D07" w:rsidRDefault="00B94D07" w:rsidP="00A76FF0">
      <w:pPr>
        <w:pStyle w:val="Corpodetexto"/>
      </w:pPr>
      <w:r>
        <w:t xml:space="preserve">Já as Regiões Geográficas Intermediárias constituem uma escala de mediação entre as Regiões Geográficas Imediatas e as Unidades da Federação. </w:t>
      </w:r>
    </w:p>
    <w:p w14:paraId="25758810" w14:textId="499202FB" w:rsidR="00B94D07" w:rsidRDefault="00B94D07" w:rsidP="00B94D07">
      <w:pPr>
        <w:pStyle w:val="Citao"/>
      </w:pPr>
      <w:r w:rsidRPr="00B94D07">
        <w:t>As Regiões Geográficas Intermediárias organizam o território, articulando as Regiões Geográficas Imediatas por meio de um polo de hierarquia superior diferenciado a partir dos fluxos de gestão privado e público e da existência de funções urbanas de maior complexidade</w:t>
      </w:r>
      <w:r w:rsidR="005B66B7">
        <w:t xml:space="preserve"> </w:t>
      </w:r>
      <w:r w:rsidR="005B66B7">
        <w:fldChar w:fldCharType="begin"/>
      </w:r>
      <w:r w:rsidR="00261CE1">
        <w:instrText xml:space="preserve"> ADDIN ZOTERO_ITEM CSL_CITATION {"citationID":"sOlDMEyv","properties":{"formattedCitation":"(IBGE, 2017, p. 20)","plainCitation":"(IBGE, 2017, p. 20)","noteIndex":0},"citationItems":[{"id":2815,"uris":["http://zotero.org/users/11809071/items/YU3WZHDY"],"itemData":{"id":2815,"type":"book","event-place":"Rio de Janeiro","ISBN":"978-85-240-4418-2","language":"pt-BR","number-of-pages":"83","publisher":"IBGE, Coordenação de Geografia","publisher-place":"Rio de Janeiro","source":"Câmara Brasileira do Livro ISBN","title":"Divisão regional do Brasil em regiões geográficas imediatas e regiões geográficas intermediárias: 2017","URL":"https://biblioteca.ibge.gov.br/visualizacao/livros/liv101728.pdf","author":[{"literal":"IBGE"}],"accessed":{"date-parts":[["2025",10,21]]},"issued":{"date-parts":[["2017"]]},"citation-key":"ibge2017b"},"locator":"20","label":"page"}],"schema":"https://github.com/citation-style-language/schema/raw/master/csl-citation.json"} </w:instrText>
      </w:r>
      <w:r w:rsidR="005B66B7">
        <w:fldChar w:fldCharType="separate"/>
      </w:r>
      <w:r w:rsidR="00261CE1">
        <w:rPr>
          <w:noProof/>
        </w:rPr>
        <w:t>(IBGE, 2017, p. 20)</w:t>
      </w:r>
      <w:r w:rsidR="005B66B7">
        <w:fldChar w:fldCharType="end"/>
      </w:r>
      <w:r w:rsidR="00232A2D">
        <w:t>.</w:t>
      </w:r>
      <w:r w:rsidRPr="00B94D07">
        <w:t xml:space="preserve"> </w:t>
      </w:r>
    </w:p>
    <w:p w14:paraId="3F1AADC1" w14:textId="47FD1279" w:rsidR="0006625C" w:rsidRDefault="0006625C" w:rsidP="001B4B49">
      <w:pPr>
        <w:pStyle w:val="Corpodetexto"/>
      </w:pPr>
      <w:r>
        <w:t>Nesse contexto</w:t>
      </w:r>
      <w:r w:rsidR="00F7662E">
        <w:t xml:space="preserve">, </w:t>
      </w:r>
      <w:r>
        <w:t xml:space="preserve">a divisão Regional do Estado do Rio de Janeiro </w:t>
      </w:r>
      <w:r w:rsidR="00F7662E">
        <w:t>segundo o critério de regiões Imediatas e Intermediárias, é apresentada na Figura 1</w:t>
      </w:r>
      <w:r w:rsidR="00E454C7">
        <w:t>, em que o</w:t>
      </w:r>
      <w:r w:rsidR="00E81661">
        <w:t xml:space="preserve"> estado foi dividido em cinco Regiões Intermediárias e 14 Regiões Imediatas. Note-se que </w:t>
      </w:r>
      <w:r w:rsidR="007E72ED">
        <w:t xml:space="preserve">os municípios que pertencem </w:t>
      </w:r>
      <w:r w:rsidR="007E72ED">
        <w:lastRenderedPageBreak/>
        <w:t xml:space="preserve">às mesorregiões Norte e Noroeste Fluminense, estão contidos nas Regiões Imediatas Itaperuna, Santo Antônio de Pádua, Campos dos Goytacazes e Macaé-Rio das Ostras. </w:t>
      </w:r>
    </w:p>
    <w:p w14:paraId="6009A12E" w14:textId="431426FB" w:rsidR="00F7662E" w:rsidRPr="00E81661" w:rsidRDefault="00E81661" w:rsidP="00E81661">
      <w:pPr>
        <w:pStyle w:val="TFigura"/>
      </w:pPr>
      <w:r>
        <w:t>Figura 1</w:t>
      </w:r>
      <w:r w:rsidR="00B50C3C">
        <w:t xml:space="preserve"> – </w:t>
      </w:r>
      <w:r>
        <w:t>Mapa de Localização das Regiões Intermediárias e Imediatas do Rio de janeiro - 2022</w:t>
      </w:r>
    </w:p>
    <w:p w14:paraId="39A083C7" w14:textId="4002EAE3" w:rsidR="00887959" w:rsidRDefault="00E81661" w:rsidP="00A4139C">
      <w:pPr>
        <w:pStyle w:val="Figura"/>
      </w:pPr>
      <w:r w:rsidRPr="00E81661">
        <w:rPr>
          <w:noProof/>
        </w:rPr>
        <w:drawing>
          <wp:inline distT="0" distB="0" distL="0" distR="0" wp14:anchorId="4AF9E2B4" wp14:editId="70F16F6D">
            <wp:extent cx="4680000" cy="3310916"/>
            <wp:effectExtent l="0" t="0" r="6350" b="3810"/>
            <wp:docPr id="338323378" name="Imagem 3" descr="Uma imagem contendo 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323378" name="Imagem 3" descr="Uma imagem contendo Mapa&#10;&#10;O conteúdo gerado por IA pode estar incorreto."/>
                    <pic:cNvPicPr/>
                  </pic:nvPicPr>
                  <pic:blipFill>
                    <a:blip r:embed="rId8" cstate="screen">
                      <a:extLst>
                        <a:ext uri="{28A0092B-C50C-407E-A947-70E740481C1C}">
                          <a14:useLocalDpi xmlns:a14="http://schemas.microsoft.com/office/drawing/2010/main"/>
                        </a:ext>
                      </a:extLst>
                    </a:blip>
                    <a:stretch>
                      <a:fillRect/>
                    </a:stretch>
                  </pic:blipFill>
                  <pic:spPr>
                    <a:xfrm>
                      <a:off x="0" y="0"/>
                      <a:ext cx="4680000" cy="3310916"/>
                    </a:xfrm>
                    <a:prstGeom prst="rect">
                      <a:avLst/>
                    </a:prstGeom>
                  </pic:spPr>
                </pic:pic>
              </a:graphicData>
            </a:graphic>
          </wp:inline>
        </w:drawing>
      </w:r>
    </w:p>
    <w:p w14:paraId="0671391E" w14:textId="7F3B4AA3" w:rsidR="004B372E" w:rsidRPr="00F431AD" w:rsidRDefault="00705F5E" w:rsidP="004B372E">
      <w:pPr>
        <w:pStyle w:val="Corpodetexto"/>
      </w:pPr>
      <w:r>
        <w:t>Para este</w:t>
      </w:r>
      <w:r w:rsidR="004B372E" w:rsidRPr="004B372E">
        <w:t xml:space="preserve"> trabalho, o recorte regional tratado será o de regiões Imediatas e Intermediárias em decorrências das interações espaciais que conformam o espaço regional do </w:t>
      </w:r>
      <w:r w:rsidR="004B372E">
        <w:t xml:space="preserve">estado do </w:t>
      </w:r>
      <w:r w:rsidR="004B372E" w:rsidRPr="004B372E">
        <w:t xml:space="preserve">Rio de Janeiro, especificamente da Mesorregião Norte Fluminense </w:t>
      </w:r>
      <w:r w:rsidR="009B3ADB">
        <w:t>e Noroeste Fluminense e suas intermediações.</w:t>
      </w:r>
      <w:r w:rsidR="004B372E">
        <w:t xml:space="preserve"> </w:t>
      </w:r>
    </w:p>
    <w:p w14:paraId="0E778DCD" w14:textId="41AFD885" w:rsidR="00CC0D82" w:rsidRDefault="00B66009" w:rsidP="00515342">
      <w:pPr>
        <w:pStyle w:val="Corpodetexto"/>
      </w:pPr>
      <w:r>
        <w:t xml:space="preserve">A área de estudos deste artigo </w:t>
      </w:r>
      <w:r w:rsidR="1446CDAE">
        <w:t>considera duas</w:t>
      </w:r>
      <w:r>
        <w:t xml:space="preserve"> Regiões Intermediárias e cinco Imediatas </w:t>
      </w:r>
      <w:r w:rsidR="70DFCD88">
        <w:t xml:space="preserve">compostas por </w:t>
      </w:r>
      <w:r w:rsidR="2DFA424F">
        <w:t>um total</w:t>
      </w:r>
      <w:r>
        <w:t xml:space="preserve"> </w:t>
      </w:r>
      <w:r w:rsidR="4A181A8A">
        <w:t>de 30</w:t>
      </w:r>
      <w:r>
        <w:t xml:space="preserve"> municípios. Campos dos Goytacazes é a Região Intermediária de três Regiões Imediatas: Campos dos Goytacazes, Itaperuna e Santo Antônio de Pádua. Essa área incorpora 18 municípios: Campos dos Goytacazes, Cardoso Moreira, Italva, São Fidélis, São Francisco de Itabapoana e São João da Barra que conformam a Região Imediata de Campos dos Goytacazes</w:t>
      </w:r>
      <w:r w:rsidR="0058569A">
        <w:t xml:space="preserve"> com seis municípios</w:t>
      </w:r>
      <w:r>
        <w:t xml:space="preserve">. </w:t>
      </w:r>
      <w:r w:rsidR="0058569A">
        <w:t xml:space="preserve">A região Imediata Itaperuna inclui sete municípios a saber: Bom Jesus do Itabapoana, Itaperuna, Laje do Muriaé, Natividade, Porciúncula, São José de Ubá e Varre-Sai. </w:t>
      </w:r>
      <w:r w:rsidR="00DD1E6C">
        <w:t xml:space="preserve">Por sua vez, a Região Imediata Santo Antônio de Pádua abrange cinco municípios: Aperibé, Cambuci, Itaocara, Miracema e Santo Antônio de Pádua. </w:t>
      </w:r>
      <w:r w:rsidR="00625CCF">
        <w:t xml:space="preserve">A Região Intermediária </w:t>
      </w:r>
      <w:r w:rsidR="00625CCF" w:rsidRPr="00625CCF">
        <w:t>Macaé - Rio das Ostras - Cabo Frio</w:t>
      </w:r>
      <w:r w:rsidR="00625CCF">
        <w:t xml:space="preserve"> inclui 12 municípios divididos em duas Regiões </w:t>
      </w:r>
      <w:r w:rsidR="00515342">
        <w:t>Imediatas</w:t>
      </w:r>
      <w:r w:rsidR="00625CCF">
        <w:t xml:space="preserve">: Cabo Frio e Macaé-Rio das Ostras. </w:t>
      </w:r>
      <w:r w:rsidR="00515342">
        <w:t xml:space="preserve">A primeira contempla os municípios de Araruama, Armação dos Búzios, Arraial do Cabo, Cabo Frio, Iguaba Grande e São Pedro da Aldeia. A segunda inclui Carapebus, Casimiro de Abreu, Conceição de Macabu, Macaé, Quissamã e Rio das Ostras. </w:t>
      </w:r>
      <w:r w:rsidR="00735A28">
        <w:t>A Figura 2 apresenta o mapa de localização da área</w:t>
      </w:r>
      <w:r w:rsidR="00931FA3">
        <w:t xml:space="preserve"> de estudo, que </w:t>
      </w:r>
      <w:r w:rsidR="00931FA3">
        <w:lastRenderedPageBreak/>
        <w:t xml:space="preserve">nessa configuração abrange as Mesorregiões Norte e Noroeste Fluminense e a mesorregião das Baixadas Litorâneas. </w:t>
      </w:r>
    </w:p>
    <w:p w14:paraId="6F978EAA" w14:textId="318C1EA0" w:rsidR="0098735C" w:rsidRDefault="0098735C" w:rsidP="00B50C3C">
      <w:pPr>
        <w:pStyle w:val="TFigura"/>
      </w:pPr>
      <w:r>
        <w:t>Figura 2</w:t>
      </w:r>
      <w:r w:rsidR="00B50C3C">
        <w:t xml:space="preserve"> – </w:t>
      </w:r>
      <w:r>
        <w:t>Mapa de Localização das Regiões Intermediárias e Imediatas da Área de Estudos</w:t>
      </w:r>
    </w:p>
    <w:p w14:paraId="66B29919" w14:textId="42EBB81C" w:rsidR="00940443" w:rsidRDefault="001324A6" w:rsidP="00A4139C">
      <w:pPr>
        <w:pStyle w:val="Figura"/>
      </w:pPr>
      <w:r>
        <w:rPr>
          <w:noProof/>
        </w:rPr>
        <w:drawing>
          <wp:inline distT="0" distB="0" distL="0" distR="0" wp14:anchorId="6802E97B" wp14:editId="56C3029C">
            <wp:extent cx="4410985" cy="4555574"/>
            <wp:effectExtent l="0" t="0" r="0" b="3810"/>
            <wp:docPr id="1453605452" name="Imagem 2" descr="Uma imagem contendo 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605452" name="Imagem 2" descr="Uma imagem contendo Diagrama&#10;&#10;O conteúdo gerado por IA pode estar incorreto."/>
                    <pic:cNvPicPr/>
                  </pic:nvPicPr>
                  <pic:blipFill rotWithShape="1">
                    <a:blip r:embed="rId9" cstate="screen">
                      <a:extLst>
                        <a:ext uri="{28A0092B-C50C-407E-A947-70E740481C1C}">
                          <a14:useLocalDpi xmlns:a14="http://schemas.microsoft.com/office/drawing/2010/main"/>
                        </a:ext>
                      </a:extLst>
                    </a:blip>
                    <a:srcRect r="-41"/>
                    <a:stretch/>
                  </pic:blipFill>
                  <pic:spPr bwMode="auto">
                    <a:xfrm>
                      <a:off x="0" y="0"/>
                      <a:ext cx="4475804" cy="4622518"/>
                    </a:xfrm>
                    <a:prstGeom prst="rect">
                      <a:avLst/>
                    </a:prstGeom>
                    <a:ln>
                      <a:noFill/>
                    </a:ln>
                    <a:extLst>
                      <a:ext uri="{53640926-AAD7-44D8-BBD7-CCE9431645EC}">
                        <a14:shadowObscured xmlns:a14="http://schemas.microsoft.com/office/drawing/2010/main"/>
                      </a:ext>
                    </a:extLst>
                  </pic:spPr>
                </pic:pic>
              </a:graphicData>
            </a:graphic>
          </wp:inline>
        </w:drawing>
      </w:r>
    </w:p>
    <w:p w14:paraId="52522E21" w14:textId="7C9A94B0" w:rsidR="00156203" w:rsidRDefault="00C648D0" w:rsidP="00061854">
      <w:pPr>
        <w:pStyle w:val="Ttulo1"/>
      </w:pPr>
      <w:bookmarkStart w:id="6" w:name="_Toc211615600"/>
      <w:r>
        <w:t>Análise sociodemográfica</w:t>
      </w:r>
      <w:bookmarkEnd w:id="6"/>
    </w:p>
    <w:p w14:paraId="341B0E3C" w14:textId="34434EA7" w:rsidR="00C648D0" w:rsidRDefault="00C648D0" w:rsidP="00061854">
      <w:pPr>
        <w:pStyle w:val="Ttulo2"/>
      </w:pPr>
      <w:bookmarkStart w:id="7" w:name="_Toc211615601"/>
      <w:r>
        <w:t>População</w:t>
      </w:r>
      <w:bookmarkEnd w:id="7"/>
    </w:p>
    <w:p w14:paraId="29AD1036" w14:textId="58C8C39D" w:rsidR="00286AC0" w:rsidRPr="00D92E83" w:rsidRDefault="00D92E83" w:rsidP="00F217F6">
      <w:pPr>
        <w:pStyle w:val="Corpodetexto"/>
      </w:pPr>
      <w:r>
        <w:t xml:space="preserve">A região Intermediária de Campos dos </w:t>
      </w:r>
      <w:r w:rsidR="00F217F6">
        <w:t>Goytacazes</w:t>
      </w:r>
      <w:r>
        <w:t xml:space="preserve"> </w:t>
      </w:r>
      <w:r w:rsidR="00F217F6">
        <w:t xml:space="preserve">é a mais populosa em 2000 e 2010, contudo, em 2022 a população da Região Intermediária de Macaé-Rio das Ostras e Cabo Frio supera a de Campos dos Goytacazes em mais de 100.000 habitantes, em decorrência das taxas expressivas de crescimento populacional entre 2000 e 2010 (4,24% </w:t>
      </w:r>
      <w:proofErr w:type="spellStart"/>
      <w:r w:rsidR="00F217F6">
        <w:t>a.a</w:t>
      </w:r>
      <w:proofErr w:type="spellEnd"/>
      <w:r w:rsidR="00F217F6">
        <w:t xml:space="preserve">) e entre 2022 e 2010 (1,67% </w:t>
      </w:r>
      <w:proofErr w:type="spellStart"/>
      <w:r w:rsidR="00F217F6">
        <w:t>a.a</w:t>
      </w:r>
      <w:proofErr w:type="spellEnd"/>
      <w:r w:rsidR="00F217F6">
        <w:t xml:space="preserve">), contra crescimento anual abaixo de 1% na Região Intermediária de Campos dos Goytacazes, especialmente na entre 2010 e 2022 (0,32%). </w:t>
      </w:r>
      <w:r w:rsidR="00D352B1">
        <w:t xml:space="preserve">Em relação às Regiões Geográficas Imediatas a de Campos dos Goytacazes é a mais populosa, seguida das de Cabo Frio e Macaé-Rio das Ostras. Contudo, em termos de crescimento médio anual, Macaé-Rio das Ostras, supera todas as demais Regiões Intermediárias no período, 5,35% entre 2000 e 2010 e 1,89% entre 2010 e 2022. </w:t>
      </w:r>
      <w:r w:rsidR="00983D29">
        <w:t xml:space="preserve">Em contrapartida, a menor Região Imediata em termos populacionais é </w:t>
      </w:r>
      <w:r w:rsidR="00207EC1">
        <w:t xml:space="preserve">a </w:t>
      </w:r>
      <w:r w:rsidR="00983D29">
        <w:t xml:space="preserve">de Santo </w:t>
      </w:r>
      <w:r w:rsidR="00983D29">
        <w:lastRenderedPageBreak/>
        <w:t xml:space="preserve">Antônio de Pádua, que apresentou as menores taxas médias de crescimento anual. </w:t>
      </w:r>
      <w:r w:rsidR="00633667">
        <w:t>Os municípios das Regiões Imediatas de Cabo Frio e Macaé-Rio das Ostras foram os que apresentaram, nas duas décadas</w:t>
      </w:r>
      <w:r w:rsidR="00482E33">
        <w:t>,</w:t>
      </w:r>
      <w:r w:rsidR="00633667">
        <w:t xml:space="preserve"> maiores taxas de crescimento populacional. A Região Imediata de Cabo Frio pelo potencial turístico e pela proximidade a Macaé. A Região Imediata Macaé-Rio das Ostras é dinamizada pela cadeia produtiva de Petróleo e Gás, que impacta toda a região. Municípios como Rio das Ostras </w:t>
      </w:r>
      <w:r w:rsidR="00833153">
        <w:t xml:space="preserve">que cresceu 10,11% na primeira década e 3,22% na segunda, além de ser o lócus privilegiado para moradia de grande parte dos trabalhadores da indústria do petróleo, tem uma </w:t>
      </w:r>
      <w:r w:rsidR="00633667">
        <w:t>Zonas Especiais de Negócios</w:t>
      </w:r>
      <w:r w:rsidR="00271FCB">
        <w:t xml:space="preserve">, na divisa com Macaé, </w:t>
      </w:r>
      <w:r w:rsidR="00833153">
        <w:t xml:space="preserve">que oferece vantagens </w:t>
      </w:r>
      <w:r w:rsidR="00633667">
        <w:t>fiscais visando atrair plantas industriais</w:t>
      </w:r>
      <w:r w:rsidR="00AF3586">
        <w:t xml:space="preserve"> </w:t>
      </w:r>
      <w:r w:rsidR="00207EC1">
        <w:t>relacionadas</w:t>
      </w:r>
      <w:r w:rsidR="00AF3586">
        <w:t xml:space="preserve"> à cadeia produtiva </w:t>
      </w:r>
      <w:r w:rsidR="00B627AB">
        <w:t xml:space="preserve">da indústria petrolífera. </w:t>
      </w:r>
      <w:r w:rsidR="00EB2E24">
        <w:t xml:space="preserve">O crescimento populacional </w:t>
      </w:r>
      <w:r w:rsidR="00721C1E">
        <w:t xml:space="preserve">observado nessas duas Regiões Imediatas é, certamente, decorrente de fluxos migratórios, especialmente, </w:t>
      </w:r>
      <w:r w:rsidR="00482E33">
        <w:t xml:space="preserve">para </w:t>
      </w:r>
      <w:r w:rsidR="00721C1E">
        <w:t>Rio das Ostras que é uma opção mais barata de solo urbano, comparativamente à Macaé</w:t>
      </w:r>
      <w:r w:rsidR="00EB2E24">
        <w:t xml:space="preserve">. </w:t>
      </w:r>
      <w:r w:rsidR="00286AC0">
        <w:t>A</w:t>
      </w:r>
      <w:r w:rsidR="00B16972">
        <w:t>s</w:t>
      </w:r>
      <w:r w:rsidR="00286AC0">
        <w:t xml:space="preserve"> taxa</w:t>
      </w:r>
      <w:r w:rsidR="00B16972">
        <w:t>s</w:t>
      </w:r>
      <w:r w:rsidR="00286AC0">
        <w:t xml:space="preserve"> de crescimento populacional nas demais Regiões Imediatas consideradas neste artigo </w:t>
      </w:r>
      <w:r w:rsidR="00B16972">
        <w:t>são inexpressivas.</w:t>
      </w:r>
    </w:p>
    <w:p w14:paraId="20FDA046" w14:textId="5CB0710E" w:rsidR="00C43852" w:rsidRDefault="001B4E68" w:rsidP="001B4E68">
      <w:pPr>
        <w:pStyle w:val="TTabela"/>
      </w:pPr>
      <w:r>
        <w:t>T</w:t>
      </w:r>
      <w:r w:rsidR="00FE222B">
        <w:t>a</w:t>
      </w:r>
      <w:r>
        <w:t>bela 1</w:t>
      </w:r>
      <w:r w:rsidR="00B50C3C">
        <w:t xml:space="preserve"> – </w:t>
      </w:r>
      <w:r>
        <w:t>População e Taxa Média Geométrica de Crescimento Populacional por Regiões Geográficas Intermediárias e Imediatas do Estado do Rio de janeiro – 2000-2022</w:t>
      </w:r>
    </w:p>
    <w:p w14:paraId="57BE4303" w14:textId="65ACFADC" w:rsidR="11E87441" w:rsidRDefault="11E87441" w:rsidP="0077745A">
      <w:pPr>
        <w:pStyle w:val="Figura"/>
      </w:pPr>
      <w:r w:rsidRPr="00A4139C">
        <w:rPr>
          <w:noProof/>
        </w:rPr>
        <w:drawing>
          <wp:inline distT="0" distB="0" distL="0" distR="0" wp14:anchorId="355CC3B2" wp14:editId="73928346">
            <wp:extent cx="5400675" cy="4591050"/>
            <wp:effectExtent l="0" t="0" r="0" b="0"/>
            <wp:docPr id="161193030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30304" name=""/>
                    <pic:cNvPicPr/>
                  </pic:nvPicPr>
                  <pic:blipFill>
                    <a:blip r:embed="rId10">
                      <a:extLst>
                        <a:ext uri="{28A0092B-C50C-407E-A947-70E740481C1C}">
                          <a14:useLocalDpi xmlns:a14="http://schemas.microsoft.com/office/drawing/2010/main"/>
                        </a:ext>
                      </a:extLst>
                    </a:blip>
                    <a:stretch>
                      <a:fillRect/>
                    </a:stretch>
                  </pic:blipFill>
                  <pic:spPr>
                    <a:xfrm>
                      <a:off x="0" y="0"/>
                      <a:ext cx="5400675" cy="4591050"/>
                    </a:xfrm>
                    <a:prstGeom prst="rect">
                      <a:avLst/>
                    </a:prstGeom>
                  </pic:spPr>
                </pic:pic>
              </a:graphicData>
            </a:graphic>
          </wp:inline>
        </w:drawing>
      </w:r>
    </w:p>
    <w:p w14:paraId="65F63082" w14:textId="61A558D6" w:rsidR="0011671C" w:rsidRPr="00B50C3C" w:rsidRDefault="001B4E68" w:rsidP="00B50C3C">
      <w:pPr>
        <w:pStyle w:val="Fonte"/>
      </w:pPr>
      <w:r w:rsidRPr="00B50C3C">
        <w:t>Fonte: Elaboração dos autores a partir dos dados dos Censos Demográficos de 2000, 2010 e 2022</w:t>
      </w:r>
      <w:r w:rsidR="00FB1349" w:rsidRPr="00B50C3C">
        <w:t xml:space="preserve"> </w:t>
      </w:r>
      <w:r w:rsidR="00FB1349" w:rsidRPr="00B50C3C">
        <w:fldChar w:fldCharType="begin"/>
      </w:r>
      <w:r w:rsidR="007E5FB0" w:rsidRPr="00B50C3C">
        <w:instrText xml:space="preserve"> ADDIN ZOTERO_ITEM CSL_CITATION {"citationID":"a083J3cG","properties":{"formattedCitation":"(IBGE, 2006, 2016, 2022)","plainCitation":"(IBGE, 2006, 2016, 2022)","noteIndex":0},"citationItems":[{"id":2829,"uris":["http://zotero.org/users/11809071/items/C8QN754K"],"itemData":{"id":2829,"type":"webpage","language":"pt-br","note":"Página de pesquisa realizada por instituto nacional de estatísticas","title":"Censo Demográfico 2000","URL":"https://www.ibge.gov.br/estatisticas/sociais/administracao-publica-e-participacao-politica/9663-censo-demografico-2000.html","author":[{"literal":"IBGE"}],"accessed":{"date-parts":[["2025",10,21]]},"issued":{"date-parts":[["2006"]]},"citation-key":"ibge2006"}},{"id":2828,"uris":["http://zotero.org/users/11809071/items/4D6C8ERR"],"itemData":{"id":2828,"type":"webpage","language":"pt-br","note":"Página de pesquisa realizada por instituto nacional de estatísticas","title":"Censo Demográfico 2010","URL":"https://censo2010.ibge.gov.br/resultados","author":[{"literal":"IBGE"}],"accessed":{"date-parts":[["2025",10,21]]},"issued":{"date-parts":[["2016"]]},"citation-key":"ibge2016a"}},{"id":1091,"uris":["http://zotero.org/users/11809071/items/DYYRG5RL"],"itemData":{"id":1091,"type":"webpage","language":"pt-br","note":"Página de pesquisa realizada por instituto nacional de estatísticas","title":"Censo Demográfico 2022","URL":"https://censo2022.ibge.gov.br/","author":[{"literal":"IBGE"}],"accessed":{"date-parts":[["2023",6,15]]},"issued":{"date-parts":[["2022"]]},"citation-key":"ibge2022b"}}],"schema":"https://github.com/citation-style-language/schema/raw/master/csl-citation.json"} </w:instrText>
      </w:r>
      <w:r w:rsidR="00FB1349" w:rsidRPr="00B50C3C">
        <w:fldChar w:fldCharType="separate"/>
      </w:r>
      <w:r w:rsidR="007E5FB0" w:rsidRPr="00B50C3C">
        <w:t>(IBGE, 2006, 2016, 2022)</w:t>
      </w:r>
      <w:r w:rsidR="00FB1349" w:rsidRPr="00B50C3C">
        <w:fldChar w:fldCharType="end"/>
      </w:r>
      <w:r w:rsidRPr="00B50C3C">
        <w:t xml:space="preserve">. </w:t>
      </w:r>
    </w:p>
    <w:p w14:paraId="53EE8927" w14:textId="77777777" w:rsidR="00DA5C94" w:rsidRDefault="00DA5C94" w:rsidP="00DA5C94">
      <w:pPr>
        <w:pStyle w:val="Ttulo2"/>
        <w:numPr>
          <w:ilvl w:val="1"/>
          <w:numId w:val="14"/>
        </w:numPr>
      </w:pPr>
      <w:bookmarkStart w:id="8" w:name="_Toc211615602"/>
      <w:r>
        <w:lastRenderedPageBreak/>
        <w:t>Situação de Domicílio</w:t>
      </w:r>
      <w:bookmarkEnd w:id="8"/>
    </w:p>
    <w:p w14:paraId="01107E94" w14:textId="554F2A4D" w:rsidR="00DA5C94" w:rsidRDefault="00DA5C94" w:rsidP="00DA5C94">
      <w:pPr>
        <w:pStyle w:val="Corpodetexto"/>
      </w:pPr>
      <w:r>
        <w:t xml:space="preserve">Em relação à situação de domicílio, observa-se, como esperado, aumento da população vivendo nas cidades, seguindo a tendência estadual, brasileira e mundial. A Região Intermediária Campos dos Goytacazes apresenta a menor taxa de urbanização (88,7%) em 2022, contra 97,4% da taxa </w:t>
      </w:r>
      <w:r w:rsidR="32B1FB4A">
        <w:t>da</w:t>
      </w:r>
      <w:r>
        <w:t xml:space="preserve"> Região Intermediária Macaé-Rio das Ostras-Cabo Frio. A menor taxa entre os municípios da Região Intermediária Campos do Goytacazes em 2022 foi em São José de ubá, pertencente à Região Imediata Itaperuna, por outro lado o município de Itaperuna, que dá nome à Região Imediata, apresenta a maior taxa de urbanização em 2022. </w:t>
      </w:r>
    </w:p>
    <w:p w14:paraId="70D4AC55" w14:textId="77777777" w:rsidR="00DA5C94" w:rsidRDefault="00DA5C94" w:rsidP="00DA5C94">
      <w:pPr>
        <w:pStyle w:val="Corpodetexto"/>
      </w:pPr>
      <w:r>
        <w:t>Entre os municípios da Região Intermediária Macaé-Rio das Ostras-Cabo Frio, Armação de Búzios e Arraial do Cabo apresentam taxa de urbanização de 100% em todos os anos (2000, 2010 e 2022), ambos pertencentes à Região Imediata Cabo Frio. A menor taxa de urbanização foi verificada em 2022 em Quissamã (81,1%). (Ver tabela 2).</w:t>
      </w:r>
    </w:p>
    <w:p w14:paraId="29E43E67" w14:textId="6E537274" w:rsidR="00DA5C94" w:rsidRDefault="00DA5C94" w:rsidP="00DA5C94">
      <w:pPr>
        <w:pStyle w:val="TTabela"/>
      </w:pPr>
      <w:r>
        <w:lastRenderedPageBreak/>
        <w:t>Tabela 2</w:t>
      </w:r>
      <w:r w:rsidR="00B50C3C">
        <w:t xml:space="preserve"> – </w:t>
      </w:r>
      <w:r>
        <w:t>Taxa de Urbanização por Regiões Geográficas Intermediárias e Imediatas do Estado do Rio de janeiro – 2000-2022</w:t>
      </w:r>
    </w:p>
    <w:tbl>
      <w:tblPr>
        <w:tblW w:w="0" w:type="auto"/>
        <w:jc w:val="center"/>
        <w:tblCellMar>
          <w:left w:w="70" w:type="dxa"/>
          <w:right w:w="70" w:type="dxa"/>
        </w:tblCellMar>
        <w:tblLook w:val="04A0" w:firstRow="1" w:lastRow="0" w:firstColumn="1" w:lastColumn="0" w:noHBand="0" w:noVBand="1"/>
      </w:tblPr>
      <w:tblGrid>
        <w:gridCol w:w="5626"/>
        <w:gridCol w:w="709"/>
        <w:gridCol w:w="709"/>
        <w:gridCol w:w="709"/>
      </w:tblGrid>
      <w:tr w:rsidR="00DA5C94" w:rsidRPr="0077745A" w14:paraId="3D0FB292" w14:textId="77777777" w:rsidTr="0077745A">
        <w:trPr>
          <w:cantSplit/>
          <w:trHeight w:val="20"/>
          <w:jc w:val="center"/>
        </w:trPr>
        <w:tc>
          <w:tcPr>
            <w:tcW w:w="0" w:type="auto"/>
            <w:vMerge w:val="restart"/>
            <w:tcBorders>
              <w:top w:val="single" w:sz="12" w:space="0" w:color="auto"/>
              <w:left w:val="nil"/>
              <w:bottom w:val="single" w:sz="8" w:space="0" w:color="156082"/>
              <w:right w:val="single" w:sz="8" w:space="0" w:color="156082"/>
            </w:tcBorders>
            <w:noWrap/>
            <w:hideMark/>
          </w:tcPr>
          <w:p w14:paraId="343ACEA9" w14:textId="77777777" w:rsidR="00DA5C94" w:rsidRPr="0077745A" w:rsidRDefault="00DA5C94" w:rsidP="0077745A">
            <w:pPr>
              <w:keepNext/>
              <w:jc w:val="center"/>
              <w:rPr>
                <w:rFonts w:ascii="Aptos Narrow" w:hAnsi="Aptos Narrow"/>
                <w:b/>
                <w:bCs/>
                <w:color w:val="000000"/>
                <w:sz w:val="20"/>
                <w:szCs w:val="20"/>
              </w:rPr>
            </w:pPr>
            <w:r w:rsidRPr="0077745A">
              <w:rPr>
                <w:rFonts w:ascii="Aptos Narrow" w:hAnsi="Aptos Narrow"/>
                <w:b/>
                <w:bCs/>
                <w:color w:val="000000"/>
                <w:sz w:val="20"/>
                <w:szCs w:val="20"/>
              </w:rPr>
              <w:t>Unidades Territoriais</w:t>
            </w:r>
          </w:p>
        </w:tc>
        <w:tc>
          <w:tcPr>
            <w:tcW w:w="0" w:type="auto"/>
            <w:gridSpan w:val="3"/>
            <w:tcBorders>
              <w:top w:val="single" w:sz="12" w:space="0" w:color="auto"/>
              <w:left w:val="nil"/>
              <w:bottom w:val="single" w:sz="8" w:space="0" w:color="156082"/>
              <w:right w:val="single" w:sz="8" w:space="0" w:color="156082"/>
            </w:tcBorders>
            <w:noWrap/>
            <w:hideMark/>
          </w:tcPr>
          <w:p w14:paraId="4F16E9AF" w14:textId="77777777" w:rsidR="00DA5C94" w:rsidRPr="0077745A" w:rsidRDefault="00DA5C94" w:rsidP="0077745A">
            <w:pPr>
              <w:keepNext/>
              <w:jc w:val="center"/>
              <w:rPr>
                <w:rFonts w:ascii="Aptos Narrow" w:hAnsi="Aptos Narrow"/>
                <w:b/>
                <w:bCs/>
                <w:color w:val="000000"/>
                <w:sz w:val="20"/>
                <w:szCs w:val="20"/>
              </w:rPr>
            </w:pPr>
            <w:r w:rsidRPr="0077745A">
              <w:rPr>
                <w:rFonts w:ascii="Aptos Narrow" w:hAnsi="Aptos Narrow"/>
                <w:b/>
                <w:bCs/>
                <w:color w:val="000000"/>
                <w:sz w:val="20"/>
                <w:szCs w:val="20"/>
              </w:rPr>
              <w:t>Taxa de urbanização (%)</w:t>
            </w:r>
          </w:p>
        </w:tc>
      </w:tr>
      <w:tr w:rsidR="00DA5C94" w:rsidRPr="0077745A" w14:paraId="233B2470" w14:textId="77777777" w:rsidTr="0077745A">
        <w:trPr>
          <w:cantSplit/>
          <w:trHeight w:val="20"/>
          <w:jc w:val="center"/>
        </w:trPr>
        <w:tc>
          <w:tcPr>
            <w:tcW w:w="0" w:type="auto"/>
            <w:vMerge/>
            <w:tcBorders>
              <w:top w:val="single" w:sz="12" w:space="0" w:color="auto"/>
              <w:left w:val="nil"/>
              <w:bottom w:val="single" w:sz="8" w:space="0" w:color="156082"/>
              <w:right w:val="single" w:sz="8" w:space="0" w:color="156082"/>
            </w:tcBorders>
            <w:hideMark/>
          </w:tcPr>
          <w:p w14:paraId="1E425645" w14:textId="77777777" w:rsidR="00DA5C94" w:rsidRPr="0077745A" w:rsidRDefault="00DA5C94" w:rsidP="0077745A">
            <w:pPr>
              <w:keepNext/>
              <w:jc w:val="center"/>
              <w:rPr>
                <w:rFonts w:ascii="Aptos Narrow" w:hAnsi="Aptos Narrow"/>
                <w:b/>
                <w:bCs/>
                <w:color w:val="000000"/>
                <w:sz w:val="20"/>
                <w:szCs w:val="20"/>
              </w:rPr>
            </w:pPr>
          </w:p>
        </w:tc>
        <w:tc>
          <w:tcPr>
            <w:tcW w:w="0" w:type="auto"/>
            <w:tcBorders>
              <w:top w:val="nil"/>
              <w:left w:val="nil"/>
              <w:bottom w:val="single" w:sz="8" w:space="0" w:color="156082"/>
              <w:right w:val="single" w:sz="8" w:space="0" w:color="156082"/>
            </w:tcBorders>
            <w:noWrap/>
            <w:hideMark/>
          </w:tcPr>
          <w:p w14:paraId="71F456A0" w14:textId="77777777" w:rsidR="00DA5C94" w:rsidRPr="0077745A" w:rsidRDefault="00DA5C94" w:rsidP="0077745A">
            <w:pPr>
              <w:keepNext/>
              <w:jc w:val="center"/>
              <w:rPr>
                <w:rFonts w:ascii="Aptos Narrow" w:hAnsi="Aptos Narrow"/>
                <w:b/>
                <w:bCs/>
                <w:color w:val="000000"/>
                <w:sz w:val="20"/>
                <w:szCs w:val="20"/>
              </w:rPr>
            </w:pPr>
            <w:r w:rsidRPr="0077745A">
              <w:rPr>
                <w:rFonts w:ascii="Aptos Narrow" w:hAnsi="Aptos Narrow"/>
                <w:b/>
                <w:bCs/>
                <w:color w:val="000000"/>
                <w:sz w:val="20"/>
                <w:szCs w:val="20"/>
              </w:rPr>
              <w:t>2000</w:t>
            </w:r>
          </w:p>
        </w:tc>
        <w:tc>
          <w:tcPr>
            <w:tcW w:w="0" w:type="auto"/>
            <w:tcBorders>
              <w:top w:val="nil"/>
              <w:left w:val="nil"/>
              <w:bottom w:val="single" w:sz="8" w:space="0" w:color="156082"/>
              <w:right w:val="single" w:sz="8" w:space="0" w:color="156082"/>
            </w:tcBorders>
            <w:noWrap/>
            <w:hideMark/>
          </w:tcPr>
          <w:p w14:paraId="45AC35DB" w14:textId="77777777" w:rsidR="00DA5C94" w:rsidRPr="0077745A" w:rsidRDefault="00DA5C94" w:rsidP="0077745A">
            <w:pPr>
              <w:keepNext/>
              <w:jc w:val="center"/>
              <w:rPr>
                <w:rFonts w:ascii="Aptos Narrow" w:hAnsi="Aptos Narrow"/>
                <w:b/>
                <w:bCs/>
                <w:color w:val="000000"/>
                <w:sz w:val="20"/>
                <w:szCs w:val="20"/>
              </w:rPr>
            </w:pPr>
            <w:r w:rsidRPr="0077745A">
              <w:rPr>
                <w:rFonts w:ascii="Aptos Narrow" w:hAnsi="Aptos Narrow"/>
                <w:b/>
                <w:bCs/>
                <w:color w:val="000000"/>
                <w:sz w:val="20"/>
                <w:szCs w:val="20"/>
              </w:rPr>
              <w:t>2010</w:t>
            </w:r>
          </w:p>
        </w:tc>
        <w:tc>
          <w:tcPr>
            <w:tcW w:w="0" w:type="auto"/>
            <w:tcBorders>
              <w:top w:val="nil"/>
              <w:left w:val="nil"/>
              <w:bottom w:val="single" w:sz="8" w:space="0" w:color="156082"/>
              <w:right w:val="nil"/>
            </w:tcBorders>
            <w:noWrap/>
            <w:hideMark/>
          </w:tcPr>
          <w:p w14:paraId="7A9AE474" w14:textId="77777777" w:rsidR="00DA5C94" w:rsidRPr="0077745A" w:rsidRDefault="00DA5C94" w:rsidP="0077745A">
            <w:pPr>
              <w:keepNext/>
              <w:jc w:val="center"/>
              <w:rPr>
                <w:rFonts w:ascii="Aptos Narrow" w:hAnsi="Aptos Narrow"/>
                <w:b/>
                <w:bCs/>
                <w:color w:val="000000"/>
                <w:sz w:val="20"/>
                <w:szCs w:val="20"/>
              </w:rPr>
            </w:pPr>
            <w:r w:rsidRPr="0077745A">
              <w:rPr>
                <w:rFonts w:ascii="Aptos Narrow" w:hAnsi="Aptos Narrow"/>
                <w:b/>
                <w:bCs/>
                <w:color w:val="000000"/>
                <w:sz w:val="20"/>
                <w:szCs w:val="20"/>
              </w:rPr>
              <w:t>2022</w:t>
            </w:r>
          </w:p>
        </w:tc>
      </w:tr>
      <w:tr w:rsidR="00DA5C94" w:rsidRPr="0077745A" w14:paraId="276D6DD6" w14:textId="77777777" w:rsidTr="0077745A">
        <w:trPr>
          <w:cantSplit/>
          <w:trHeight w:val="20"/>
          <w:jc w:val="center"/>
        </w:trPr>
        <w:tc>
          <w:tcPr>
            <w:tcW w:w="0" w:type="auto"/>
            <w:tcBorders>
              <w:top w:val="nil"/>
              <w:left w:val="nil"/>
              <w:bottom w:val="nil"/>
              <w:right w:val="nil"/>
            </w:tcBorders>
            <w:noWrap/>
            <w:hideMark/>
          </w:tcPr>
          <w:p w14:paraId="2EF19E8D" w14:textId="77777777" w:rsidR="00DA5C94" w:rsidRPr="0077745A" w:rsidRDefault="00DA5C94" w:rsidP="0077745A">
            <w:pPr>
              <w:keepNext/>
              <w:rPr>
                <w:rFonts w:ascii="Aptos Narrow" w:hAnsi="Aptos Narrow"/>
                <w:b/>
                <w:bCs/>
                <w:color w:val="000000"/>
                <w:sz w:val="20"/>
                <w:szCs w:val="20"/>
              </w:rPr>
            </w:pPr>
            <w:r w:rsidRPr="0077745A">
              <w:rPr>
                <w:rFonts w:ascii="Aptos Narrow" w:hAnsi="Aptos Narrow"/>
                <w:b/>
                <w:bCs/>
                <w:color w:val="000000"/>
                <w:sz w:val="20"/>
                <w:szCs w:val="20"/>
              </w:rPr>
              <w:t>Região Geográfica Intermediária Campos dos Goytacazes</w:t>
            </w:r>
          </w:p>
        </w:tc>
        <w:tc>
          <w:tcPr>
            <w:tcW w:w="0" w:type="auto"/>
            <w:tcBorders>
              <w:top w:val="nil"/>
              <w:left w:val="nil"/>
              <w:bottom w:val="nil"/>
              <w:right w:val="nil"/>
            </w:tcBorders>
            <w:noWrap/>
            <w:hideMark/>
          </w:tcPr>
          <w:p w14:paraId="065C541A" w14:textId="77777777" w:rsidR="00DA5C94" w:rsidRPr="0077745A" w:rsidRDefault="00DA5C94" w:rsidP="0077745A">
            <w:pPr>
              <w:keepNext/>
              <w:jc w:val="right"/>
              <w:rPr>
                <w:rFonts w:ascii="Aptos Narrow" w:hAnsi="Aptos Narrow"/>
                <w:b/>
                <w:bCs/>
                <w:color w:val="000000"/>
                <w:sz w:val="20"/>
                <w:szCs w:val="20"/>
              </w:rPr>
            </w:pPr>
            <w:r w:rsidRPr="0077745A">
              <w:rPr>
                <w:rFonts w:ascii="Aptos Narrow" w:hAnsi="Aptos Narrow"/>
                <w:b/>
                <w:bCs/>
                <w:color w:val="000000"/>
                <w:sz w:val="20"/>
                <w:szCs w:val="20"/>
              </w:rPr>
              <w:t>81,7</w:t>
            </w:r>
          </w:p>
        </w:tc>
        <w:tc>
          <w:tcPr>
            <w:tcW w:w="0" w:type="auto"/>
            <w:tcBorders>
              <w:top w:val="nil"/>
              <w:left w:val="nil"/>
              <w:bottom w:val="nil"/>
              <w:right w:val="nil"/>
            </w:tcBorders>
            <w:noWrap/>
            <w:hideMark/>
          </w:tcPr>
          <w:p w14:paraId="1F132ADC" w14:textId="77777777" w:rsidR="00DA5C94" w:rsidRPr="0077745A" w:rsidRDefault="00DA5C94" w:rsidP="0077745A">
            <w:pPr>
              <w:keepNext/>
              <w:jc w:val="right"/>
              <w:rPr>
                <w:rFonts w:ascii="Aptos Narrow" w:hAnsi="Aptos Narrow"/>
                <w:b/>
                <w:bCs/>
                <w:color w:val="000000"/>
                <w:sz w:val="20"/>
                <w:szCs w:val="20"/>
              </w:rPr>
            </w:pPr>
            <w:r w:rsidRPr="0077745A">
              <w:rPr>
                <w:rFonts w:ascii="Aptos Narrow" w:hAnsi="Aptos Narrow"/>
                <w:b/>
                <w:bCs/>
                <w:color w:val="000000"/>
                <w:sz w:val="20"/>
                <w:szCs w:val="20"/>
              </w:rPr>
              <w:t>84,6</w:t>
            </w:r>
          </w:p>
        </w:tc>
        <w:tc>
          <w:tcPr>
            <w:tcW w:w="0" w:type="auto"/>
            <w:tcBorders>
              <w:top w:val="nil"/>
              <w:left w:val="nil"/>
              <w:bottom w:val="nil"/>
              <w:right w:val="nil"/>
            </w:tcBorders>
            <w:noWrap/>
            <w:hideMark/>
          </w:tcPr>
          <w:p w14:paraId="3D60035A" w14:textId="77777777" w:rsidR="00DA5C94" w:rsidRPr="0077745A" w:rsidRDefault="00DA5C94" w:rsidP="0077745A">
            <w:pPr>
              <w:keepNext/>
              <w:jc w:val="right"/>
              <w:rPr>
                <w:rFonts w:ascii="Aptos Narrow" w:hAnsi="Aptos Narrow"/>
                <w:b/>
                <w:bCs/>
                <w:color w:val="000000"/>
                <w:sz w:val="20"/>
                <w:szCs w:val="20"/>
              </w:rPr>
            </w:pPr>
            <w:r w:rsidRPr="0077745A">
              <w:rPr>
                <w:rFonts w:ascii="Aptos Narrow" w:hAnsi="Aptos Narrow"/>
                <w:b/>
                <w:bCs/>
                <w:color w:val="000000"/>
                <w:sz w:val="20"/>
                <w:szCs w:val="20"/>
              </w:rPr>
              <w:t>88,7</w:t>
            </w:r>
          </w:p>
        </w:tc>
      </w:tr>
      <w:tr w:rsidR="00DA5C94" w:rsidRPr="0077745A" w14:paraId="17D20477" w14:textId="77777777" w:rsidTr="0077745A">
        <w:trPr>
          <w:cantSplit/>
          <w:trHeight w:val="20"/>
          <w:jc w:val="center"/>
        </w:trPr>
        <w:tc>
          <w:tcPr>
            <w:tcW w:w="0" w:type="auto"/>
            <w:tcBorders>
              <w:top w:val="nil"/>
              <w:left w:val="nil"/>
              <w:bottom w:val="nil"/>
              <w:right w:val="nil"/>
            </w:tcBorders>
            <w:shd w:val="clear" w:color="000000" w:fill="FFCC99"/>
            <w:noWrap/>
            <w:hideMark/>
          </w:tcPr>
          <w:p w14:paraId="2C1B71ED" w14:textId="77777777" w:rsidR="00DA5C94" w:rsidRPr="0077745A" w:rsidRDefault="00DA5C94" w:rsidP="0077745A">
            <w:pPr>
              <w:keepNext/>
              <w:rPr>
                <w:rFonts w:ascii="Aptos Narrow" w:hAnsi="Aptos Narrow"/>
                <w:color w:val="3F3F76"/>
                <w:sz w:val="20"/>
                <w:szCs w:val="20"/>
              </w:rPr>
            </w:pPr>
            <w:r w:rsidRPr="0077745A">
              <w:rPr>
                <w:rFonts w:ascii="Aptos Narrow" w:hAnsi="Aptos Narrow"/>
                <w:color w:val="3F3F76"/>
                <w:sz w:val="20"/>
                <w:szCs w:val="20"/>
              </w:rPr>
              <w:t>Região Geográfica Imediata Campos dos Goytacazes</w:t>
            </w:r>
          </w:p>
        </w:tc>
        <w:tc>
          <w:tcPr>
            <w:tcW w:w="0" w:type="auto"/>
            <w:tcBorders>
              <w:top w:val="nil"/>
              <w:left w:val="nil"/>
              <w:bottom w:val="nil"/>
              <w:right w:val="nil"/>
            </w:tcBorders>
            <w:shd w:val="clear" w:color="000000" w:fill="FFCC99"/>
            <w:noWrap/>
            <w:hideMark/>
          </w:tcPr>
          <w:p w14:paraId="33EE5A01" w14:textId="77777777" w:rsidR="00DA5C94" w:rsidRPr="0077745A" w:rsidRDefault="00DA5C94" w:rsidP="0077745A">
            <w:pPr>
              <w:keepNext/>
              <w:jc w:val="right"/>
              <w:rPr>
                <w:rFonts w:ascii="Aptos Narrow" w:hAnsi="Aptos Narrow"/>
                <w:color w:val="3F3F76"/>
                <w:sz w:val="20"/>
                <w:szCs w:val="20"/>
              </w:rPr>
            </w:pPr>
            <w:r w:rsidRPr="0077745A">
              <w:rPr>
                <w:rFonts w:ascii="Aptos Narrow" w:hAnsi="Aptos Narrow"/>
                <w:color w:val="3F3F76"/>
                <w:sz w:val="20"/>
                <w:szCs w:val="20"/>
              </w:rPr>
              <w:t>83,0</w:t>
            </w:r>
          </w:p>
        </w:tc>
        <w:tc>
          <w:tcPr>
            <w:tcW w:w="0" w:type="auto"/>
            <w:tcBorders>
              <w:top w:val="nil"/>
              <w:left w:val="nil"/>
              <w:bottom w:val="nil"/>
              <w:right w:val="nil"/>
            </w:tcBorders>
            <w:shd w:val="clear" w:color="000000" w:fill="FFCC99"/>
            <w:noWrap/>
            <w:hideMark/>
          </w:tcPr>
          <w:p w14:paraId="59FFA816" w14:textId="77777777" w:rsidR="00DA5C94" w:rsidRPr="0077745A" w:rsidRDefault="00DA5C94" w:rsidP="0077745A">
            <w:pPr>
              <w:keepNext/>
              <w:jc w:val="right"/>
              <w:rPr>
                <w:rFonts w:ascii="Aptos Narrow" w:hAnsi="Aptos Narrow"/>
                <w:color w:val="3F3F76"/>
                <w:sz w:val="20"/>
                <w:szCs w:val="20"/>
              </w:rPr>
            </w:pPr>
            <w:r w:rsidRPr="0077745A">
              <w:rPr>
                <w:rFonts w:ascii="Aptos Narrow" w:hAnsi="Aptos Narrow"/>
                <w:color w:val="3F3F76"/>
                <w:sz w:val="20"/>
                <w:szCs w:val="20"/>
              </w:rPr>
              <w:t>85,4</w:t>
            </w:r>
          </w:p>
        </w:tc>
        <w:tc>
          <w:tcPr>
            <w:tcW w:w="0" w:type="auto"/>
            <w:tcBorders>
              <w:top w:val="nil"/>
              <w:left w:val="nil"/>
              <w:bottom w:val="nil"/>
              <w:right w:val="nil"/>
            </w:tcBorders>
            <w:shd w:val="clear" w:color="000000" w:fill="FFCC99"/>
            <w:noWrap/>
            <w:hideMark/>
          </w:tcPr>
          <w:p w14:paraId="3FE03806" w14:textId="77777777" w:rsidR="00DA5C94" w:rsidRPr="0077745A" w:rsidRDefault="00DA5C94" w:rsidP="0077745A">
            <w:pPr>
              <w:keepNext/>
              <w:jc w:val="right"/>
              <w:rPr>
                <w:rFonts w:ascii="Aptos Narrow" w:hAnsi="Aptos Narrow"/>
                <w:color w:val="3F3F76"/>
                <w:sz w:val="20"/>
                <w:szCs w:val="20"/>
              </w:rPr>
            </w:pPr>
            <w:r w:rsidRPr="0077745A">
              <w:rPr>
                <w:rFonts w:ascii="Aptos Narrow" w:hAnsi="Aptos Narrow"/>
                <w:color w:val="3F3F76"/>
                <w:sz w:val="20"/>
                <w:szCs w:val="20"/>
              </w:rPr>
              <w:t>89,0</w:t>
            </w:r>
          </w:p>
        </w:tc>
      </w:tr>
      <w:tr w:rsidR="00DA5C94" w:rsidRPr="0077745A" w14:paraId="7CA3A70D" w14:textId="77777777" w:rsidTr="0077745A">
        <w:trPr>
          <w:cantSplit/>
          <w:trHeight w:val="20"/>
          <w:jc w:val="center"/>
        </w:trPr>
        <w:tc>
          <w:tcPr>
            <w:tcW w:w="0" w:type="auto"/>
            <w:tcBorders>
              <w:top w:val="nil"/>
              <w:left w:val="nil"/>
              <w:bottom w:val="nil"/>
              <w:right w:val="nil"/>
            </w:tcBorders>
            <w:noWrap/>
            <w:hideMark/>
          </w:tcPr>
          <w:p w14:paraId="6F020B3D" w14:textId="77777777" w:rsidR="00DA5C94" w:rsidRPr="0077745A" w:rsidRDefault="00DA5C94" w:rsidP="0077745A">
            <w:pPr>
              <w:keepNext/>
              <w:rPr>
                <w:rFonts w:ascii="Aptos Narrow" w:hAnsi="Aptos Narrow"/>
                <w:color w:val="000000"/>
                <w:sz w:val="20"/>
                <w:szCs w:val="20"/>
              </w:rPr>
            </w:pPr>
            <w:r w:rsidRPr="0077745A">
              <w:rPr>
                <w:rFonts w:ascii="Aptos Narrow" w:hAnsi="Aptos Narrow"/>
                <w:color w:val="000000"/>
                <w:sz w:val="20"/>
                <w:szCs w:val="20"/>
              </w:rPr>
              <w:t>Campos dos Goytacazes</w:t>
            </w:r>
          </w:p>
        </w:tc>
        <w:tc>
          <w:tcPr>
            <w:tcW w:w="0" w:type="auto"/>
            <w:tcBorders>
              <w:top w:val="nil"/>
              <w:left w:val="nil"/>
              <w:bottom w:val="nil"/>
              <w:right w:val="nil"/>
            </w:tcBorders>
            <w:noWrap/>
            <w:hideMark/>
          </w:tcPr>
          <w:p w14:paraId="3C762456"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89,4</w:t>
            </w:r>
          </w:p>
        </w:tc>
        <w:tc>
          <w:tcPr>
            <w:tcW w:w="0" w:type="auto"/>
            <w:tcBorders>
              <w:top w:val="nil"/>
              <w:left w:val="nil"/>
              <w:bottom w:val="nil"/>
              <w:right w:val="nil"/>
            </w:tcBorders>
            <w:noWrap/>
            <w:hideMark/>
          </w:tcPr>
          <w:p w14:paraId="1B5CD6C7"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90,3</w:t>
            </w:r>
          </w:p>
        </w:tc>
        <w:tc>
          <w:tcPr>
            <w:tcW w:w="0" w:type="auto"/>
            <w:tcBorders>
              <w:top w:val="nil"/>
              <w:left w:val="nil"/>
              <w:bottom w:val="nil"/>
              <w:right w:val="nil"/>
            </w:tcBorders>
            <w:noWrap/>
            <w:hideMark/>
          </w:tcPr>
          <w:p w14:paraId="53A85A79"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93,5</w:t>
            </w:r>
          </w:p>
        </w:tc>
      </w:tr>
      <w:tr w:rsidR="00DA5C94" w:rsidRPr="0077745A" w14:paraId="6D3A2548" w14:textId="77777777" w:rsidTr="0077745A">
        <w:trPr>
          <w:cantSplit/>
          <w:trHeight w:val="20"/>
          <w:jc w:val="center"/>
        </w:trPr>
        <w:tc>
          <w:tcPr>
            <w:tcW w:w="0" w:type="auto"/>
            <w:tcBorders>
              <w:top w:val="nil"/>
              <w:left w:val="nil"/>
              <w:bottom w:val="nil"/>
              <w:right w:val="nil"/>
            </w:tcBorders>
            <w:noWrap/>
            <w:hideMark/>
          </w:tcPr>
          <w:p w14:paraId="2D4C886C" w14:textId="77777777" w:rsidR="00DA5C94" w:rsidRPr="0077745A" w:rsidRDefault="00DA5C94" w:rsidP="0077745A">
            <w:pPr>
              <w:keepNext/>
              <w:rPr>
                <w:rFonts w:ascii="Aptos Narrow" w:hAnsi="Aptos Narrow"/>
                <w:color w:val="000000"/>
                <w:sz w:val="20"/>
                <w:szCs w:val="20"/>
              </w:rPr>
            </w:pPr>
            <w:r w:rsidRPr="0077745A">
              <w:rPr>
                <w:rFonts w:ascii="Aptos Narrow" w:hAnsi="Aptos Narrow"/>
                <w:color w:val="000000"/>
                <w:sz w:val="20"/>
                <w:szCs w:val="20"/>
              </w:rPr>
              <w:t>Cardoso Moreira</w:t>
            </w:r>
          </w:p>
        </w:tc>
        <w:tc>
          <w:tcPr>
            <w:tcW w:w="0" w:type="auto"/>
            <w:tcBorders>
              <w:top w:val="nil"/>
              <w:left w:val="nil"/>
              <w:bottom w:val="nil"/>
              <w:right w:val="nil"/>
            </w:tcBorders>
            <w:noWrap/>
            <w:hideMark/>
          </w:tcPr>
          <w:p w14:paraId="6C1A63E2"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63,8</w:t>
            </w:r>
          </w:p>
        </w:tc>
        <w:tc>
          <w:tcPr>
            <w:tcW w:w="0" w:type="auto"/>
            <w:tcBorders>
              <w:top w:val="nil"/>
              <w:left w:val="nil"/>
              <w:bottom w:val="nil"/>
              <w:right w:val="nil"/>
            </w:tcBorders>
            <w:noWrap/>
            <w:hideMark/>
          </w:tcPr>
          <w:p w14:paraId="4B76CE56"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69,5</w:t>
            </w:r>
          </w:p>
        </w:tc>
        <w:tc>
          <w:tcPr>
            <w:tcW w:w="0" w:type="auto"/>
            <w:tcBorders>
              <w:top w:val="nil"/>
              <w:left w:val="nil"/>
              <w:bottom w:val="nil"/>
              <w:right w:val="nil"/>
            </w:tcBorders>
            <w:noWrap/>
            <w:hideMark/>
          </w:tcPr>
          <w:p w14:paraId="27D68F09"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71,3</w:t>
            </w:r>
          </w:p>
        </w:tc>
      </w:tr>
      <w:tr w:rsidR="00DA5C94" w:rsidRPr="0077745A" w14:paraId="1A1D3D3C" w14:textId="77777777" w:rsidTr="0077745A">
        <w:trPr>
          <w:cantSplit/>
          <w:trHeight w:val="20"/>
          <w:jc w:val="center"/>
        </w:trPr>
        <w:tc>
          <w:tcPr>
            <w:tcW w:w="0" w:type="auto"/>
            <w:tcBorders>
              <w:top w:val="nil"/>
              <w:left w:val="nil"/>
              <w:bottom w:val="nil"/>
              <w:right w:val="nil"/>
            </w:tcBorders>
            <w:noWrap/>
            <w:hideMark/>
          </w:tcPr>
          <w:p w14:paraId="6AB53344" w14:textId="77777777" w:rsidR="00DA5C94" w:rsidRPr="0077745A" w:rsidRDefault="00DA5C94" w:rsidP="0077745A">
            <w:pPr>
              <w:keepNext/>
              <w:rPr>
                <w:rFonts w:ascii="Aptos Narrow" w:hAnsi="Aptos Narrow"/>
                <w:color w:val="000000"/>
                <w:sz w:val="20"/>
                <w:szCs w:val="20"/>
              </w:rPr>
            </w:pPr>
            <w:r w:rsidRPr="0077745A">
              <w:rPr>
                <w:rFonts w:ascii="Aptos Narrow" w:hAnsi="Aptos Narrow"/>
                <w:color w:val="000000"/>
                <w:sz w:val="20"/>
                <w:szCs w:val="20"/>
              </w:rPr>
              <w:t>Italva</w:t>
            </w:r>
          </w:p>
        </w:tc>
        <w:tc>
          <w:tcPr>
            <w:tcW w:w="0" w:type="auto"/>
            <w:tcBorders>
              <w:top w:val="nil"/>
              <w:left w:val="nil"/>
              <w:bottom w:val="nil"/>
              <w:right w:val="nil"/>
            </w:tcBorders>
            <w:noWrap/>
            <w:hideMark/>
          </w:tcPr>
          <w:p w14:paraId="447C9823"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68,2</w:t>
            </w:r>
          </w:p>
        </w:tc>
        <w:tc>
          <w:tcPr>
            <w:tcW w:w="0" w:type="auto"/>
            <w:tcBorders>
              <w:top w:val="nil"/>
              <w:left w:val="nil"/>
              <w:bottom w:val="nil"/>
              <w:right w:val="nil"/>
            </w:tcBorders>
            <w:noWrap/>
            <w:hideMark/>
          </w:tcPr>
          <w:p w14:paraId="7AE547C9"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72,8</w:t>
            </w:r>
          </w:p>
        </w:tc>
        <w:tc>
          <w:tcPr>
            <w:tcW w:w="0" w:type="auto"/>
            <w:tcBorders>
              <w:top w:val="nil"/>
              <w:left w:val="nil"/>
              <w:bottom w:val="nil"/>
              <w:right w:val="nil"/>
            </w:tcBorders>
            <w:noWrap/>
            <w:hideMark/>
          </w:tcPr>
          <w:p w14:paraId="48FFD864"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77,7</w:t>
            </w:r>
          </w:p>
        </w:tc>
      </w:tr>
      <w:tr w:rsidR="00DA5C94" w:rsidRPr="0077745A" w14:paraId="201E3FDA" w14:textId="77777777" w:rsidTr="0077745A">
        <w:trPr>
          <w:cantSplit/>
          <w:trHeight w:val="20"/>
          <w:jc w:val="center"/>
        </w:trPr>
        <w:tc>
          <w:tcPr>
            <w:tcW w:w="0" w:type="auto"/>
            <w:tcBorders>
              <w:top w:val="nil"/>
              <w:left w:val="nil"/>
              <w:bottom w:val="nil"/>
              <w:right w:val="nil"/>
            </w:tcBorders>
            <w:noWrap/>
            <w:hideMark/>
          </w:tcPr>
          <w:p w14:paraId="6EC2F685" w14:textId="77777777" w:rsidR="00DA5C94" w:rsidRPr="0077745A" w:rsidRDefault="00DA5C94" w:rsidP="0077745A">
            <w:pPr>
              <w:keepNext/>
              <w:rPr>
                <w:rFonts w:ascii="Aptos Narrow" w:hAnsi="Aptos Narrow"/>
                <w:color w:val="000000"/>
                <w:sz w:val="20"/>
                <w:szCs w:val="20"/>
              </w:rPr>
            </w:pPr>
            <w:r w:rsidRPr="0077745A">
              <w:rPr>
                <w:rFonts w:ascii="Aptos Narrow" w:hAnsi="Aptos Narrow"/>
                <w:color w:val="000000"/>
                <w:sz w:val="20"/>
                <w:szCs w:val="20"/>
              </w:rPr>
              <w:t>São Francisco de Itabapoana</w:t>
            </w:r>
          </w:p>
        </w:tc>
        <w:tc>
          <w:tcPr>
            <w:tcW w:w="0" w:type="auto"/>
            <w:tcBorders>
              <w:top w:val="nil"/>
              <w:left w:val="nil"/>
              <w:bottom w:val="nil"/>
              <w:right w:val="nil"/>
            </w:tcBorders>
            <w:noWrap/>
            <w:hideMark/>
          </w:tcPr>
          <w:p w14:paraId="48783058"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47,6</w:t>
            </w:r>
          </w:p>
        </w:tc>
        <w:tc>
          <w:tcPr>
            <w:tcW w:w="0" w:type="auto"/>
            <w:tcBorders>
              <w:top w:val="nil"/>
              <w:left w:val="nil"/>
              <w:bottom w:val="nil"/>
              <w:right w:val="nil"/>
            </w:tcBorders>
            <w:noWrap/>
            <w:hideMark/>
          </w:tcPr>
          <w:p w14:paraId="45E38CB1"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51,0</w:t>
            </w:r>
          </w:p>
        </w:tc>
        <w:tc>
          <w:tcPr>
            <w:tcW w:w="0" w:type="auto"/>
            <w:tcBorders>
              <w:top w:val="nil"/>
              <w:left w:val="nil"/>
              <w:bottom w:val="nil"/>
              <w:right w:val="nil"/>
            </w:tcBorders>
            <w:noWrap/>
            <w:hideMark/>
          </w:tcPr>
          <w:p w14:paraId="45992B48"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61,9</w:t>
            </w:r>
          </w:p>
        </w:tc>
      </w:tr>
      <w:tr w:rsidR="00DA5C94" w:rsidRPr="0077745A" w14:paraId="3A1E4502" w14:textId="77777777" w:rsidTr="0077745A">
        <w:trPr>
          <w:cantSplit/>
          <w:trHeight w:val="20"/>
          <w:jc w:val="center"/>
        </w:trPr>
        <w:tc>
          <w:tcPr>
            <w:tcW w:w="0" w:type="auto"/>
            <w:tcBorders>
              <w:top w:val="nil"/>
              <w:left w:val="nil"/>
              <w:bottom w:val="nil"/>
              <w:right w:val="nil"/>
            </w:tcBorders>
            <w:noWrap/>
            <w:hideMark/>
          </w:tcPr>
          <w:p w14:paraId="438447BE" w14:textId="77777777" w:rsidR="00DA5C94" w:rsidRPr="0077745A" w:rsidRDefault="00DA5C94" w:rsidP="0077745A">
            <w:pPr>
              <w:keepNext/>
              <w:rPr>
                <w:rFonts w:ascii="Aptos Narrow" w:hAnsi="Aptos Narrow"/>
                <w:color w:val="000000"/>
                <w:sz w:val="20"/>
                <w:szCs w:val="20"/>
              </w:rPr>
            </w:pPr>
            <w:r w:rsidRPr="0077745A">
              <w:rPr>
                <w:rFonts w:ascii="Aptos Narrow" w:hAnsi="Aptos Narrow"/>
                <w:color w:val="000000"/>
                <w:sz w:val="20"/>
                <w:szCs w:val="20"/>
              </w:rPr>
              <w:t>São Fidélis</w:t>
            </w:r>
          </w:p>
        </w:tc>
        <w:tc>
          <w:tcPr>
            <w:tcW w:w="0" w:type="auto"/>
            <w:tcBorders>
              <w:top w:val="nil"/>
              <w:left w:val="nil"/>
              <w:bottom w:val="nil"/>
              <w:right w:val="nil"/>
            </w:tcBorders>
            <w:noWrap/>
            <w:hideMark/>
          </w:tcPr>
          <w:p w14:paraId="44C10AAE"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72,1</w:t>
            </w:r>
          </w:p>
        </w:tc>
        <w:tc>
          <w:tcPr>
            <w:tcW w:w="0" w:type="auto"/>
            <w:tcBorders>
              <w:top w:val="nil"/>
              <w:left w:val="nil"/>
              <w:bottom w:val="nil"/>
              <w:right w:val="nil"/>
            </w:tcBorders>
            <w:noWrap/>
            <w:hideMark/>
          </w:tcPr>
          <w:p w14:paraId="3CC39A11"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79,1</w:t>
            </w:r>
          </w:p>
        </w:tc>
        <w:tc>
          <w:tcPr>
            <w:tcW w:w="0" w:type="auto"/>
            <w:tcBorders>
              <w:top w:val="nil"/>
              <w:left w:val="nil"/>
              <w:bottom w:val="nil"/>
              <w:right w:val="nil"/>
            </w:tcBorders>
            <w:noWrap/>
            <w:hideMark/>
          </w:tcPr>
          <w:p w14:paraId="36FA4462"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82,9</w:t>
            </w:r>
          </w:p>
        </w:tc>
      </w:tr>
      <w:tr w:rsidR="00DA5C94" w:rsidRPr="0077745A" w14:paraId="64A0382B" w14:textId="77777777" w:rsidTr="0077745A">
        <w:trPr>
          <w:cantSplit/>
          <w:trHeight w:val="20"/>
          <w:jc w:val="center"/>
        </w:trPr>
        <w:tc>
          <w:tcPr>
            <w:tcW w:w="0" w:type="auto"/>
            <w:tcBorders>
              <w:top w:val="nil"/>
              <w:left w:val="nil"/>
              <w:bottom w:val="nil"/>
              <w:right w:val="nil"/>
            </w:tcBorders>
            <w:noWrap/>
            <w:hideMark/>
          </w:tcPr>
          <w:p w14:paraId="364A3CA9" w14:textId="77777777" w:rsidR="00DA5C94" w:rsidRPr="0077745A" w:rsidRDefault="00DA5C94" w:rsidP="0077745A">
            <w:pPr>
              <w:keepNext/>
              <w:rPr>
                <w:rFonts w:ascii="Aptos Narrow" w:hAnsi="Aptos Narrow"/>
                <w:color w:val="000000"/>
                <w:sz w:val="20"/>
                <w:szCs w:val="20"/>
              </w:rPr>
            </w:pPr>
            <w:r w:rsidRPr="0077745A">
              <w:rPr>
                <w:rFonts w:ascii="Aptos Narrow" w:hAnsi="Aptos Narrow"/>
                <w:color w:val="000000"/>
                <w:sz w:val="20"/>
                <w:szCs w:val="20"/>
              </w:rPr>
              <w:t>São João da Barra</w:t>
            </w:r>
          </w:p>
        </w:tc>
        <w:tc>
          <w:tcPr>
            <w:tcW w:w="0" w:type="auto"/>
            <w:tcBorders>
              <w:top w:val="nil"/>
              <w:left w:val="nil"/>
              <w:bottom w:val="nil"/>
              <w:right w:val="nil"/>
            </w:tcBorders>
            <w:noWrap/>
            <w:hideMark/>
          </w:tcPr>
          <w:p w14:paraId="5905FE8D"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70,9</w:t>
            </w:r>
          </w:p>
        </w:tc>
        <w:tc>
          <w:tcPr>
            <w:tcW w:w="0" w:type="auto"/>
            <w:tcBorders>
              <w:top w:val="nil"/>
              <w:left w:val="nil"/>
              <w:bottom w:val="nil"/>
              <w:right w:val="nil"/>
            </w:tcBorders>
            <w:noWrap/>
            <w:hideMark/>
          </w:tcPr>
          <w:p w14:paraId="56035B49"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78,5</w:t>
            </w:r>
          </w:p>
        </w:tc>
        <w:tc>
          <w:tcPr>
            <w:tcW w:w="0" w:type="auto"/>
            <w:tcBorders>
              <w:top w:val="nil"/>
              <w:left w:val="nil"/>
              <w:bottom w:val="nil"/>
              <w:right w:val="nil"/>
            </w:tcBorders>
            <w:noWrap/>
            <w:hideMark/>
          </w:tcPr>
          <w:p w14:paraId="59D1E738"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79,8</w:t>
            </w:r>
          </w:p>
        </w:tc>
      </w:tr>
      <w:tr w:rsidR="00DA5C94" w:rsidRPr="0077745A" w14:paraId="0EFD48B3" w14:textId="77777777" w:rsidTr="0077745A">
        <w:trPr>
          <w:cantSplit/>
          <w:trHeight w:val="20"/>
          <w:jc w:val="center"/>
        </w:trPr>
        <w:tc>
          <w:tcPr>
            <w:tcW w:w="0" w:type="auto"/>
            <w:tcBorders>
              <w:top w:val="nil"/>
              <w:left w:val="nil"/>
              <w:bottom w:val="nil"/>
              <w:right w:val="nil"/>
            </w:tcBorders>
            <w:shd w:val="clear" w:color="000000" w:fill="FFCC99"/>
            <w:noWrap/>
            <w:hideMark/>
          </w:tcPr>
          <w:p w14:paraId="7197A7E1" w14:textId="77777777" w:rsidR="00DA5C94" w:rsidRPr="0077745A" w:rsidRDefault="00DA5C94" w:rsidP="0077745A">
            <w:pPr>
              <w:keepNext/>
              <w:rPr>
                <w:rFonts w:ascii="Aptos Narrow" w:hAnsi="Aptos Narrow"/>
                <w:color w:val="3F3F76"/>
                <w:sz w:val="20"/>
                <w:szCs w:val="20"/>
              </w:rPr>
            </w:pPr>
            <w:r w:rsidRPr="0077745A">
              <w:rPr>
                <w:rFonts w:ascii="Aptos Narrow" w:hAnsi="Aptos Narrow"/>
                <w:color w:val="3F3F76"/>
                <w:sz w:val="20"/>
                <w:szCs w:val="20"/>
              </w:rPr>
              <w:t>Região Geográfica Imediata Itaperuna</w:t>
            </w:r>
          </w:p>
        </w:tc>
        <w:tc>
          <w:tcPr>
            <w:tcW w:w="0" w:type="auto"/>
            <w:tcBorders>
              <w:top w:val="nil"/>
              <w:left w:val="nil"/>
              <w:bottom w:val="nil"/>
              <w:right w:val="nil"/>
            </w:tcBorders>
            <w:shd w:val="clear" w:color="000000" w:fill="FFCC99"/>
            <w:noWrap/>
            <w:hideMark/>
          </w:tcPr>
          <w:p w14:paraId="62104FE8" w14:textId="77777777" w:rsidR="00DA5C94" w:rsidRPr="0077745A" w:rsidRDefault="00DA5C94" w:rsidP="0077745A">
            <w:pPr>
              <w:keepNext/>
              <w:jc w:val="right"/>
              <w:rPr>
                <w:rFonts w:ascii="Aptos Narrow" w:hAnsi="Aptos Narrow"/>
                <w:color w:val="3F3F76"/>
                <w:sz w:val="20"/>
                <w:szCs w:val="20"/>
              </w:rPr>
            </w:pPr>
            <w:r w:rsidRPr="0077745A">
              <w:rPr>
                <w:rFonts w:ascii="Aptos Narrow" w:hAnsi="Aptos Narrow"/>
                <w:color w:val="3F3F76"/>
                <w:sz w:val="20"/>
                <w:szCs w:val="20"/>
              </w:rPr>
              <w:t>80,6</w:t>
            </w:r>
          </w:p>
        </w:tc>
        <w:tc>
          <w:tcPr>
            <w:tcW w:w="0" w:type="auto"/>
            <w:tcBorders>
              <w:top w:val="nil"/>
              <w:left w:val="nil"/>
              <w:bottom w:val="nil"/>
              <w:right w:val="nil"/>
            </w:tcBorders>
            <w:shd w:val="clear" w:color="000000" w:fill="FFCC99"/>
            <w:noWrap/>
            <w:hideMark/>
          </w:tcPr>
          <w:p w14:paraId="26D66A26" w14:textId="77777777" w:rsidR="00DA5C94" w:rsidRPr="0077745A" w:rsidRDefault="00DA5C94" w:rsidP="0077745A">
            <w:pPr>
              <w:keepNext/>
              <w:jc w:val="right"/>
              <w:rPr>
                <w:rFonts w:ascii="Aptos Narrow" w:hAnsi="Aptos Narrow"/>
                <w:color w:val="3F3F76"/>
                <w:sz w:val="20"/>
                <w:szCs w:val="20"/>
              </w:rPr>
            </w:pPr>
            <w:r w:rsidRPr="0077745A">
              <w:rPr>
                <w:rFonts w:ascii="Aptos Narrow" w:hAnsi="Aptos Narrow"/>
                <w:color w:val="3F3F76"/>
                <w:sz w:val="20"/>
                <w:szCs w:val="20"/>
              </w:rPr>
              <w:t>84,4</w:t>
            </w:r>
          </w:p>
        </w:tc>
        <w:tc>
          <w:tcPr>
            <w:tcW w:w="0" w:type="auto"/>
            <w:tcBorders>
              <w:top w:val="nil"/>
              <w:left w:val="nil"/>
              <w:bottom w:val="nil"/>
              <w:right w:val="nil"/>
            </w:tcBorders>
            <w:shd w:val="clear" w:color="000000" w:fill="FFCC99"/>
            <w:noWrap/>
            <w:hideMark/>
          </w:tcPr>
          <w:p w14:paraId="0AB2F8BE" w14:textId="77777777" w:rsidR="00DA5C94" w:rsidRPr="0077745A" w:rsidRDefault="00DA5C94" w:rsidP="0077745A">
            <w:pPr>
              <w:keepNext/>
              <w:jc w:val="right"/>
              <w:rPr>
                <w:rFonts w:ascii="Aptos Narrow" w:hAnsi="Aptos Narrow"/>
                <w:color w:val="3F3F76"/>
                <w:sz w:val="20"/>
                <w:szCs w:val="20"/>
              </w:rPr>
            </w:pPr>
            <w:r w:rsidRPr="0077745A">
              <w:rPr>
                <w:rFonts w:ascii="Aptos Narrow" w:hAnsi="Aptos Narrow"/>
                <w:color w:val="3F3F76"/>
                <w:sz w:val="20"/>
                <w:szCs w:val="20"/>
              </w:rPr>
              <w:t>87,7</w:t>
            </w:r>
          </w:p>
        </w:tc>
      </w:tr>
      <w:tr w:rsidR="00DA5C94" w:rsidRPr="0077745A" w14:paraId="21810244" w14:textId="77777777" w:rsidTr="0077745A">
        <w:trPr>
          <w:cantSplit/>
          <w:trHeight w:val="20"/>
          <w:jc w:val="center"/>
        </w:trPr>
        <w:tc>
          <w:tcPr>
            <w:tcW w:w="0" w:type="auto"/>
            <w:tcBorders>
              <w:top w:val="nil"/>
              <w:left w:val="nil"/>
              <w:bottom w:val="nil"/>
              <w:right w:val="nil"/>
            </w:tcBorders>
            <w:noWrap/>
            <w:hideMark/>
          </w:tcPr>
          <w:p w14:paraId="25DAACEE" w14:textId="77777777" w:rsidR="00DA5C94" w:rsidRPr="0077745A" w:rsidRDefault="00DA5C94" w:rsidP="0077745A">
            <w:pPr>
              <w:keepNext/>
              <w:rPr>
                <w:rFonts w:ascii="Aptos Narrow" w:hAnsi="Aptos Narrow"/>
                <w:color w:val="000000"/>
                <w:sz w:val="20"/>
                <w:szCs w:val="20"/>
              </w:rPr>
            </w:pPr>
            <w:r w:rsidRPr="0077745A">
              <w:rPr>
                <w:rFonts w:ascii="Aptos Narrow" w:hAnsi="Aptos Narrow"/>
                <w:color w:val="000000"/>
                <w:sz w:val="20"/>
                <w:szCs w:val="20"/>
              </w:rPr>
              <w:t>Bom Jesus do Itabapoana</w:t>
            </w:r>
          </w:p>
        </w:tc>
        <w:tc>
          <w:tcPr>
            <w:tcW w:w="0" w:type="auto"/>
            <w:tcBorders>
              <w:top w:val="nil"/>
              <w:left w:val="nil"/>
              <w:bottom w:val="nil"/>
              <w:right w:val="nil"/>
            </w:tcBorders>
            <w:noWrap/>
            <w:hideMark/>
          </w:tcPr>
          <w:p w14:paraId="5128FF40"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81,5</w:t>
            </w:r>
          </w:p>
        </w:tc>
        <w:tc>
          <w:tcPr>
            <w:tcW w:w="0" w:type="auto"/>
            <w:tcBorders>
              <w:top w:val="nil"/>
              <w:left w:val="nil"/>
              <w:bottom w:val="nil"/>
              <w:right w:val="nil"/>
            </w:tcBorders>
            <w:noWrap/>
            <w:hideMark/>
          </w:tcPr>
          <w:p w14:paraId="2CD51D75"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84,5</w:t>
            </w:r>
          </w:p>
        </w:tc>
        <w:tc>
          <w:tcPr>
            <w:tcW w:w="0" w:type="auto"/>
            <w:tcBorders>
              <w:top w:val="nil"/>
              <w:left w:val="nil"/>
              <w:bottom w:val="nil"/>
              <w:right w:val="nil"/>
            </w:tcBorders>
            <w:noWrap/>
            <w:hideMark/>
          </w:tcPr>
          <w:p w14:paraId="06D7D7DE"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89,2</w:t>
            </w:r>
          </w:p>
        </w:tc>
      </w:tr>
      <w:tr w:rsidR="00DA5C94" w:rsidRPr="0077745A" w14:paraId="29C55BAF" w14:textId="77777777" w:rsidTr="0077745A">
        <w:trPr>
          <w:cantSplit/>
          <w:trHeight w:val="20"/>
          <w:jc w:val="center"/>
        </w:trPr>
        <w:tc>
          <w:tcPr>
            <w:tcW w:w="0" w:type="auto"/>
            <w:tcBorders>
              <w:top w:val="nil"/>
              <w:left w:val="nil"/>
              <w:bottom w:val="nil"/>
              <w:right w:val="nil"/>
            </w:tcBorders>
            <w:noWrap/>
            <w:hideMark/>
          </w:tcPr>
          <w:p w14:paraId="6D40C165" w14:textId="77777777" w:rsidR="00DA5C94" w:rsidRPr="0077745A" w:rsidRDefault="00DA5C94" w:rsidP="0077745A">
            <w:pPr>
              <w:keepNext/>
              <w:rPr>
                <w:rFonts w:ascii="Aptos Narrow" w:hAnsi="Aptos Narrow"/>
                <w:color w:val="000000"/>
                <w:sz w:val="20"/>
                <w:szCs w:val="20"/>
              </w:rPr>
            </w:pPr>
            <w:r w:rsidRPr="0077745A">
              <w:rPr>
                <w:rFonts w:ascii="Aptos Narrow" w:hAnsi="Aptos Narrow"/>
                <w:color w:val="000000"/>
                <w:sz w:val="20"/>
                <w:szCs w:val="20"/>
              </w:rPr>
              <w:t>Itaperuna</w:t>
            </w:r>
          </w:p>
        </w:tc>
        <w:tc>
          <w:tcPr>
            <w:tcW w:w="0" w:type="auto"/>
            <w:tcBorders>
              <w:top w:val="nil"/>
              <w:left w:val="nil"/>
              <w:bottom w:val="nil"/>
              <w:right w:val="nil"/>
            </w:tcBorders>
            <w:noWrap/>
            <w:hideMark/>
          </w:tcPr>
          <w:p w14:paraId="68481F99"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88,6</w:t>
            </w:r>
          </w:p>
        </w:tc>
        <w:tc>
          <w:tcPr>
            <w:tcW w:w="0" w:type="auto"/>
            <w:tcBorders>
              <w:top w:val="nil"/>
              <w:left w:val="nil"/>
              <w:bottom w:val="nil"/>
              <w:right w:val="nil"/>
            </w:tcBorders>
            <w:noWrap/>
            <w:hideMark/>
          </w:tcPr>
          <w:p w14:paraId="31F11D9B"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92,2</w:t>
            </w:r>
          </w:p>
        </w:tc>
        <w:tc>
          <w:tcPr>
            <w:tcW w:w="0" w:type="auto"/>
            <w:tcBorders>
              <w:top w:val="nil"/>
              <w:left w:val="nil"/>
              <w:bottom w:val="nil"/>
              <w:right w:val="nil"/>
            </w:tcBorders>
            <w:noWrap/>
            <w:hideMark/>
          </w:tcPr>
          <w:p w14:paraId="0A0981CD"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94,3</w:t>
            </w:r>
          </w:p>
        </w:tc>
      </w:tr>
      <w:tr w:rsidR="00DA5C94" w:rsidRPr="0077745A" w14:paraId="669A4894" w14:textId="77777777" w:rsidTr="0077745A">
        <w:trPr>
          <w:cantSplit/>
          <w:trHeight w:val="20"/>
          <w:jc w:val="center"/>
        </w:trPr>
        <w:tc>
          <w:tcPr>
            <w:tcW w:w="0" w:type="auto"/>
            <w:tcBorders>
              <w:top w:val="nil"/>
              <w:left w:val="nil"/>
              <w:bottom w:val="nil"/>
              <w:right w:val="nil"/>
            </w:tcBorders>
            <w:noWrap/>
            <w:hideMark/>
          </w:tcPr>
          <w:p w14:paraId="135B039F" w14:textId="77777777" w:rsidR="00DA5C94" w:rsidRPr="0077745A" w:rsidRDefault="00DA5C94" w:rsidP="0077745A">
            <w:pPr>
              <w:keepNext/>
              <w:rPr>
                <w:rFonts w:ascii="Aptos Narrow" w:hAnsi="Aptos Narrow"/>
                <w:color w:val="000000"/>
                <w:sz w:val="20"/>
                <w:szCs w:val="20"/>
              </w:rPr>
            </w:pPr>
            <w:r w:rsidRPr="0077745A">
              <w:rPr>
                <w:rFonts w:ascii="Aptos Narrow" w:hAnsi="Aptos Narrow"/>
                <w:color w:val="000000"/>
                <w:sz w:val="20"/>
                <w:szCs w:val="20"/>
              </w:rPr>
              <w:t>Laje do Muriaé</w:t>
            </w:r>
          </w:p>
        </w:tc>
        <w:tc>
          <w:tcPr>
            <w:tcW w:w="0" w:type="auto"/>
            <w:tcBorders>
              <w:top w:val="nil"/>
              <w:left w:val="nil"/>
              <w:bottom w:val="nil"/>
              <w:right w:val="nil"/>
            </w:tcBorders>
            <w:noWrap/>
            <w:hideMark/>
          </w:tcPr>
          <w:p w14:paraId="25A6A356"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71,1</w:t>
            </w:r>
          </w:p>
        </w:tc>
        <w:tc>
          <w:tcPr>
            <w:tcW w:w="0" w:type="auto"/>
            <w:tcBorders>
              <w:top w:val="nil"/>
              <w:left w:val="nil"/>
              <w:bottom w:val="nil"/>
              <w:right w:val="nil"/>
            </w:tcBorders>
            <w:noWrap/>
            <w:hideMark/>
          </w:tcPr>
          <w:p w14:paraId="04D4D30B"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75,3</w:t>
            </w:r>
          </w:p>
        </w:tc>
        <w:tc>
          <w:tcPr>
            <w:tcW w:w="0" w:type="auto"/>
            <w:tcBorders>
              <w:top w:val="nil"/>
              <w:left w:val="nil"/>
              <w:bottom w:val="nil"/>
              <w:right w:val="nil"/>
            </w:tcBorders>
            <w:noWrap/>
            <w:hideMark/>
          </w:tcPr>
          <w:p w14:paraId="73B0F455"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76,9</w:t>
            </w:r>
          </w:p>
        </w:tc>
      </w:tr>
      <w:tr w:rsidR="00DA5C94" w:rsidRPr="0077745A" w14:paraId="1039CB0B" w14:textId="77777777" w:rsidTr="0077745A">
        <w:trPr>
          <w:cantSplit/>
          <w:trHeight w:val="20"/>
          <w:jc w:val="center"/>
        </w:trPr>
        <w:tc>
          <w:tcPr>
            <w:tcW w:w="0" w:type="auto"/>
            <w:tcBorders>
              <w:top w:val="nil"/>
              <w:left w:val="nil"/>
              <w:bottom w:val="nil"/>
              <w:right w:val="nil"/>
            </w:tcBorders>
            <w:noWrap/>
            <w:hideMark/>
          </w:tcPr>
          <w:p w14:paraId="47DF3E97" w14:textId="77777777" w:rsidR="00DA5C94" w:rsidRPr="0077745A" w:rsidRDefault="00DA5C94" w:rsidP="0077745A">
            <w:pPr>
              <w:keepNext/>
              <w:rPr>
                <w:rFonts w:ascii="Aptos Narrow" w:hAnsi="Aptos Narrow"/>
                <w:color w:val="000000"/>
                <w:sz w:val="20"/>
                <w:szCs w:val="20"/>
              </w:rPr>
            </w:pPr>
            <w:r w:rsidRPr="0077745A">
              <w:rPr>
                <w:rFonts w:ascii="Aptos Narrow" w:hAnsi="Aptos Narrow"/>
                <w:color w:val="000000"/>
                <w:sz w:val="20"/>
                <w:szCs w:val="20"/>
              </w:rPr>
              <w:t>Natividade</w:t>
            </w:r>
          </w:p>
        </w:tc>
        <w:tc>
          <w:tcPr>
            <w:tcW w:w="0" w:type="auto"/>
            <w:tcBorders>
              <w:top w:val="nil"/>
              <w:left w:val="nil"/>
              <w:bottom w:val="nil"/>
              <w:right w:val="nil"/>
            </w:tcBorders>
            <w:noWrap/>
            <w:hideMark/>
          </w:tcPr>
          <w:p w14:paraId="5A71051D"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77,6</w:t>
            </w:r>
          </w:p>
        </w:tc>
        <w:tc>
          <w:tcPr>
            <w:tcW w:w="0" w:type="auto"/>
            <w:tcBorders>
              <w:top w:val="nil"/>
              <w:left w:val="nil"/>
              <w:bottom w:val="nil"/>
              <w:right w:val="nil"/>
            </w:tcBorders>
            <w:noWrap/>
            <w:hideMark/>
          </w:tcPr>
          <w:p w14:paraId="3CDE16B5"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79,9</w:t>
            </w:r>
          </w:p>
        </w:tc>
        <w:tc>
          <w:tcPr>
            <w:tcW w:w="0" w:type="auto"/>
            <w:tcBorders>
              <w:top w:val="nil"/>
              <w:left w:val="nil"/>
              <w:bottom w:val="nil"/>
              <w:right w:val="nil"/>
            </w:tcBorders>
            <w:noWrap/>
            <w:hideMark/>
          </w:tcPr>
          <w:p w14:paraId="2F19EA2F"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88,4</w:t>
            </w:r>
          </w:p>
        </w:tc>
      </w:tr>
      <w:tr w:rsidR="00DA5C94" w:rsidRPr="0077745A" w14:paraId="10FD5A72" w14:textId="77777777" w:rsidTr="0077745A">
        <w:trPr>
          <w:cantSplit/>
          <w:trHeight w:val="20"/>
          <w:jc w:val="center"/>
        </w:trPr>
        <w:tc>
          <w:tcPr>
            <w:tcW w:w="0" w:type="auto"/>
            <w:tcBorders>
              <w:top w:val="nil"/>
              <w:left w:val="nil"/>
              <w:bottom w:val="nil"/>
              <w:right w:val="nil"/>
            </w:tcBorders>
            <w:noWrap/>
            <w:hideMark/>
          </w:tcPr>
          <w:p w14:paraId="142F20CB" w14:textId="77777777" w:rsidR="00DA5C94" w:rsidRPr="0077745A" w:rsidRDefault="00DA5C94" w:rsidP="0077745A">
            <w:pPr>
              <w:keepNext/>
              <w:rPr>
                <w:rFonts w:ascii="Aptos Narrow" w:hAnsi="Aptos Narrow"/>
                <w:color w:val="000000"/>
                <w:sz w:val="20"/>
                <w:szCs w:val="20"/>
              </w:rPr>
            </w:pPr>
            <w:r w:rsidRPr="0077745A">
              <w:rPr>
                <w:rFonts w:ascii="Aptos Narrow" w:hAnsi="Aptos Narrow"/>
                <w:color w:val="000000"/>
                <w:sz w:val="20"/>
                <w:szCs w:val="20"/>
              </w:rPr>
              <w:t>Porciúncula</w:t>
            </w:r>
          </w:p>
        </w:tc>
        <w:tc>
          <w:tcPr>
            <w:tcW w:w="0" w:type="auto"/>
            <w:tcBorders>
              <w:top w:val="nil"/>
              <w:left w:val="nil"/>
              <w:bottom w:val="nil"/>
              <w:right w:val="nil"/>
            </w:tcBorders>
            <w:noWrap/>
            <w:hideMark/>
          </w:tcPr>
          <w:p w14:paraId="6F09BD45"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74,7</w:t>
            </w:r>
          </w:p>
        </w:tc>
        <w:tc>
          <w:tcPr>
            <w:tcW w:w="0" w:type="auto"/>
            <w:tcBorders>
              <w:top w:val="nil"/>
              <w:left w:val="nil"/>
              <w:bottom w:val="nil"/>
              <w:right w:val="nil"/>
            </w:tcBorders>
            <w:noWrap/>
            <w:hideMark/>
          </w:tcPr>
          <w:p w14:paraId="63AF02BD"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78,2</w:t>
            </w:r>
          </w:p>
        </w:tc>
        <w:tc>
          <w:tcPr>
            <w:tcW w:w="0" w:type="auto"/>
            <w:tcBorders>
              <w:top w:val="nil"/>
              <w:left w:val="nil"/>
              <w:bottom w:val="nil"/>
              <w:right w:val="nil"/>
            </w:tcBorders>
            <w:noWrap/>
            <w:hideMark/>
          </w:tcPr>
          <w:p w14:paraId="4C090478"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80,2</w:t>
            </w:r>
          </w:p>
        </w:tc>
      </w:tr>
      <w:tr w:rsidR="00DA5C94" w:rsidRPr="0077745A" w14:paraId="64E5C887" w14:textId="77777777" w:rsidTr="0077745A">
        <w:trPr>
          <w:cantSplit/>
          <w:trHeight w:val="20"/>
          <w:jc w:val="center"/>
        </w:trPr>
        <w:tc>
          <w:tcPr>
            <w:tcW w:w="0" w:type="auto"/>
            <w:tcBorders>
              <w:top w:val="nil"/>
              <w:left w:val="nil"/>
              <w:bottom w:val="nil"/>
              <w:right w:val="nil"/>
            </w:tcBorders>
            <w:noWrap/>
            <w:hideMark/>
          </w:tcPr>
          <w:p w14:paraId="62837BA3" w14:textId="77777777" w:rsidR="00DA5C94" w:rsidRPr="0077745A" w:rsidRDefault="00DA5C94" w:rsidP="0077745A">
            <w:pPr>
              <w:keepNext/>
              <w:rPr>
                <w:rFonts w:ascii="Aptos Narrow" w:hAnsi="Aptos Narrow"/>
                <w:color w:val="000000"/>
                <w:sz w:val="20"/>
                <w:szCs w:val="20"/>
              </w:rPr>
            </w:pPr>
            <w:r w:rsidRPr="0077745A">
              <w:rPr>
                <w:rFonts w:ascii="Aptos Narrow" w:hAnsi="Aptos Narrow"/>
                <w:color w:val="000000"/>
                <w:sz w:val="20"/>
                <w:szCs w:val="20"/>
              </w:rPr>
              <w:t>São José de Ubá</w:t>
            </w:r>
          </w:p>
        </w:tc>
        <w:tc>
          <w:tcPr>
            <w:tcW w:w="0" w:type="auto"/>
            <w:tcBorders>
              <w:top w:val="nil"/>
              <w:left w:val="nil"/>
              <w:bottom w:val="nil"/>
              <w:right w:val="nil"/>
            </w:tcBorders>
            <w:noWrap/>
            <w:hideMark/>
          </w:tcPr>
          <w:p w14:paraId="692B0D34"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36,3</w:t>
            </w:r>
          </w:p>
        </w:tc>
        <w:tc>
          <w:tcPr>
            <w:tcW w:w="0" w:type="auto"/>
            <w:tcBorders>
              <w:top w:val="nil"/>
              <w:left w:val="nil"/>
              <w:bottom w:val="nil"/>
              <w:right w:val="nil"/>
            </w:tcBorders>
            <w:noWrap/>
            <w:hideMark/>
          </w:tcPr>
          <w:p w14:paraId="33A680CC"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44,2</w:t>
            </w:r>
          </w:p>
        </w:tc>
        <w:tc>
          <w:tcPr>
            <w:tcW w:w="0" w:type="auto"/>
            <w:tcBorders>
              <w:top w:val="nil"/>
              <w:left w:val="nil"/>
              <w:bottom w:val="nil"/>
              <w:right w:val="nil"/>
            </w:tcBorders>
            <w:noWrap/>
            <w:hideMark/>
          </w:tcPr>
          <w:p w14:paraId="15A7E415"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48,6</w:t>
            </w:r>
          </w:p>
        </w:tc>
      </w:tr>
      <w:tr w:rsidR="00DA5C94" w:rsidRPr="0077745A" w14:paraId="76AAB2C1" w14:textId="77777777" w:rsidTr="0077745A">
        <w:trPr>
          <w:cantSplit/>
          <w:trHeight w:val="20"/>
          <w:jc w:val="center"/>
        </w:trPr>
        <w:tc>
          <w:tcPr>
            <w:tcW w:w="0" w:type="auto"/>
            <w:tcBorders>
              <w:top w:val="nil"/>
              <w:left w:val="nil"/>
              <w:bottom w:val="nil"/>
              <w:right w:val="nil"/>
            </w:tcBorders>
            <w:noWrap/>
            <w:hideMark/>
          </w:tcPr>
          <w:p w14:paraId="5E4AC725" w14:textId="77777777" w:rsidR="00DA5C94" w:rsidRPr="0077745A" w:rsidRDefault="00DA5C94" w:rsidP="0077745A">
            <w:pPr>
              <w:keepNext/>
              <w:rPr>
                <w:rFonts w:ascii="Aptos Narrow" w:hAnsi="Aptos Narrow"/>
                <w:color w:val="000000"/>
                <w:sz w:val="20"/>
                <w:szCs w:val="20"/>
              </w:rPr>
            </w:pPr>
            <w:r w:rsidRPr="0077745A">
              <w:rPr>
                <w:rFonts w:ascii="Aptos Narrow" w:hAnsi="Aptos Narrow"/>
                <w:color w:val="000000"/>
                <w:sz w:val="20"/>
                <w:szCs w:val="20"/>
              </w:rPr>
              <w:t>Varre-Sai</w:t>
            </w:r>
          </w:p>
        </w:tc>
        <w:tc>
          <w:tcPr>
            <w:tcW w:w="0" w:type="auto"/>
            <w:tcBorders>
              <w:top w:val="nil"/>
              <w:left w:val="nil"/>
              <w:bottom w:val="nil"/>
              <w:right w:val="nil"/>
            </w:tcBorders>
            <w:noWrap/>
            <w:hideMark/>
          </w:tcPr>
          <w:p w14:paraId="75C6CA0E"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52,6</w:t>
            </w:r>
          </w:p>
        </w:tc>
        <w:tc>
          <w:tcPr>
            <w:tcW w:w="0" w:type="auto"/>
            <w:tcBorders>
              <w:top w:val="nil"/>
              <w:left w:val="nil"/>
              <w:bottom w:val="nil"/>
              <w:right w:val="nil"/>
            </w:tcBorders>
            <w:noWrap/>
            <w:hideMark/>
          </w:tcPr>
          <w:p w14:paraId="66425F57"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61,1</w:t>
            </w:r>
          </w:p>
        </w:tc>
        <w:tc>
          <w:tcPr>
            <w:tcW w:w="0" w:type="auto"/>
            <w:tcBorders>
              <w:top w:val="nil"/>
              <w:left w:val="nil"/>
              <w:bottom w:val="nil"/>
              <w:right w:val="nil"/>
            </w:tcBorders>
            <w:noWrap/>
            <w:hideMark/>
          </w:tcPr>
          <w:p w14:paraId="1B5067CC"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64,5</w:t>
            </w:r>
          </w:p>
        </w:tc>
      </w:tr>
      <w:tr w:rsidR="00DA5C94" w:rsidRPr="0077745A" w14:paraId="65E57C6F" w14:textId="77777777" w:rsidTr="0077745A">
        <w:trPr>
          <w:cantSplit/>
          <w:trHeight w:val="20"/>
          <w:jc w:val="center"/>
        </w:trPr>
        <w:tc>
          <w:tcPr>
            <w:tcW w:w="0" w:type="auto"/>
            <w:tcBorders>
              <w:top w:val="nil"/>
              <w:left w:val="nil"/>
              <w:bottom w:val="nil"/>
              <w:right w:val="nil"/>
            </w:tcBorders>
            <w:shd w:val="clear" w:color="000000" w:fill="FFCC99"/>
            <w:noWrap/>
            <w:hideMark/>
          </w:tcPr>
          <w:p w14:paraId="0D98986B" w14:textId="77777777" w:rsidR="00DA5C94" w:rsidRPr="0077745A" w:rsidRDefault="00DA5C94" w:rsidP="0077745A">
            <w:pPr>
              <w:keepNext/>
              <w:rPr>
                <w:rFonts w:ascii="Aptos Narrow" w:hAnsi="Aptos Narrow"/>
                <w:color w:val="3F3F76"/>
                <w:sz w:val="20"/>
                <w:szCs w:val="20"/>
              </w:rPr>
            </w:pPr>
            <w:r w:rsidRPr="0077745A">
              <w:rPr>
                <w:rFonts w:ascii="Aptos Narrow" w:hAnsi="Aptos Narrow"/>
                <w:color w:val="3F3F76"/>
                <w:sz w:val="20"/>
                <w:szCs w:val="20"/>
              </w:rPr>
              <w:t>Região Geográfica Imediata Santo Antônio de Pádua</w:t>
            </w:r>
          </w:p>
        </w:tc>
        <w:tc>
          <w:tcPr>
            <w:tcW w:w="0" w:type="auto"/>
            <w:tcBorders>
              <w:top w:val="nil"/>
              <w:left w:val="nil"/>
              <w:bottom w:val="nil"/>
              <w:right w:val="nil"/>
            </w:tcBorders>
            <w:shd w:val="clear" w:color="000000" w:fill="FFCC99"/>
            <w:noWrap/>
            <w:hideMark/>
          </w:tcPr>
          <w:p w14:paraId="321BEF8D" w14:textId="77777777" w:rsidR="00DA5C94" w:rsidRPr="0077745A" w:rsidRDefault="00DA5C94" w:rsidP="0077745A">
            <w:pPr>
              <w:keepNext/>
              <w:jc w:val="right"/>
              <w:rPr>
                <w:rFonts w:ascii="Aptos Narrow" w:hAnsi="Aptos Narrow"/>
                <w:color w:val="3F3F76"/>
                <w:sz w:val="20"/>
                <w:szCs w:val="20"/>
              </w:rPr>
            </w:pPr>
            <w:r w:rsidRPr="0077745A">
              <w:rPr>
                <w:rFonts w:ascii="Aptos Narrow" w:hAnsi="Aptos Narrow"/>
                <w:color w:val="3F3F76"/>
                <w:sz w:val="20"/>
                <w:szCs w:val="20"/>
              </w:rPr>
              <w:t>77,1</w:t>
            </w:r>
          </w:p>
        </w:tc>
        <w:tc>
          <w:tcPr>
            <w:tcW w:w="0" w:type="auto"/>
            <w:tcBorders>
              <w:top w:val="nil"/>
              <w:left w:val="nil"/>
              <w:bottom w:val="nil"/>
              <w:right w:val="nil"/>
            </w:tcBorders>
            <w:shd w:val="clear" w:color="000000" w:fill="FFCC99"/>
            <w:noWrap/>
            <w:hideMark/>
          </w:tcPr>
          <w:p w14:paraId="74C1D447" w14:textId="77777777" w:rsidR="00DA5C94" w:rsidRPr="0077745A" w:rsidRDefault="00DA5C94" w:rsidP="0077745A">
            <w:pPr>
              <w:keepNext/>
              <w:jc w:val="right"/>
              <w:rPr>
                <w:rFonts w:ascii="Aptos Narrow" w:hAnsi="Aptos Narrow"/>
                <w:color w:val="3F3F76"/>
                <w:sz w:val="20"/>
                <w:szCs w:val="20"/>
              </w:rPr>
            </w:pPr>
            <w:r w:rsidRPr="0077745A">
              <w:rPr>
                <w:rFonts w:ascii="Aptos Narrow" w:hAnsi="Aptos Narrow"/>
                <w:color w:val="3F3F76"/>
                <w:sz w:val="20"/>
                <w:szCs w:val="20"/>
              </w:rPr>
              <w:t>80,9</w:t>
            </w:r>
          </w:p>
        </w:tc>
        <w:tc>
          <w:tcPr>
            <w:tcW w:w="0" w:type="auto"/>
            <w:tcBorders>
              <w:top w:val="nil"/>
              <w:left w:val="nil"/>
              <w:bottom w:val="nil"/>
              <w:right w:val="nil"/>
            </w:tcBorders>
            <w:shd w:val="clear" w:color="000000" w:fill="FFCC99"/>
            <w:noWrap/>
            <w:hideMark/>
          </w:tcPr>
          <w:p w14:paraId="4AF9A2C0" w14:textId="77777777" w:rsidR="00DA5C94" w:rsidRPr="0077745A" w:rsidRDefault="00DA5C94" w:rsidP="0077745A">
            <w:pPr>
              <w:keepNext/>
              <w:jc w:val="right"/>
              <w:rPr>
                <w:rFonts w:ascii="Aptos Narrow" w:hAnsi="Aptos Narrow"/>
                <w:color w:val="3F3F76"/>
                <w:sz w:val="20"/>
                <w:szCs w:val="20"/>
              </w:rPr>
            </w:pPr>
            <w:r w:rsidRPr="0077745A">
              <w:rPr>
                <w:rFonts w:ascii="Aptos Narrow" w:hAnsi="Aptos Narrow"/>
                <w:color w:val="3F3F76"/>
                <w:sz w:val="20"/>
                <w:szCs w:val="20"/>
              </w:rPr>
              <w:t>88,9</w:t>
            </w:r>
          </w:p>
        </w:tc>
      </w:tr>
      <w:tr w:rsidR="00DA5C94" w:rsidRPr="0077745A" w14:paraId="72E8583D" w14:textId="77777777" w:rsidTr="0077745A">
        <w:trPr>
          <w:cantSplit/>
          <w:trHeight w:val="20"/>
          <w:jc w:val="center"/>
        </w:trPr>
        <w:tc>
          <w:tcPr>
            <w:tcW w:w="0" w:type="auto"/>
            <w:tcBorders>
              <w:top w:val="nil"/>
              <w:left w:val="nil"/>
              <w:bottom w:val="nil"/>
              <w:right w:val="nil"/>
            </w:tcBorders>
            <w:noWrap/>
            <w:hideMark/>
          </w:tcPr>
          <w:p w14:paraId="2FE3A29D" w14:textId="77777777" w:rsidR="00DA5C94" w:rsidRPr="0077745A" w:rsidRDefault="00DA5C94" w:rsidP="0077745A">
            <w:pPr>
              <w:keepNext/>
              <w:rPr>
                <w:rFonts w:ascii="Aptos Narrow" w:hAnsi="Aptos Narrow"/>
                <w:color w:val="000000"/>
                <w:sz w:val="20"/>
                <w:szCs w:val="20"/>
              </w:rPr>
            </w:pPr>
            <w:r w:rsidRPr="0077745A">
              <w:rPr>
                <w:rFonts w:ascii="Aptos Narrow" w:hAnsi="Aptos Narrow"/>
                <w:color w:val="000000"/>
                <w:sz w:val="20"/>
                <w:szCs w:val="20"/>
              </w:rPr>
              <w:t>Aperibé</w:t>
            </w:r>
          </w:p>
        </w:tc>
        <w:tc>
          <w:tcPr>
            <w:tcW w:w="0" w:type="auto"/>
            <w:tcBorders>
              <w:top w:val="nil"/>
              <w:left w:val="nil"/>
              <w:bottom w:val="nil"/>
              <w:right w:val="nil"/>
            </w:tcBorders>
            <w:noWrap/>
            <w:hideMark/>
          </w:tcPr>
          <w:p w14:paraId="4AE23747"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85,3</w:t>
            </w:r>
          </w:p>
        </w:tc>
        <w:tc>
          <w:tcPr>
            <w:tcW w:w="0" w:type="auto"/>
            <w:tcBorders>
              <w:top w:val="nil"/>
              <w:left w:val="nil"/>
              <w:bottom w:val="nil"/>
              <w:right w:val="nil"/>
            </w:tcBorders>
            <w:noWrap/>
            <w:hideMark/>
          </w:tcPr>
          <w:p w14:paraId="636F7B41"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86,9</w:t>
            </w:r>
          </w:p>
        </w:tc>
        <w:tc>
          <w:tcPr>
            <w:tcW w:w="0" w:type="auto"/>
            <w:tcBorders>
              <w:top w:val="nil"/>
              <w:left w:val="nil"/>
              <w:bottom w:val="nil"/>
              <w:right w:val="nil"/>
            </w:tcBorders>
            <w:noWrap/>
            <w:hideMark/>
          </w:tcPr>
          <w:p w14:paraId="46D84BFF"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91,8</w:t>
            </w:r>
          </w:p>
        </w:tc>
      </w:tr>
      <w:tr w:rsidR="00DA5C94" w:rsidRPr="0077745A" w14:paraId="71C00534" w14:textId="77777777" w:rsidTr="0077745A">
        <w:trPr>
          <w:cantSplit/>
          <w:trHeight w:val="20"/>
          <w:jc w:val="center"/>
        </w:trPr>
        <w:tc>
          <w:tcPr>
            <w:tcW w:w="0" w:type="auto"/>
            <w:tcBorders>
              <w:top w:val="nil"/>
              <w:left w:val="nil"/>
              <w:bottom w:val="nil"/>
              <w:right w:val="nil"/>
            </w:tcBorders>
            <w:noWrap/>
            <w:hideMark/>
          </w:tcPr>
          <w:p w14:paraId="568E1DDC" w14:textId="77777777" w:rsidR="00DA5C94" w:rsidRPr="0077745A" w:rsidRDefault="00DA5C94" w:rsidP="0077745A">
            <w:pPr>
              <w:keepNext/>
              <w:rPr>
                <w:rFonts w:ascii="Aptos Narrow" w:hAnsi="Aptos Narrow"/>
                <w:color w:val="000000"/>
                <w:sz w:val="20"/>
                <w:szCs w:val="20"/>
              </w:rPr>
            </w:pPr>
            <w:r w:rsidRPr="0077745A">
              <w:rPr>
                <w:rFonts w:ascii="Aptos Narrow" w:hAnsi="Aptos Narrow"/>
                <w:color w:val="000000"/>
                <w:sz w:val="20"/>
                <w:szCs w:val="20"/>
              </w:rPr>
              <w:t>Cambuci</w:t>
            </w:r>
          </w:p>
        </w:tc>
        <w:tc>
          <w:tcPr>
            <w:tcW w:w="0" w:type="auto"/>
            <w:tcBorders>
              <w:top w:val="nil"/>
              <w:left w:val="nil"/>
              <w:bottom w:val="nil"/>
              <w:right w:val="nil"/>
            </w:tcBorders>
            <w:noWrap/>
            <w:hideMark/>
          </w:tcPr>
          <w:p w14:paraId="251C6AF3"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67,8</w:t>
            </w:r>
          </w:p>
        </w:tc>
        <w:tc>
          <w:tcPr>
            <w:tcW w:w="0" w:type="auto"/>
            <w:tcBorders>
              <w:top w:val="nil"/>
              <w:left w:val="nil"/>
              <w:bottom w:val="nil"/>
              <w:right w:val="nil"/>
            </w:tcBorders>
            <w:noWrap/>
            <w:hideMark/>
          </w:tcPr>
          <w:p w14:paraId="4E3FA094"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76,2</w:t>
            </w:r>
          </w:p>
        </w:tc>
        <w:tc>
          <w:tcPr>
            <w:tcW w:w="0" w:type="auto"/>
            <w:tcBorders>
              <w:top w:val="nil"/>
              <w:left w:val="nil"/>
              <w:bottom w:val="nil"/>
              <w:right w:val="nil"/>
            </w:tcBorders>
            <w:noWrap/>
            <w:hideMark/>
          </w:tcPr>
          <w:p w14:paraId="7A001F5C"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82,1</w:t>
            </w:r>
          </w:p>
        </w:tc>
      </w:tr>
      <w:tr w:rsidR="00DA5C94" w:rsidRPr="0077745A" w14:paraId="5C33FF7C" w14:textId="77777777" w:rsidTr="0077745A">
        <w:trPr>
          <w:cantSplit/>
          <w:trHeight w:val="20"/>
          <w:jc w:val="center"/>
        </w:trPr>
        <w:tc>
          <w:tcPr>
            <w:tcW w:w="0" w:type="auto"/>
            <w:tcBorders>
              <w:top w:val="nil"/>
              <w:left w:val="nil"/>
              <w:bottom w:val="nil"/>
              <w:right w:val="nil"/>
            </w:tcBorders>
            <w:noWrap/>
            <w:hideMark/>
          </w:tcPr>
          <w:p w14:paraId="6E949499" w14:textId="77777777" w:rsidR="00DA5C94" w:rsidRPr="0077745A" w:rsidRDefault="00DA5C94" w:rsidP="0077745A">
            <w:pPr>
              <w:keepNext/>
              <w:rPr>
                <w:rFonts w:ascii="Aptos Narrow" w:hAnsi="Aptos Narrow"/>
                <w:color w:val="000000"/>
                <w:sz w:val="20"/>
                <w:szCs w:val="20"/>
              </w:rPr>
            </w:pPr>
            <w:r w:rsidRPr="0077745A">
              <w:rPr>
                <w:rFonts w:ascii="Aptos Narrow" w:hAnsi="Aptos Narrow"/>
                <w:color w:val="000000"/>
                <w:sz w:val="20"/>
                <w:szCs w:val="20"/>
              </w:rPr>
              <w:t>Itaocara</w:t>
            </w:r>
          </w:p>
        </w:tc>
        <w:tc>
          <w:tcPr>
            <w:tcW w:w="0" w:type="auto"/>
            <w:tcBorders>
              <w:top w:val="nil"/>
              <w:left w:val="nil"/>
              <w:bottom w:val="nil"/>
              <w:right w:val="nil"/>
            </w:tcBorders>
            <w:noWrap/>
            <w:hideMark/>
          </w:tcPr>
          <w:p w14:paraId="5515A366"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69,2</w:t>
            </w:r>
          </w:p>
        </w:tc>
        <w:tc>
          <w:tcPr>
            <w:tcW w:w="0" w:type="auto"/>
            <w:tcBorders>
              <w:top w:val="nil"/>
              <w:left w:val="nil"/>
              <w:bottom w:val="nil"/>
              <w:right w:val="nil"/>
            </w:tcBorders>
            <w:noWrap/>
            <w:hideMark/>
          </w:tcPr>
          <w:p w14:paraId="3A2A5699"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75,7</w:t>
            </w:r>
          </w:p>
        </w:tc>
        <w:tc>
          <w:tcPr>
            <w:tcW w:w="0" w:type="auto"/>
            <w:tcBorders>
              <w:top w:val="nil"/>
              <w:left w:val="nil"/>
              <w:bottom w:val="nil"/>
              <w:right w:val="nil"/>
            </w:tcBorders>
            <w:noWrap/>
            <w:hideMark/>
          </w:tcPr>
          <w:p w14:paraId="0548FD8F"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81,5</w:t>
            </w:r>
          </w:p>
        </w:tc>
      </w:tr>
      <w:tr w:rsidR="00DA5C94" w:rsidRPr="0077745A" w14:paraId="69F57F92" w14:textId="77777777" w:rsidTr="0077745A">
        <w:trPr>
          <w:cantSplit/>
          <w:trHeight w:val="20"/>
          <w:jc w:val="center"/>
        </w:trPr>
        <w:tc>
          <w:tcPr>
            <w:tcW w:w="0" w:type="auto"/>
            <w:tcBorders>
              <w:top w:val="nil"/>
              <w:left w:val="nil"/>
              <w:bottom w:val="nil"/>
              <w:right w:val="nil"/>
            </w:tcBorders>
            <w:noWrap/>
            <w:hideMark/>
          </w:tcPr>
          <w:p w14:paraId="51DD1C26" w14:textId="77777777" w:rsidR="00DA5C94" w:rsidRPr="0077745A" w:rsidRDefault="00DA5C94" w:rsidP="0077745A">
            <w:pPr>
              <w:keepNext/>
              <w:rPr>
                <w:rFonts w:ascii="Aptos Narrow" w:hAnsi="Aptos Narrow"/>
                <w:color w:val="000000"/>
                <w:sz w:val="20"/>
                <w:szCs w:val="20"/>
              </w:rPr>
            </w:pPr>
            <w:r w:rsidRPr="0077745A">
              <w:rPr>
                <w:rFonts w:ascii="Aptos Narrow" w:hAnsi="Aptos Narrow"/>
                <w:color w:val="000000"/>
                <w:sz w:val="20"/>
                <w:szCs w:val="20"/>
              </w:rPr>
              <w:t>Miracema</w:t>
            </w:r>
          </w:p>
        </w:tc>
        <w:tc>
          <w:tcPr>
            <w:tcW w:w="0" w:type="auto"/>
            <w:tcBorders>
              <w:top w:val="nil"/>
              <w:left w:val="nil"/>
              <w:bottom w:val="nil"/>
              <w:right w:val="nil"/>
            </w:tcBorders>
            <w:noWrap/>
            <w:hideMark/>
          </w:tcPr>
          <w:p w14:paraId="2A8DD16C"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87,8</w:t>
            </w:r>
          </w:p>
        </w:tc>
        <w:tc>
          <w:tcPr>
            <w:tcW w:w="0" w:type="auto"/>
            <w:tcBorders>
              <w:top w:val="nil"/>
              <w:left w:val="nil"/>
              <w:bottom w:val="nil"/>
              <w:right w:val="nil"/>
            </w:tcBorders>
            <w:noWrap/>
            <w:hideMark/>
          </w:tcPr>
          <w:p w14:paraId="1DA7DA21"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92,2</w:t>
            </w:r>
          </w:p>
        </w:tc>
        <w:tc>
          <w:tcPr>
            <w:tcW w:w="0" w:type="auto"/>
            <w:tcBorders>
              <w:top w:val="nil"/>
              <w:left w:val="nil"/>
              <w:bottom w:val="nil"/>
              <w:right w:val="nil"/>
            </w:tcBorders>
            <w:noWrap/>
            <w:hideMark/>
          </w:tcPr>
          <w:p w14:paraId="4B67D8D0"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94,0</w:t>
            </w:r>
          </w:p>
        </w:tc>
      </w:tr>
      <w:tr w:rsidR="00DA5C94" w:rsidRPr="0077745A" w14:paraId="545045A5" w14:textId="77777777" w:rsidTr="0077745A">
        <w:trPr>
          <w:cantSplit/>
          <w:trHeight w:val="20"/>
          <w:jc w:val="center"/>
        </w:trPr>
        <w:tc>
          <w:tcPr>
            <w:tcW w:w="0" w:type="auto"/>
            <w:tcBorders>
              <w:top w:val="nil"/>
              <w:left w:val="nil"/>
              <w:bottom w:val="nil"/>
              <w:right w:val="nil"/>
            </w:tcBorders>
            <w:noWrap/>
            <w:hideMark/>
          </w:tcPr>
          <w:p w14:paraId="0A2C0658" w14:textId="77777777" w:rsidR="00DA5C94" w:rsidRPr="0077745A" w:rsidRDefault="00DA5C94" w:rsidP="0077745A">
            <w:pPr>
              <w:keepNext/>
              <w:rPr>
                <w:rFonts w:ascii="Aptos Narrow" w:hAnsi="Aptos Narrow"/>
                <w:color w:val="000000"/>
                <w:sz w:val="20"/>
                <w:szCs w:val="20"/>
              </w:rPr>
            </w:pPr>
            <w:r w:rsidRPr="0077745A">
              <w:rPr>
                <w:rFonts w:ascii="Aptos Narrow" w:hAnsi="Aptos Narrow"/>
                <w:color w:val="000000"/>
                <w:sz w:val="20"/>
                <w:szCs w:val="20"/>
              </w:rPr>
              <w:t>Santo Antônio de Pádua</w:t>
            </w:r>
          </w:p>
        </w:tc>
        <w:tc>
          <w:tcPr>
            <w:tcW w:w="0" w:type="auto"/>
            <w:tcBorders>
              <w:top w:val="nil"/>
              <w:left w:val="nil"/>
              <w:bottom w:val="nil"/>
              <w:right w:val="nil"/>
            </w:tcBorders>
            <w:noWrap/>
            <w:hideMark/>
          </w:tcPr>
          <w:p w14:paraId="55FC0C93"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76,0</w:t>
            </w:r>
          </w:p>
        </w:tc>
        <w:tc>
          <w:tcPr>
            <w:tcW w:w="0" w:type="auto"/>
            <w:tcBorders>
              <w:top w:val="nil"/>
              <w:left w:val="nil"/>
              <w:bottom w:val="nil"/>
              <w:right w:val="nil"/>
            </w:tcBorders>
            <w:noWrap/>
            <w:hideMark/>
          </w:tcPr>
          <w:p w14:paraId="417B3C7E"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76,6</w:t>
            </w:r>
          </w:p>
        </w:tc>
        <w:tc>
          <w:tcPr>
            <w:tcW w:w="0" w:type="auto"/>
            <w:tcBorders>
              <w:top w:val="nil"/>
              <w:left w:val="nil"/>
              <w:bottom w:val="nil"/>
              <w:right w:val="nil"/>
            </w:tcBorders>
            <w:noWrap/>
            <w:hideMark/>
          </w:tcPr>
          <w:p w14:paraId="2FCC867D"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91,5</w:t>
            </w:r>
          </w:p>
        </w:tc>
      </w:tr>
      <w:tr w:rsidR="00DA5C94" w:rsidRPr="0077745A" w14:paraId="5F55A1EA" w14:textId="77777777" w:rsidTr="0077745A">
        <w:trPr>
          <w:cantSplit/>
          <w:trHeight w:val="20"/>
          <w:jc w:val="center"/>
        </w:trPr>
        <w:tc>
          <w:tcPr>
            <w:tcW w:w="0" w:type="auto"/>
            <w:tcBorders>
              <w:top w:val="nil"/>
              <w:left w:val="nil"/>
              <w:bottom w:val="nil"/>
              <w:right w:val="nil"/>
            </w:tcBorders>
            <w:noWrap/>
            <w:hideMark/>
          </w:tcPr>
          <w:p w14:paraId="268CBBC9" w14:textId="77777777" w:rsidR="00DA5C94" w:rsidRPr="0077745A" w:rsidRDefault="00DA5C94" w:rsidP="0077745A">
            <w:pPr>
              <w:keepNext/>
              <w:rPr>
                <w:rFonts w:ascii="Aptos Narrow" w:hAnsi="Aptos Narrow"/>
                <w:b/>
                <w:bCs/>
                <w:color w:val="000000"/>
                <w:sz w:val="20"/>
                <w:szCs w:val="20"/>
              </w:rPr>
            </w:pPr>
            <w:r w:rsidRPr="0077745A">
              <w:rPr>
                <w:rFonts w:ascii="Aptos Narrow" w:hAnsi="Aptos Narrow"/>
                <w:b/>
                <w:bCs/>
                <w:color w:val="000000"/>
                <w:sz w:val="20"/>
                <w:szCs w:val="20"/>
              </w:rPr>
              <w:t>Região Geográfica Intermediária Macaé - Rio das Ostras - Cabo Frio</w:t>
            </w:r>
          </w:p>
        </w:tc>
        <w:tc>
          <w:tcPr>
            <w:tcW w:w="0" w:type="auto"/>
            <w:tcBorders>
              <w:top w:val="nil"/>
              <w:left w:val="nil"/>
              <w:bottom w:val="nil"/>
              <w:right w:val="nil"/>
            </w:tcBorders>
            <w:noWrap/>
            <w:hideMark/>
          </w:tcPr>
          <w:p w14:paraId="000CD6A1" w14:textId="77777777" w:rsidR="00DA5C94" w:rsidRPr="0077745A" w:rsidRDefault="00DA5C94" w:rsidP="0077745A">
            <w:pPr>
              <w:keepNext/>
              <w:jc w:val="right"/>
              <w:rPr>
                <w:rFonts w:ascii="Aptos Narrow" w:hAnsi="Aptos Narrow"/>
                <w:b/>
                <w:bCs/>
                <w:color w:val="000000"/>
                <w:sz w:val="20"/>
                <w:szCs w:val="20"/>
              </w:rPr>
            </w:pPr>
            <w:r w:rsidRPr="0077745A">
              <w:rPr>
                <w:rFonts w:ascii="Aptos Narrow" w:hAnsi="Aptos Narrow"/>
                <w:b/>
                <w:bCs/>
                <w:color w:val="000000"/>
                <w:sz w:val="20"/>
                <w:szCs w:val="20"/>
              </w:rPr>
              <w:t>89,1</w:t>
            </w:r>
          </w:p>
        </w:tc>
        <w:tc>
          <w:tcPr>
            <w:tcW w:w="0" w:type="auto"/>
            <w:tcBorders>
              <w:top w:val="nil"/>
              <w:left w:val="nil"/>
              <w:bottom w:val="nil"/>
              <w:right w:val="nil"/>
            </w:tcBorders>
            <w:noWrap/>
            <w:hideMark/>
          </w:tcPr>
          <w:p w14:paraId="07929258" w14:textId="77777777" w:rsidR="00DA5C94" w:rsidRPr="0077745A" w:rsidRDefault="00DA5C94" w:rsidP="0077745A">
            <w:pPr>
              <w:keepNext/>
              <w:jc w:val="right"/>
              <w:rPr>
                <w:rFonts w:ascii="Aptos Narrow" w:hAnsi="Aptos Narrow"/>
                <w:b/>
                <w:bCs/>
                <w:color w:val="000000"/>
                <w:sz w:val="20"/>
                <w:szCs w:val="20"/>
              </w:rPr>
            </w:pPr>
            <w:r w:rsidRPr="0077745A">
              <w:rPr>
                <w:rFonts w:ascii="Aptos Narrow" w:hAnsi="Aptos Narrow"/>
                <w:b/>
                <w:bCs/>
                <w:color w:val="000000"/>
                <w:sz w:val="20"/>
                <w:szCs w:val="20"/>
              </w:rPr>
              <w:t>90,0</w:t>
            </w:r>
          </w:p>
        </w:tc>
        <w:tc>
          <w:tcPr>
            <w:tcW w:w="0" w:type="auto"/>
            <w:tcBorders>
              <w:top w:val="nil"/>
              <w:left w:val="nil"/>
              <w:bottom w:val="nil"/>
              <w:right w:val="nil"/>
            </w:tcBorders>
            <w:noWrap/>
            <w:hideMark/>
          </w:tcPr>
          <w:p w14:paraId="1D04E1C2" w14:textId="77777777" w:rsidR="00DA5C94" w:rsidRPr="0077745A" w:rsidRDefault="00DA5C94" w:rsidP="0077745A">
            <w:pPr>
              <w:keepNext/>
              <w:jc w:val="right"/>
              <w:rPr>
                <w:rFonts w:ascii="Aptos Narrow" w:hAnsi="Aptos Narrow"/>
                <w:b/>
                <w:bCs/>
                <w:color w:val="000000"/>
                <w:sz w:val="20"/>
                <w:szCs w:val="20"/>
              </w:rPr>
            </w:pPr>
            <w:r w:rsidRPr="0077745A">
              <w:rPr>
                <w:rFonts w:ascii="Aptos Narrow" w:hAnsi="Aptos Narrow"/>
                <w:b/>
                <w:bCs/>
                <w:color w:val="000000"/>
                <w:sz w:val="20"/>
                <w:szCs w:val="20"/>
              </w:rPr>
              <w:t>97,4</w:t>
            </w:r>
          </w:p>
        </w:tc>
      </w:tr>
      <w:tr w:rsidR="00DA5C94" w:rsidRPr="0077745A" w14:paraId="03EB3FEE" w14:textId="77777777" w:rsidTr="0077745A">
        <w:trPr>
          <w:cantSplit/>
          <w:trHeight w:val="20"/>
          <w:jc w:val="center"/>
        </w:trPr>
        <w:tc>
          <w:tcPr>
            <w:tcW w:w="0" w:type="auto"/>
            <w:tcBorders>
              <w:top w:val="nil"/>
              <w:left w:val="nil"/>
              <w:bottom w:val="nil"/>
              <w:right w:val="nil"/>
            </w:tcBorders>
            <w:shd w:val="clear" w:color="000000" w:fill="FFCC99"/>
            <w:noWrap/>
            <w:hideMark/>
          </w:tcPr>
          <w:p w14:paraId="73317EE2" w14:textId="77777777" w:rsidR="00DA5C94" w:rsidRPr="0077745A" w:rsidRDefault="00DA5C94" w:rsidP="0077745A">
            <w:pPr>
              <w:keepNext/>
              <w:rPr>
                <w:rFonts w:ascii="Aptos Narrow" w:hAnsi="Aptos Narrow"/>
                <w:color w:val="3F3F76"/>
                <w:sz w:val="20"/>
                <w:szCs w:val="20"/>
              </w:rPr>
            </w:pPr>
            <w:r w:rsidRPr="0077745A">
              <w:rPr>
                <w:rFonts w:ascii="Aptos Narrow" w:hAnsi="Aptos Narrow"/>
                <w:color w:val="3F3F76"/>
                <w:sz w:val="20"/>
                <w:szCs w:val="20"/>
              </w:rPr>
              <w:t>Região Geográfica Imediata Cabo Frio</w:t>
            </w:r>
          </w:p>
        </w:tc>
        <w:tc>
          <w:tcPr>
            <w:tcW w:w="0" w:type="auto"/>
            <w:tcBorders>
              <w:top w:val="nil"/>
              <w:left w:val="nil"/>
              <w:bottom w:val="nil"/>
              <w:right w:val="nil"/>
            </w:tcBorders>
            <w:shd w:val="clear" w:color="000000" w:fill="FFCC99"/>
            <w:noWrap/>
            <w:hideMark/>
          </w:tcPr>
          <w:p w14:paraId="4CDDA9C6" w14:textId="77777777" w:rsidR="00DA5C94" w:rsidRPr="0077745A" w:rsidRDefault="00DA5C94" w:rsidP="0077745A">
            <w:pPr>
              <w:keepNext/>
              <w:jc w:val="right"/>
              <w:rPr>
                <w:rFonts w:ascii="Aptos Narrow" w:hAnsi="Aptos Narrow"/>
                <w:color w:val="3F3F76"/>
                <w:sz w:val="20"/>
                <w:szCs w:val="20"/>
              </w:rPr>
            </w:pPr>
            <w:r w:rsidRPr="0077745A">
              <w:rPr>
                <w:rFonts w:ascii="Aptos Narrow" w:hAnsi="Aptos Narrow"/>
                <w:color w:val="3F3F76"/>
                <w:sz w:val="20"/>
                <w:szCs w:val="20"/>
              </w:rPr>
              <w:t>88,1</w:t>
            </w:r>
          </w:p>
        </w:tc>
        <w:tc>
          <w:tcPr>
            <w:tcW w:w="0" w:type="auto"/>
            <w:tcBorders>
              <w:top w:val="nil"/>
              <w:left w:val="nil"/>
              <w:bottom w:val="nil"/>
              <w:right w:val="nil"/>
            </w:tcBorders>
            <w:shd w:val="clear" w:color="000000" w:fill="FFCC99"/>
            <w:noWrap/>
            <w:hideMark/>
          </w:tcPr>
          <w:p w14:paraId="6EC6EC91" w14:textId="77777777" w:rsidR="00DA5C94" w:rsidRPr="0077745A" w:rsidRDefault="00DA5C94" w:rsidP="0077745A">
            <w:pPr>
              <w:keepNext/>
              <w:jc w:val="right"/>
              <w:rPr>
                <w:rFonts w:ascii="Aptos Narrow" w:hAnsi="Aptos Narrow"/>
                <w:color w:val="3F3F76"/>
                <w:sz w:val="20"/>
                <w:szCs w:val="20"/>
              </w:rPr>
            </w:pPr>
            <w:r w:rsidRPr="0077745A">
              <w:rPr>
                <w:rFonts w:ascii="Aptos Narrow" w:hAnsi="Aptos Narrow"/>
                <w:color w:val="3F3F76"/>
                <w:sz w:val="20"/>
                <w:szCs w:val="20"/>
              </w:rPr>
              <w:t>87,7</w:t>
            </w:r>
          </w:p>
        </w:tc>
        <w:tc>
          <w:tcPr>
            <w:tcW w:w="0" w:type="auto"/>
            <w:tcBorders>
              <w:top w:val="nil"/>
              <w:left w:val="nil"/>
              <w:bottom w:val="nil"/>
              <w:right w:val="nil"/>
            </w:tcBorders>
            <w:shd w:val="clear" w:color="000000" w:fill="FFCC99"/>
            <w:noWrap/>
            <w:hideMark/>
          </w:tcPr>
          <w:p w14:paraId="606E5622" w14:textId="77777777" w:rsidR="00DA5C94" w:rsidRPr="0077745A" w:rsidRDefault="00DA5C94" w:rsidP="0077745A">
            <w:pPr>
              <w:keepNext/>
              <w:jc w:val="right"/>
              <w:rPr>
                <w:rFonts w:ascii="Aptos Narrow" w:hAnsi="Aptos Narrow"/>
                <w:color w:val="3F3F76"/>
                <w:sz w:val="20"/>
                <w:szCs w:val="20"/>
              </w:rPr>
            </w:pPr>
            <w:r w:rsidRPr="0077745A">
              <w:rPr>
                <w:rFonts w:ascii="Aptos Narrow" w:hAnsi="Aptos Narrow"/>
                <w:color w:val="3F3F76"/>
                <w:sz w:val="20"/>
                <w:szCs w:val="20"/>
              </w:rPr>
              <w:t>98,3</w:t>
            </w:r>
          </w:p>
        </w:tc>
      </w:tr>
      <w:tr w:rsidR="00DA5C94" w:rsidRPr="0077745A" w14:paraId="39F5BA7C" w14:textId="77777777" w:rsidTr="0077745A">
        <w:trPr>
          <w:cantSplit/>
          <w:trHeight w:val="20"/>
          <w:jc w:val="center"/>
        </w:trPr>
        <w:tc>
          <w:tcPr>
            <w:tcW w:w="0" w:type="auto"/>
            <w:tcBorders>
              <w:top w:val="nil"/>
              <w:left w:val="nil"/>
              <w:bottom w:val="nil"/>
              <w:right w:val="nil"/>
            </w:tcBorders>
            <w:noWrap/>
            <w:hideMark/>
          </w:tcPr>
          <w:p w14:paraId="73003E50" w14:textId="77777777" w:rsidR="00DA5C94" w:rsidRPr="0077745A" w:rsidRDefault="00DA5C94" w:rsidP="0077745A">
            <w:pPr>
              <w:keepNext/>
              <w:rPr>
                <w:rFonts w:ascii="Aptos Narrow" w:hAnsi="Aptos Narrow"/>
                <w:color w:val="000000"/>
                <w:sz w:val="20"/>
                <w:szCs w:val="20"/>
              </w:rPr>
            </w:pPr>
            <w:r w:rsidRPr="0077745A">
              <w:rPr>
                <w:rFonts w:ascii="Aptos Narrow" w:hAnsi="Aptos Narrow"/>
                <w:color w:val="000000"/>
                <w:sz w:val="20"/>
                <w:szCs w:val="20"/>
              </w:rPr>
              <w:t>Araruama</w:t>
            </w:r>
          </w:p>
        </w:tc>
        <w:tc>
          <w:tcPr>
            <w:tcW w:w="0" w:type="auto"/>
            <w:tcBorders>
              <w:top w:val="nil"/>
              <w:left w:val="nil"/>
              <w:bottom w:val="nil"/>
              <w:right w:val="nil"/>
            </w:tcBorders>
            <w:noWrap/>
            <w:hideMark/>
          </w:tcPr>
          <w:p w14:paraId="6B636D62"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90,7</w:t>
            </w:r>
          </w:p>
        </w:tc>
        <w:tc>
          <w:tcPr>
            <w:tcW w:w="0" w:type="auto"/>
            <w:tcBorders>
              <w:top w:val="nil"/>
              <w:left w:val="nil"/>
              <w:bottom w:val="nil"/>
              <w:right w:val="nil"/>
            </w:tcBorders>
            <w:noWrap/>
            <w:hideMark/>
          </w:tcPr>
          <w:p w14:paraId="60683F36"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95,1</w:t>
            </w:r>
          </w:p>
        </w:tc>
        <w:tc>
          <w:tcPr>
            <w:tcW w:w="0" w:type="auto"/>
            <w:tcBorders>
              <w:top w:val="nil"/>
              <w:left w:val="nil"/>
              <w:bottom w:val="nil"/>
              <w:right w:val="nil"/>
            </w:tcBorders>
            <w:noWrap/>
            <w:hideMark/>
          </w:tcPr>
          <w:p w14:paraId="1A4DE924"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96,0</w:t>
            </w:r>
          </w:p>
        </w:tc>
      </w:tr>
      <w:tr w:rsidR="00DA5C94" w:rsidRPr="0077745A" w14:paraId="4934024D" w14:textId="77777777" w:rsidTr="0077745A">
        <w:trPr>
          <w:cantSplit/>
          <w:trHeight w:val="20"/>
          <w:jc w:val="center"/>
        </w:trPr>
        <w:tc>
          <w:tcPr>
            <w:tcW w:w="0" w:type="auto"/>
            <w:tcBorders>
              <w:top w:val="nil"/>
              <w:left w:val="nil"/>
              <w:bottom w:val="nil"/>
              <w:right w:val="nil"/>
            </w:tcBorders>
            <w:noWrap/>
            <w:hideMark/>
          </w:tcPr>
          <w:p w14:paraId="22FFE790" w14:textId="77777777" w:rsidR="00DA5C94" w:rsidRPr="0077745A" w:rsidRDefault="00DA5C94" w:rsidP="0077745A">
            <w:pPr>
              <w:keepNext/>
              <w:rPr>
                <w:rFonts w:ascii="Aptos Narrow" w:hAnsi="Aptos Narrow"/>
                <w:color w:val="000000"/>
                <w:sz w:val="20"/>
                <w:szCs w:val="20"/>
              </w:rPr>
            </w:pPr>
            <w:r w:rsidRPr="0077745A">
              <w:rPr>
                <w:rFonts w:ascii="Aptos Narrow" w:hAnsi="Aptos Narrow"/>
                <w:color w:val="000000"/>
                <w:sz w:val="20"/>
                <w:szCs w:val="20"/>
              </w:rPr>
              <w:t>Armação dos Búzios</w:t>
            </w:r>
          </w:p>
        </w:tc>
        <w:tc>
          <w:tcPr>
            <w:tcW w:w="0" w:type="auto"/>
            <w:tcBorders>
              <w:top w:val="nil"/>
              <w:left w:val="nil"/>
              <w:bottom w:val="nil"/>
              <w:right w:val="nil"/>
            </w:tcBorders>
            <w:noWrap/>
            <w:hideMark/>
          </w:tcPr>
          <w:p w14:paraId="4E6341D9"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100,0</w:t>
            </w:r>
          </w:p>
        </w:tc>
        <w:tc>
          <w:tcPr>
            <w:tcW w:w="0" w:type="auto"/>
            <w:tcBorders>
              <w:top w:val="nil"/>
              <w:left w:val="nil"/>
              <w:bottom w:val="nil"/>
              <w:right w:val="nil"/>
            </w:tcBorders>
            <w:noWrap/>
            <w:hideMark/>
          </w:tcPr>
          <w:p w14:paraId="50E2070F"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100,0</w:t>
            </w:r>
          </w:p>
        </w:tc>
        <w:tc>
          <w:tcPr>
            <w:tcW w:w="0" w:type="auto"/>
            <w:tcBorders>
              <w:top w:val="nil"/>
              <w:left w:val="nil"/>
              <w:bottom w:val="nil"/>
              <w:right w:val="nil"/>
            </w:tcBorders>
            <w:noWrap/>
            <w:hideMark/>
          </w:tcPr>
          <w:p w14:paraId="0A35B381"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100,0</w:t>
            </w:r>
          </w:p>
        </w:tc>
      </w:tr>
      <w:tr w:rsidR="00DA5C94" w:rsidRPr="0077745A" w14:paraId="1ABBDCAA" w14:textId="77777777" w:rsidTr="0077745A">
        <w:trPr>
          <w:cantSplit/>
          <w:trHeight w:val="20"/>
          <w:jc w:val="center"/>
        </w:trPr>
        <w:tc>
          <w:tcPr>
            <w:tcW w:w="0" w:type="auto"/>
            <w:tcBorders>
              <w:top w:val="nil"/>
              <w:left w:val="nil"/>
              <w:bottom w:val="nil"/>
              <w:right w:val="nil"/>
            </w:tcBorders>
            <w:noWrap/>
            <w:hideMark/>
          </w:tcPr>
          <w:p w14:paraId="6B4924C7" w14:textId="77777777" w:rsidR="00DA5C94" w:rsidRPr="0077745A" w:rsidRDefault="00DA5C94" w:rsidP="0077745A">
            <w:pPr>
              <w:keepNext/>
              <w:rPr>
                <w:rFonts w:ascii="Aptos Narrow" w:hAnsi="Aptos Narrow"/>
                <w:color w:val="000000"/>
                <w:sz w:val="20"/>
                <w:szCs w:val="20"/>
              </w:rPr>
            </w:pPr>
            <w:r w:rsidRPr="0077745A">
              <w:rPr>
                <w:rFonts w:ascii="Aptos Narrow" w:hAnsi="Aptos Narrow"/>
                <w:color w:val="000000"/>
                <w:sz w:val="20"/>
                <w:szCs w:val="20"/>
              </w:rPr>
              <w:t>Arraial do Cabo</w:t>
            </w:r>
          </w:p>
        </w:tc>
        <w:tc>
          <w:tcPr>
            <w:tcW w:w="0" w:type="auto"/>
            <w:tcBorders>
              <w:top w:val="nil"/>
              <w:left w:val="nil"/>
              <w:bottom w:val="nil"/>
              <w:right w:val="nil"/>
            </w:tcBorders>
            <w:noWrap/>
            <w:hideMark/>
          </w:tcPr>
          <w:p w14:paraId="7014DA34"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100,0</w:t>
            </w:r>
          </w:p>
        </w:tc>
        <w:tc>
          <w:tcPr>
            <w:tcW w:w="0" w:type="auto"/>
            <w:tcBorders>
              <w:top w:val="nil"/>
              <w:left w:val="nil"/>
              <w:bottom w:val="nil"/>
              <w:right w:val="nil"/>
            </w:tcBorders>
            <w:noWrap/>
            <w:hideMark/>
          </w:tcPr>
          <w:p w14:paraId="6B03FD17"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100,0</w:t>
            </w:r>
          </w:p>
        </w:tc>
        <w:tc>
          <w:tcPr>
            <w:tcW w:w="0" w:type="auto"/>
            <w:tcBorders>
              <w:top w:val="nil"/>
              <w:left w:val="nil"/>
              <w:bottom w:val="nil"/>
              <w:right w:val="nil"/>
            </w:tcBorders>
            <w:noWrap/>
            <w:hideMark/>
          </w:tcPr>
          <w:p w14:paraId="13115378"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100,0</w:t>
            </w:r>
          </w:p>
        </w:tc>
      </w:tr>
      <w:tr w:rsidR="00DA5C94" w:rsidRPr="0077745A" w14:paraId="03D95B71" w14:textId="77777777" w:rsidTr="0077745A">
        <w:trPr>
          <w:cantSplit/>
          <w:trHeight w:val="20"/>
          <w:jc w:val="center"/>
        </w:trPr>
        <w:tc>
          <w:tcPr>
            <w:tcW w:w="0" w:type="auto"/>
            <w:tcBorders>
              <w:top w:val="nil"/>
              <w:left w:val="nil"/>
              <w:bottom w:val="nil"/>
              <w:right w:val="nil"/>
            </w:tcBorders>
            <w:noWrap/>
            <w:hideMark/>
          </w:tcPr>
          <w:p w14:paraId="340D36D5" w14:textId="77777777" w:rsidR="00DA5C94" w:rsidRPr="0077745A" w:rsidRDefault="00DA5C94" w:rsidP="0077745A">
            <w:pPr>
              <w:keepNext/>
              <w:rPr>
                <w:rFonts w:ascii="Aptos Narrow" w:hAnsi="Aptos Narrow"/>
                <w:color w:val="000000"/>
                <w:sz w:val="20"/>
                <w:szCs w:val="20"/>
              </w:rPr>
            </w:pPr>
            <w:r w:rsidRPr="0077745A">
              <w:rPr>
                <w:rFonts w:ascii="Aptos Narrow" w:hAnsi="Aptos Narrow"/>
                <w:color w:val="000000"/>
                <w:sz w:val="20"/>
                <w:szCs w:val="20"/>
              </w:rPr>
              <w:t>Cabo Frio</w:t>
            </w:r>
          </w:p>
        </w:tc>
        <w:tc>
          <w:tcPr>
            <w:tcW w:w="0" w:type="auto"/>
            <w:tcBorders>
              <w:top w:val="nil"/>
              <w:left w:val="nil"/>
              <w:bottom w:val="nil"/>
              <w:right w:val="nil"/>
            </w:tcBorders>
            <w:noWrap/>
            <w:hideMark/>
          </w:tcPr>
          <w:p w14:paraId="79FD5162"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83,8</w:t>
            </w:r>
          </w:p>
        </w:tc>
        <w:tc>
          <w:tcPr>
            <w:tcW w:w="0" w:type="auto"/>
            <w:tcBorders>
              <w:top w:val="nil"/>
              <w:left w:val="nil"/>
              <w:bottom w:val="nil"/>
              <w:right w:val="nil"/>
            </w:tcBorders>
            <w:noWrap/>
            <w:hideMark/>
          </w:tcPr>
          <w:p w14:paraId="06280BCD"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75,4</w:t>
            </w:r>
          </w:p>
        </w:tc>
        <w:tc>
          <w:tcPr>
            <w:tcW w:w="0" w:type="auto"/>
            <w:tcBorders>
              <w:top w:val="nil"/>
              <w:left w:val="nil"/>
              <w:bottom w:val="nil"/>
              <w:right w:val="nil"/>
            </w:tcBorders>
            <w:noWrap/>
            <w:hideMark/>
          </w:tcPr>
          <w:p w14:paraId="495959DD"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99,5</w:t>
            </w:r>
          </w:p>
        </w:tc>
      </w:tr>
      <w:tr w:rsidR="00DA5C94" w:rsidRPr="0077745A" w14:paraId="1237C6C3" w14:textId="77777777" w:rsidTr="0077745A">
        <w:trPr>
          <w:cantSplit/>
          <w:trHeight w:val="20"/>
          <w:jc w:val="center"/>
        </w:trPr>
        <w:tc>
          <w:tcPr>
            <w:tcW w:w="0" w:type="auto"/>
            <w:tcBorders>
              <w:top w:val="nil"/>
              <w:left w:val="nil"/>
              <w:bottom w:val="nil"/>
              <w:right w:val="nil"/>
            </w:tcBorders>
            <w:noWrap/>
            <w:hideMark/>
          </w:tcPr>
          <w:p w14:paraId="44959D98" w14:textId="77777777" w:rsidR="00DA5C94" w:rsidRPr="0077745A" w:rsidRDefault="00DA5C94" w:rsidP="0077745A">
            <w:pPr>
              <w:keepNext/>
              <w:rPr>
                <w:rFonts w:ascii="Aptos Narrow" w:hAnsi="Aptos Narrow"/>
                <w:color w:val="000000"/>
                <w:sz w:val="20"/>
                <w:szCs w:val="20"/>
              </w:rPr>
            </w:pPr>
            <w:r w:rsidRPr="0077745A">
              <w:rPr>
                <w:rFonts w:ascii="Aptos Narrow" w:hAnsi="Aptos Narrow"/>
                <w:color w:val="000000"/>
                <w:sz w:val="20"/>
                <w:szCs w:val="20"/>
              </w:rPr>
              <w:t>Iguaba Grande</w:t>
            </w:r>
          </w:p>
        </w:tc>
        <w:tc>
          <w:tcPr>
            <w:tcW w:w="0" w:type="auto"/>
            <w:tcBorders>
              <w:top w:val="nil"/>
              <w:left w:val="nil"/>
              <w:bottom w:val="nil"/>
              <w:right w:val="nil"/>
            </w:tcBorders>
            <w:noWrap/>
            <w:hideMark/>
          </w:tcPr>
          <w:p w14:paraId="3ACBBC1E"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100,0</w:t>
            </w:r>
          </w:p>
        </w:tc>
        <w:tc>
          <w:tcPr>
            <w:tcW w:w="0" w:type="auto"/>
            <w:tcBorders>
              <w:top w:val="nil"/>
              <w:left w:val="nil"/>
              <w:bottom w:val="nil"/>
              <w:right w:val="nil"/>
            </w:tcBorders>
            <w:noWrap/>
            <w:hideMark/>
          </w:tcPr>
          <w:p w14:paraId="34FC93F4"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100,0</w:t>
            </w:r>
          </w:p>
        </w:tc>
        <w:tc>
          <w:tcPr>
            <w:tcW w:w="0" w:type="auto"/>
            <w:tcBorders>
              <w:top w:val="nil"/>
              <w:left w:val="nil"/>
              <w:bottom w:val="nil"/>
              <w:right w:val="nil"/>
            </w:tcBorders>
            <w:noWrap/>
            <w:hideMark/>
          </w:tcPr>
          <w:p w14:paraId="58C4D54D"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99,7</w:t>
            </w:r>
          </w:p>
        </w:tc>
      </w:tr>
      <w:tr w:rsidR="00DA5C94" w:rsidRPr="0077745A" w14:paraId="2100815A" w14:textId="77777777" w:rsidTr="0077745A">
        <w:trPr>
          <w:cantSplit/>
          <w:trHeight w:val="20"/>
          <w:jc w:val="center"/>
        </w:trPr>
        <w:tc>
          <w:tcPr>
            <w:tcW w:w="0" w:type="auto"/>
            <w:tcBorders>
              <w:top w:val="nil"/>
              <w:left w:val="nil"/>
              <w:bottom w:val="nil"/>
              <w:right w:val="nil"/>
            </w:tcBorders>
            <w:noWrap/>
            <w:hideMark/>
          </w:tcPr>
          <w:p w14:paraId="00D0EDE0" w14:textId="77777777" w:rsidR="00DA5C94" w:rsidRPr="0077745A" w:rsidRDefault="00DA5C94" w:rsidP="0077745A">
            <w:pPr>
              <w:keepNext/>
              <w:rPr>
                <w:rFonts w:ascii="Aptos Narrow" w:hAnsi="Aptos Narrow"/>
                <w:color w:val="000000"/>
                <w:sz w:val="20"/>
                <w:szCs w:val="20"/>
              </w:rPr>
            </w:pPr>
            <w:r w:rsidRPr="0077745A">
              <w:rPr>
                <w:rFonts w:ascii="Aptos Narrow" w:hAnsi="Aptos Narrow"/>
                <w:color w:val="000000"/>
                <w:sz w:val="20"/>
                <w:szCs w:val="20"/>
              </w:rPr>
              <w:t>São Pedro da Aldeia</w:t>
            </w:r>
          </w:p>
        </w:tc>
        <w:tc>
          <w:tcPr>
            <w:tcW w:w="0" w:type="auto"/>
            <w:tcBorders>
              <w:top w:val="nil"/>
              <w:left w:val="nil"/>
              <w:bottom w:val="nil"/>
              <w:right w:val="nil"/>
            </w:tcBorders>
            <w:noWrap/>
            <w:hideMark/>
          </w:tcPr>
          <w:p w14:paraId="6A426557"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82,5</w:t>
            </w:r>
          </w:p>
        </w:tc>
        <w:tc>
          <w:tcPr>
            <w:tcW w:w="0" w:type="auto"/>
            <w:tcBorders>
              <w:top w:val="nil"/>
              <w:left w:val="nil"/>
              <w:bottom w:val="nil"/>
              <w:right w:val="nil"/>
            </w:tcBorders>
            <w:noWrap/>
            <w:hideMark/>
          </w:tcPr>
          <w:p w14:paraId="1036B8F0"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93,5</w:t>
            </w:r>
          </w:p>
        </w:tc>
        <w:tc>
          <w:tcPr>
            <w:tcW w:w="0" w:type="auto"/>
            <w:tcBorders>
              <w:top w:val="nil"/>
              <w:left w:val="nil"/>
              <w:bottom w:val="nil"/>
              <w:right w:val="nil"/>
            </w:tcBorders>
            <w:noWrap/>
            <w:hideMark/>
          </w:tcPr>
          <w:p w14:paraId="1E619792"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97,2</w:t>
            </w:r>
          </w:p>
        </w:tc>
      </w:tr>
      <w:tr w:rsidR="00DA5C94" w:rsidRPr="0077745A" w14:paraId="5B725604" w14:textId="77777777" w:rsidTr="0077745A">
        <w:trPr>
          <w:cantSplit/>
          <w:trHeight w:val="20"/>
          <w:jc w:val="center"/>
        </w:trPr>
        <w:tc>
          <w:tcPr>
            <w:tcW w:w="0" w:type="auto"/>
            <w:tcBorders>
              <w:top w:val="nil"/>
              <w:left w:val="nil"/>
              <w:bottom w:val="nil"/>
              <w:right w:val="nil"/>
            </w:tcBorders>
            <w:shd w:val="clear" w:color="000000" w:fill="FFCC99"/>
            <w:noWrap/>
            <w:hideMark/>
          </w:tcPr>
          <w:p w14:paraId="2B6F0DD9" w14:textId="77777777" w:rsidR="00DA5C94" w:rsidRPr="0077745A" w:rsidRDefault="00DA5C94" w:rsidP="0077745A">
            <w:pPr>
              <w:keepNext/>
              <w:rPr>
                <w:rFonts w:ascii="Aptos Narrow" w:hAnsi="Aptos Narrow"/>
                <w:color w:val="3F3F76"/>
                <w:sz w:val="20"/>
                <w:szCs w:val="20"/>
              </w:rPr>
            </w:pPr>
            <w:r w:rsidRPr="0077745A">
              <w:rPr>
                <w:rFonts w:ascii="Aptos Narrow" w:hAnsi="Aptos Narrow"/>
                <w:color w:val="3F3F76"/>
                <w:sz w:val="20"/>
                <w:szCs w:val="20"/>
              </w:rPr>
              <w:t>Região Geográfica Imediata Macaé-Rio das Ostras</w:t>
            </w:r>
          </w:p>
        </w:tc>
        <w:tc>
          <w:tcPr>
            <w:tcW w:w="0" w:type="auto"/>
            <w:tcBorders>
              <w:top w:val="nil"/>
              <w:left w:val="nil"/>
              <w:bottom w:val="nil"/>
              <w:right w:val="nil"/>
            </w:tcBorders>
            <w:shd w:val="clear" w:color="000000" w:fill="FFCC99"/>
            <w:noWrap/>
            <w:hideMark/>
          </w:tcPr>
          <w:p w14:paraId="5E73017E" w14:textId="77777777" w:rsidR="00DA5C94" w:rsidRPr="0077745A" w:rsidRDefault="00DA5C94" w:rsidP="0077745A">
            <w:pPr>
              <w:keepNext/>
              <w:jc w:val="right"/>
              <w:rPr>
                <w:rFonts w:ascii="Aptos Narrow" w:hAnsi="Aptos Narrow"/>
                <w:color w:val="3F3F76"/>
                <w:sz w:val="20"/>
                <w:szCs w:val="20"/>
              </w:rPr>
            </w:pPr>
            <w:r w:rsidRPr="0077745A">
              <w:rPr>
                <w:rFonts w:ascii="Aptos Narrow" w:hAnsi="Aptos Narrow"/>
                <w:color w:val="3F3F76"/>
                <w:sz w:val="20"/>
                <w:szCs w:val="20"/>
              </w:rPr>
              <w:t>90,6</w:t>
            </w:r>
          </w:p>
        </w:tc>
        <w:tc>
          <w:tcPr>
            <w:tcW w:w="0" w:type="auto"/>
            <w:tcBorders>
              <w:top w:val="nil"/>
              <w:left w:val="nil"/>
              <w:bottom w:val="nil"/>
              <w:right w:val="nil"/>
            </w:tcBorders>
            <w:shd w:val="clear" w:color="000000" w:fill="FFCC99"/>
            <w:noWrap/>
            <w:hideMark/>
          </w:tcPr>
          <w:p w14:paraId="7D0D196F" w14:textId="77777777" w:rsidR="00DA5C94" w:rsidRPr="0077745A" w:rsidRDefault="00DA5C94" w:rsidP="0077745A">
            <w:pPr>
              <w:keepNext/>
              <w:jc w:val="right"/>
              <w:rPr>
                <w:rFonts w:ascii="Aptos Narrow" w:hAnsi="Aptos Narrow"/>
                <w:color w:val="3F3F76"/>
                <w:sz w:val="20"/>
                <w:szCs w:val="20"/>
              </w:rPr>
            </w:pPr>
            <w:r w:rsidRPr="0077745A">
              <w:rPr>
                <w:rFonts w:ascii="Aptos Narrow" w:hAnsi="Aptos Narrow"/>
                <w:color w:val="3F3F76"/>
                <w:sz w:val="20"/>
                <w:szCs w:val="20"/>
              </w:rPr>
              <w:t>92,7</w:t>
            </w:r>
          </w:p>
        </w:tc>
        <w:tc>
          <w:tcPr>
            <w:tcW w:w="0" w:type="auto"/>
            <w:tcBorders>
              <w:top w:val="nil"/>
              <w:left w:val="nil"/>
              <w:bottom w:val="nil"/>
              <w:right w:val="nil"/>
            </w:tcBorders>
            <w:shd w:val="clear" w:color="000000" w:fill="FFCC99"/>
            <w:noWrap/>
            <w:hideMark/>
          </w:tcPr>
          <w:p w14:paraId="7A95AF48" w14:textId="77777777" w:rsidR="00DA5C94" w:rsidRPr="0077745A" w:rsidRDefault="00DA5C94" w:rsidP="0077745A">
            <w:pPr>
              <w:keepNext/>
              <w:jc w:val="right"/>
              <w:rPr>
                <w:rFonts w:ascii="Aptos Narrow" w:hAnsi="Aptos Narrow"/>
                <w:color w:val="3F3F76"/>
                <w:sz w:val="20"/>
                <w:szCs w:val="20"/>
              </w:rPr>
            </w:pPr>
            <w:r w:rsidRPr="0077745A">
              <w:rPr>
                <w:rFonts w:ascii="Aptos Narrow" w:hAnsi="Aptos Narrow"/>
                <w:color w:val="3F3F76"/>
                <w:sz w:val="20"/>
                <w:szCs w:val="20"/>
              </w:rPr>
              <w:t>96,4</w:t>
            </w:r>
          </w:p>
        </w:tc>
      </w:tr>
      <w:tr w:rsidR="00DA5C94" w:rsidRPr="0077745A" w14:paraId="22CF2DB7" w14:textId="77777777" w:rsidTr="0077745A">
        <w:trPr>
          <w:cantSplit/>
          <w:trHeight w:val="20"/>
          <w:jc w:val="center"/>
        </w:trPr>
        <w:tc>
          <w:tcPr>
            <w:tcW w:w="0" w:type="auto"/>
            <w:tcBorders>
              <w:top w:val="nil"/>
              <w:left w:val="nil"/>
              <w:bottom w:val="nil"/>
              <w:right w:val="nil"/>
            </w:tcBorders>
            <w:noWrap/>
            <w:hideMark/>
          </w:tcPr>
          <w:p w14:paraId="4C5AB0D8" w14:textId="77777777" w:rsidR="00DA5C94" w:rsidRPr="0077745A" w:rsidRDefault="00DA5C94" w:rsidP="0077745A">
            <w:pPr>
              <w:keepNext/>
              <w:rPr>
                <w:rFonts w:ascii="Aptos Narrow" w:hAnsi="Aptos Narrow"/>
                <w:color w:val="000000"/>
                <w:sz w:val="20"/>
                <w:szCs w:val="20"/>
              </w:rPr>
            </w:pPr>
            <w:r w:rsidRPr="0077745A">
              <w:rPr>
                <w:rFonts w:ascii="Aptos Narrow" w:hAnsi="Aptos Narrow"/>
                <w:color w:val="000000"/>
                <w:sz w:val="20"/>
                <w:szCs w:val="20"/>
              </w:rPr>
              <w:t>Carapebus</w:t>
            </w:r>
          </w:p>
        </w:tc>
        <w:tc>
          <w:tcPr>
            <w:tcW w:w="0" w:type="auto"/>
            <w:tcBorders>
              <w:top w:val="nil"/>
              <w:left w:val="nil"/>
              <w:bottom w:val="nil"/>
              <w:right w:val="nil"/>
            </w:tcBorders>
            <w:noWrap/>
            <w:hideMark/>
          </w:tcPr>
          <w:p w14:paraId="4E3F1CB1"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79,3</w:t>
            </w:r>
          </w:p>
        </w:tc>
        <w:tc>
          <w:tcPr>
            <w:tcW w:w="0" w:type="auto"/>
            <w:tcBorders>
              <w:top w:val="nil"/>
              <w:left w:val="nil"/>
              <w:bottom w:val="nil"/>
              <w:right w:val="nil"/>
            </w:tcBorders>
            <w:noWrap/>
            <w:hideMark/>
          </w:tcPr>
          <w:p w14:paraId="663CA46A"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78,9</w:t>
            </w:r>
          </w:p>
        </w:tc>
        <w:tc>
          <w:tcPr>
            <w:tcW w:w="0" w:type="auto"/>
            <w:tcBorders>
              <w:top w:val="nil"/>
              <w:left w:val="nil"/>
              <w:bottom w:val="nil"/>
              <w:right w:val="nil"/>
            </w:tcBorders>
            <w:noWrap/>
            <w:hideMark/>
          </w:tcPr>
          <w:p w14:paraId="3F7C68D9"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81,8</w:t>
            </w:r>
          </w:p>
        </w:tc>
      </w:tr>
      <w:tr w:rsidR="00DA5C94" w:rsidRPr="0077745A" w14:paraId="43B56FA9" w14:textId="77777777" w:rsidTr="0077745A">
        <w:trPr>
          <w:cantSplit/>
          <w:trHeight w:val="20"/>
          <w:jc w:val="center"/>
        </w:trPr>
        <w:tc>
          <w:tcPr>
            <w:tcW w:w="0" w:type="auto"/>
            <w:tcBorders>
              <w:top w:val="nil"/>
              <w:left w:val="nil"/>
              <w:bottom w:val="nil"/>
              <w:right w:val="nil"/>
            </w:tcBorders>
            <w:noWrap/>
            <w:hideMark/>
          </w:tcPr>
          <w:p w14:paraId="01199A01" w14:textId="77777777" w:rsidR="00DA5C94" w:rsidRPr="0077745A" w:rsidRDefault="00DA5C94" w:rsidP="0077745A">
            <w:pPr>
              <w:keepNext/>
              <w:rPr>
                <w:rFonts w:ascii="Aptos Narrow" w:hAnsi="Aptos Narrow"/>
                <w:color w:val="000000"/>
                <w:sz w:val="20"/>
                <w:szCs w:val="20"/>
              </w:rPr>
            </w:pPr>
            <w:r w:rsidRPr="0077745A">
              <w:rPr>
                <w:rFonts w:ascii="Aptos Narrow" w:hAnsi="Aptos Narrow"/>
                <w:color w:val="000000"/>
                <w:sz w:val="20"/>
                <w:szCs w:val="20"/>
              </w:rPr>
              <w:t>Casimiro de Abreu</w:t>
            </w:r>
          </w:p>
        </w:tc>
        <w:tc>
          <w:tcPr>
            <w:tcW w:w="0" w:type="auto"/>
            <w:tcBorders>
              <w:top w:val="nil"/>
              <w:left w:val="nil"/>
              <w:bottom w:val="nil"/>
              <w:right w:val="nil"/>
            </w:tcBorders>
            <w:noWrap/>
            <w:hideMark/>
          </w:tcPr>
          <w:p w14:paraId="4E35C7A4"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84,7</w:t>
            </w:r>
          </w:p>
        </w:tc>
        <w:tc>
          <w:tcPr>
            <w:tcW w:w="0" w:type="auto"/>
            <w:tcBorders>
              <w:top w:val="nil"/>
              <w:left w:val="nil"/>
              <w:bottom w:val="nil"/>
              <w:right w:val="nil"/>
            </w:tcBorders>
            <w:noWrap/>
            <w:hideMark/>
          </w:tcPr>
          <w:p w14:paraId="0038D006"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80,7</w:t>
            </w:r>
          </w:p>
        </w:tc>
        <w:tc>
          <w:tcPr>
            <w:tcW w:w="0" w:type="auto"/>
            <w:tcBorders>
              <w:top w:val="nil"/>
              <w:left w:val="nil"/>
              <w:bottom w:val="nil"/>
              <w:right w:val="nil"/>
            </w:tcBorders>
            <w:noWrap/>
            <w:hideMark/>
          </w:tcPr>
          <w:p w14:paraId="1E913546"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94,8</w:t>
            </w:r>
          </w:p>
        </w:tc>
      </w:tr>
      <w:tr w:rsidR="00DA5C94" w:rsidRPr="0077745A" w14:paraId="1C527884" w14:textId="77777777" w:rsidTr="0077745A">
        <w:trPr>
          <w:cantSplit/>
          <w:trHeight w:val="20"/>
          <w:jc w:val="center"/>
        </w:trPr>
        <w:tc>
          <w:tcPr>
            <w:tcW w:w="0" w:type="auto"/>
            <w:tcBorders>
              <w:top w:val="nil"/>
              <w:left w:val="nil"/>
              <w:bottom w:val="nil"/>
              <w:right w:val="nil"/>
            </w:tcBorders>
            <w:noWrap/>
            <w:hideMark/>
          </w:tcPr>
          <w:p w14:paraId="22897539" w14:textId="77777777" w:rsidR="00DA5C94" w:rsidRPr="0077745A" w:rsidRDefault="00DA5C94" w:rsidP="0077745A">
            <w:pPr>
              <w:keepNext/>
              <w:rPr>
                <w:rFonts w:ascii="Aptos Narrow" w:hAnsi="Aptos Narrow"/>
                <w:color w:val="000000"/>
                <w:sz w:val="20"/>
                <w:szCs w:val="20"/>
              </w:rPr>
            </w:pPr>
            <w:r w:rsidRPr="0077745A">
              <w:rPr>
                <w:rFonts w:ascii="Aptos Narrow" w:hAnsi="Aptos Narrow"/>
                <w:color w:val="000000"/>
                <w:sz w:val="20"/>
                <w:szCs w:val="20"/>
              </w:rPr>
              <w:t>Conceição de Macabu</w:t>
            </w:r>
          </w:p>
        </w:tc>
        <w:tc>
          <w:tcPr>
            <w:tcW w:w="0" w:type="auto"/>
            <w:tcBorders>
              <w:top w:val="nil"/>
              <w:left w:val="nil"/>
              <w:bottom w:val="nil"/>
              <w:right w:val="nil"/>
            </w:tcBorders>
            <w:noWrap/>
            <w:hideMark/>
          </w:tcPr>
          <w:p w14:paraId="0E62C27C"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88,1</w:t>
            </w:r>
          </w:p>
        </w:tc>
        <w:tc>
          <w:tcPr>
            <w:tcW w:w="0" w:type="auto"/>
            <w:tcBorders>
              <w:top w:val="nil"/>
              <w:left w:val="nil"/>
              <w:bottom w:val="nil"/>
              <w:right w:val="nil"/>
            </w:tcBorders>
            <w:noWrap/>
            <w:hideMark/>
          </w:tcPr>
          <w:p w14:paraId="7DCBBA0D"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86,5</w:t>
            </w:r>
          </w:p>
        </w:tc>
        <w:tc>
          <w:tcPr>
            <w:tcW w:w="0" w:type="auto"/>
            <w:tcBorders>
              <w:top w:val="nil"/>
              <w:left w:val="nil"/>
              <w:bottom w:val="nil"/>
              <w:right w:val="nil"/>
            </w:tcBorders>
            <w:noWrap/>
            <w:hideMark/>
          </w:tcPr>
          <w:p w14:paraId="0BAD8EF8"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90,1</w:t>
            </w:r>
          </w:p>
        </w:tc>
      </w:tr>
      <w:tr w:rsidR="00DA5C94" w:rsidRPr="0077745A" w14:paraId="6C296AFE" w14:textId="77777777" w:rsidTr="0077745A">
        <w:trPr>
          <w:cantSplit/>
          <w:trHeight w:val="20"/>
          <w:jc w:val="center"/>
        </w:trPr>
        <w:tc>
          <w:tcPr>
            <w:tcW w:w="0" w:type="auto"/>
            <w:tcBorders>
              <w:top w:val="nil"/>
              <w:left w:val="nil"/>
              <w:bottom w:val="nil"/>
              <w:right w:val="nil"/>
            </w:tcBorders>
            <w:noWrap/>
            <w:hideMark/>
          </w:tcPr>
          <w:p w14:paraId="22E6312D" w14:textId="77777777" w:rsidR="00DA5C94" w:rsidRPr="0077745A" w:rsidRDefault="00DA5C94" w:rsidP="0077745A">
            <w:pPr>
              <w:keepNext/>
              <w:rPr>
                <w:rFonts w:ascii="Aptos Narrow" w:hAnsi="Aptos Narrow"/>
                <w:color w:val="000000"/>
                <w:sz w:val="20"/>
                <w:szCs w:val="20"/>
              </w:rPr>
            </w:pPr>
            <w:r w:rsidRPr="0077745A">
              <w:rPr>
                <w:rFonts w:ascii="Aptos Narrow" w:hAnsi="Aptos Narrow"/>
                <w:color w:val="000000"/>
                <w:sz w:val="20"/>
                <w:szCs w:val="20"/>
              </w:rPr>
              <w:t>Macaé</w:t>
            </w:r>
          </w:p>
        </w:tc>
        <w:tc>
          <w:tcPr>
            <w:tcW w:w="0" w:type="auto"/>
            <w:tcBorders>
              <w:top w:val="nil"/>
              <w:left w:val="nil"/>
              <w:bottom w:val="nil"/>
              <w:right w:val="nil"/>
            </w:tcBorders>
            <w:noWrap/>
            <w:hideMark/>
          </w:tcPr>
          <w:p w14:paraId="73F9614A"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95,1</w:t>
            </w:r>
          </w:p>
        </w:tc>
        <w:tc>
          <w:tcPr>
            <w:tcW w:w="0" w:type="auto"/>
            <w:tcBorders>
              <w:top w:val="nil"/>
              <w:left w:val="nil"/>
              <w:bottom w:val="nil"/>
              <w:right w:val="nil"/>
            </w:tcBorders>
            <w:noWrap/>
            <w:hideMark/>
          </w:tcPr>
          <w:p w14:paraId="41163AD6"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98,1</w:t>
            </w:r>
          </w:p>
        </w:tc>
        <w:tc>
          <w:tcPr>
            <w:tcW w:w="0" w:type="auto"/>
            <w:tcBorders>
              <w:top w:val="nil"/>
              <w:left w:val="nil"/>
              <w:bottom w:val="nil"/>
              <w:right w:val="nil"/>
            </w:tcBorders>
            <w:noWrap/>
            <w:hideMark/>
          </w:tcPr>
          <w:p w14:paraId="0CDBED40"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97,3</w:t>
            </w:r>
          </w:p>
        </w:tc>
      </w:tr>
      <w:tr w:rsidR="00DA5C94" w:rsidRPr="0077745A" w14:paraId="59618A67" w14:textId="77777777" w:rsidTr="0077745A">
        <w:trPr>
          <w:cantSplit/>
          <w:trHeight w:val="20"/>
          <w:jc w:val="center"/>
        </w:trPr>
        <w:tc>
          <w:tcPr>
            <w:tcW w:w="0" w:type="auto"/>
            <w:tcBorders>
              <w:top w:val="nil"/>
              <w:left w:val="nil"/>
              <w:bottom w:val="nil"/>
              <w:right w:val="nil"/>
            </w:tcBorders>
            <w:noWrap/>
            <w:hideMark/>
          </w:tcPr>
          <w:p w14:paraId="0BFA7BB3" w14:textId="77777777" w:rsidR="00DA5C94" w:rsidRPr="0077745A" w:rsidRDefault="00DA5C94" w:rsidP="0077745A">
            <w:pPr>
              <w:keepNext/>
              <w:rPr>
                <w:rFonts w:ascii="Aptos Narrow" w:hAnsi="Aptos Narrow"/>
                <w:color w:val="000000"/>
                <w:sz w:val="20"/>
                <w:szCs w:val="20"/>
              </w:rPr>
            </w:pPr>
            <w:r w:rsidRPr="0077745A">
              <w:rPr>
                <w:rFonts w:ascii="Aptos Narrow" w:hAnsi="Aptos Narrow"/>
                <w:color w:val="000000"/>
                <w:sz w:val="20"/>
                <w:szCs w:val="20"/>
              </w:rPr>
              <w:t>Quissamã</w:t>
            </w:r>
          </w:p>
        </w:tc>
        <w:tc>
          <w:tcPr>
            <w:tcW w:w="0" w:type="auto"/>
            <w:tcBorders>
              <w:top w:val="nil"/>
              <w:left w:val="nil"/>
              <w:bottom w:val="nil"/>
              <w:right w:val="nil"/>
            </w:tcBorders>
            <w:noWrap/>
            <w:hideMark/>
          </w:tcPr>
          <w:p w14:paraId="23684B62"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56,3</w:t>
            </w:r>
          </w:p>
        </w:tc>
        <w:tc>
          <w:tcPr>
            <w:tcW w:w="0" w:type="auto"/>
            <w:tcBorders>
              <w:top w:val="nil"/>
              <w:left w:val="nil"/>
              <w:bottom w:val="nil"/>
              <w:right w:val="nil"/>
            </w:tcBorders>
            <w:noWrap/>
            <w:hideMark/>
          </w:tcPr>
          <w:p w14:paraId="7320C1C5"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64,2</w:t>
            </w:r>
          </w:p>
        </w:tc>
        <w:tc>
          <w:tcPr>
            <w:tcW w:w="0" w:type="auto"/>
            <w:tcBorders>
              <w:top w:val="nil"/>
              <w:left w:val="nil"/>
              <w:bottom w:val="nil"/>
              <w:right w:val="nil"/>
            </w:tcBorders>
            <w:noWrap/>
            <w:hideMark/>
          </w:tcPr>
          <w:p w14:paraId="4AB6943B"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81,1</w:t>
            </w:r>
          </w:p>
        </w:tc>
      </w:tr>
      <w:tr w:rsidR="00DA5C94" w:rsidRPr="0077745A" w14:paraId="6AEEA26C" w14:textId="77777777" w:rsidTr="0077745A">
        <w:trPr>
          <w:cantSplit/>
          <w:trHeight w:val="20"/>
          <w:jc w:val="center"/>
        </w:trPr>
        <w:tc>
          <w:tcPr>
            <w:tcW w:w="0" w:type="auto"/>
            <w:tcBorders>
              <w:top w:val="nil"/>
              <w:left w:val="nil"/>
              <w:bottom w:val="single" w:sz="12" w:space="0" w:color="auto"/>
              <w:right w:val="nil"/>
            </w:tcBorders>
            <w:noWrap/>
            <w:hideMark/>
          </w:tcPr>
          <w:p w14:paraId="0E076BA3" w14:textId="77777777" w:rsidR="00DA5C94" w:rsidRPr="0077745A" w:rsidRDefault="00DA5C94" w:rsidP="0077745A">
            <w:pPr>
              <w:keepNext/>
              <w:rPr>
                <w:rFonts w:ascii="Aptos Narrow" w:hAnsi="Aptos Narrow"/>
                <w:color w:val="000000"/>
                <w:sz w:val="20"/>
                <w:szCs w:val="20"/>
              </w:rPr>
            </w:pPr>
            <w:r w:rsidRPr="0077745A">
              <w:rPr>
                <w:rFonts w:ascii="Aptos Narrow" w:hAnsi="Aptos Narrow"/>
                <w:color w:val="000000"/>
                <w:sz w:val="20"/>
                <w:szCs w:val="20"/>
              </w:rPr>
              <w:t>Rio das Ostras</w:t>
            </w:r>
          </w:p>
        </w:tc>
        <w:tc>
          <w:tcPr>
            <w:tcW w:w="0" w:type="auto"/>
            <w:tcBorders>
              <w:top w:val="nil"/>
              <w:left w:val="nil"/>
              <w:bottom w:val="single" w:sz="12" w:space="0" w:color="auto"/>
              <w:right w:val="nil"/>
            </w:tcBorders>
            <w:noWrap/>
            <w:hideMark/>
          </w:tcPr>
          <w:p w14:paraId="4DB8F400"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94,9</w:t>
            </w:r>
          </w:p>
        </w:tc>
        <w:tc>
          <w:tcPr>
            <w:tcW w:w="0" w:type="auto"/>
            <w:tcBorders>
              <w:top w:val="nil"/>
              <w:left w:val="nil"/>
              <w:bottom w:val="single" w:sz="12" w:space="0" w:color="auto"/>
              <w:right w:val="nil"/>
            </w:tcBorders>
            <w:noWrap/>
            <w:hideMark/>
          </w:tcPr>
          <w:p w14:paraId="4B758F26"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94,5</w:t>
            </w:r>
          </w:p>
        </w:tc>
        <w:tc>
          <w:tcPr>
            <w:tcW w:w="0" w:type="auto"/>
            <w:tcBorders>
              <w:top w:val="nil"/>
              <w:left w:val="nil"/>
              <w:bottom w:val="single" w:sz="12" w:space="0" w:color="auto"/>
              <w:right w:val="nil"/>
            </w:tcBorders>
            <w:noWrap/>
            <w:hideMark/>
          </w:tcPr>
          <w:p w14:paraId="780174E6" w14:textId="77777777" w:rsidR="00DA5C94" w:rsidRPr="0077745A" w:rsidRDefault="00DA5C94" w:rsidP="0077745A">
            <w:pPr>
              <w:keepNext/>
              <w:jc w:val="right"/>
              <w:rPr>
                <w:rFonts w:ascii="Aptos Narrow" w:hAnsi="Aptos Narrow"/>
                <w:color w:val="000000"/>
                <w:sz w:val="20"/>
                <w:szCs w:val="20"/>
              </w:rPr>
            </w:pPr>
            <w:r w:rsidRPr="0077745A">
              <w:rPr>
                <w:rFonts w:ascii="Aptos Narrow" w:hAnsi="Aptos Narrow"/>
                <w:color w:val="000000"/>
                <w:sz w:val="20"/>
                <w:szCs w:val="20"/>
              </w:rPr>
              <w:t>99,7</w:t>
            </w:r>
          </w:p>
        </w:tc>
      </w:tr>
    </w:tbl>
    <w:p w14:paraId="5FDA07A3" w14:textId="6335553C" w:rsidR="00DA5C94" w:rsidRPr="00B50C3C" w:rsidRDefault="00DA5C94" w:rsidP="00B50C3C">
      <w:pPr>
        <w:pStyle w:val="Fonte"/>
      </w:pPr>
      <w:r w:rsidRPr="00B50C3C">
        <w:t xml:space="preserve">Fonte: Elaboração dos autores a partir dos dados dos Censos Demográficos de 2000, 2010 e 2022 </w:t>
      </w:r>
      <w:r w:rsidR="007E5FB0" w:rsidRPr="00B50C3C">
        <w:fldChar w:fldCharType="begin"/>
      </w:r>
      <w:r w:rsidR="008A11E7" w:rsidRPr="00B50C3C">
        <w:instrText xml:space="preserve"> ADDIN ZOTERO_ITEM CSL_CITATION {"citationID":"wne5uzP1","properties":{"formattedCitation":"(IBGE, 2006, 2016, 2022)","plainCitation":"(IBGE, 2006, 2016, 2022)","noteIndex":0},"citationItems":[{"id":2829,"uris":["http://zotero.org/users/11809071/items/C8QN754K"],"itemData":{"id":2829,"type":"webpage","language":"pt-br","note":"Página de pesquisa realizada por instituto nacional de estatísticas","title":"Censo Demográfico 2000","URL":"https://www.ibge.gov.br/estatisticas/sociais/administracao-publica-e-participacao-politica/9663-censo-demografico-2000.html","author":[{"literal":"IBGE"}],"accessed":{"date-parts":[["2025",10,21]]},"issued":{"date-parts":[["2006"]]},"citation-key":"ibge2006"}},{"id":2828,"uris":["http://zotero.org/users/11809071/items/4D6C8ERR"],"itemData":{"id":2828,"type":"webpage","language":"pt-br","note":"Página de pesquisa realizada por instituto nacional de estatísticas","title":"Censo Demográfico 2010","URL":"https://censo2010.ibge.gov.br/resultados","author":[{"literal":"IBGE"}],"accessed":{"date-parts":[["2025",10,21]]},"issued":{"date-parts":[["2016"]]},"citation-key":"ibge2016a"}},{"id":1091,"uris":["http://zotero.org/users/11809071/items/DYYRG5RL"],"itemData":{"id":1091,"type":"webpage","language":"pt-br","note":"Página de pesquisa realizada por instituto nacional de estatísticas","title":"Censo Demográfico 2022","URL":"https://censo2022.ibge.gov.br/","author":[{"literal":"IBGE"}],"accessed":{"date-parts":[["2023",6,15]]},"issued":{"date-parts":[["2022"]]},"citation-key":"ibge2022b"}}],"schema":"https://github.com/citation-style-language/schema/raw/master/csl-citation.json"} </w:instrText>
      </w:r>
      <w:r w:rsidR="007E5FB0" w:rsidRPr="00B50C3C">
        <w:fldChar w:fldCharType="separate"/>
      </w:r>
      <w:r w:rsidR="007E5FB0" w:rsidRPr="00B50C3C">
        <w:t>(IBGE, 2006, 2016, 2022)</w:t>
      </w:r>
      <w:r w:rsidR="007E5FB0" w:rsidRPr="00B50C3C">
        <w:fldChar w:fldCharType="end"/>
      </w:r>
      <w:r w:rsidR="007E5FB0" w:rsidRPr="00B50C3C">
        <w:t xml:space="preserve">. </w:t>
      </w:r>
    </w:p>
    <w:p w14:paraId="1FCFF90A" w14:textId="2DA43657" w:rsidR="00A7067B" w:rsidRDefault="00CD0C26" w:rsidP="00061854">
      <w:pPr>
        <w:pStyle w:val="Ttulo1"/>
      </w:pPr>
      <w:bookmarkStart w:id="9" w:name="_Toc211615177"/>
      <w:bookmarkStart w:id="10" w:name="_Toc211615393"/>
      <w:bookmarkStart w:id="11" w:name="_Toc211615605"/>
      <w:bookmarkStart w:id="12" w:name="_Toc211615178"/>
      <w:bookmarkStart w:id="13" w:name="_Toc211615394"/>
      <w:bookmarkStart w:id="14" w:name="_Toc211615606"/>
      <w:bookmarkStart w:id="15" w:name="_Toc211615179"/>
      <w:bookmarkStart w:id="16" w:name="_Toc211615395"/>
      <w:bookmarkStart w:id="17" w:name="_Toc211615607"/>
      <w:bookmarkStart w:id="18" w:name="_Toc211615805"/>
      <w:bookmarkEnd w:id="9"/>
      <w:bookmarkEnd w:id="10"/>
      <w:bookmarkEnd w:id="11"/>
      <w:bookmarkEnd w:id="12"/>
      <w:bookmarkEnd w:id="13"/>
      <w:bookmarkEnd w:id="14"/>
      <w:bookmarkEnd w:id="15"/>
      <w:bookmarkEnd w:id="16"/>
      <w:bookmarkEnd w:id="17"/>
      <w:r>
        <w:t>Emprego</w:t>
      </w:r>
      <w:r w:rsidR="0095550B">
        <w:t xml:space="preserve"> Formal</w:t>
      </w:r>
      <w:bookmarkEnd w:id="18"/>
    </w:p>
    <w:p w14:paraId="2AEC8618" w14:textId="5F08F185" w:rsidR="006239D5" w:rsidRDefault="000949C0" w:rsidP="00A7067B">
      <w:pPr>
        <w:pStyle w:val="Corpodetexto"/>
      </w:pPr>
      <w:r>
        <w:t>Entre 2002 e 202</w:t>
      </w:r>
      <w:r w:rsidR="00A06F2C">
        <w:t>1</w:t>
      </w:r>
      <w:r>
        <w:t>, segundo a Relação Anual de Informações Sociais – RAI</w:t>
      </w:r>
      <w:r w:rsidR="008F5FCE">
        <w:t>S</w:t>
      </w:r>
      <w:r>
        <w:t xml:space="preserve">, foram criados </w:t>
      </w:r>
      <w:r w:rsidR="003710BF">
        <w:t>224.258</w:t>
      </w:r>
      <w:r>
        <w:t xml:space="preserve"> postos de trabalho formal na área de estudo representando um aumento percentual de </w:t>
      </w:r>
      <w:r w:rsidR="003710BF">
        <w:t>103,3</w:t>
      </w:r>
      <w:r>
        <w:t xml:space="preserve">% no período. Segundo essa mesma fonte, o número de estabelecimentos aumentou de 22.456 em 2002 para </w:t>
      </w:r>
      <w:r w:rsidR="00604830">
        <w:t>35.263</w:t>
      </w:r>
      <w:r>
        <w:t xml:space="preserve"> em 202</w:t>
      </w:r>
      <w:r w:rsidR="00604830">
        <w:t>1</w:t>
      </w:r>
      <w:r>
        <w:t xml:space="preserve">, representando um aumento de </w:t>
      </w:r>
      <w:r w:rsidR="00604830">
        <w:t>57,0</w:t>
      </w:r>
      <w:r>
        <w:t xml:space="preserve">%. </w:t>
      </w:r>
      <w:r w:rsidR="00CE4F08">
        <w:t xml:space="preserve">Ambas as variações foram superiores à observada no estado do Rio de Janeiro no mesmo </w:t>
      </w:r>
      <w:r w:rsidR="00CE4F08">
        <w:lastRenderedPageBreak/>
        <w:t xml:space="preserve">período, </w:t>
      </w:r>
      <w:r w:rsidR="005A44F8">
        <w:t>22,6</w:t>
      </w:r>
      <w:r w:rsidR="00CE4F08">
        <w:t xml:space="preserve">% de aumento no número de estabelecimentos e </w:t>
      </w:r>
      <w:r w:rsidR="00315D4B">
        <w:t>34,8</w:t>
      </w:r>
      <w:r w:rsidR="00CE4F08">
        <w:t xml:space="preserve">% no </w:t>
      </w:r>
      <w:r w:rsidR="000B5F42">
        <w:t>total</w:t>
      </w:r>
      <w:r w:rsidR="00CE4F08">
        <w:t xml:space="preserve"> de postos de trabalho.</w:t>
      </w:r>
      <w:r w:rsidR="000B5F42">
        <w:t xml:space="preserve"> </w:t>
      </w:r>
    </w:p>
    <w:p w14:paraId="2EDC85F4" w14:textId="46C7CC30" w:rsidR="000B5F42" w:rsidRDefault="000B5F42" w:rsidP="00A7067B">
      <w:pPr>
        <w:pStyle w:val="Corpodetexto"/>
      </w:pPr>
      <w:r>
        <w:t xml:space="preserve">A Figura 3 mostra a distribuição da variação percentual do número de estabelecimentos por municípios </w:t>
      </w:r>
      <w:r w:rsidR="76269832">
        <w:t>da</w:t>
      </w:r>
      <w:r w:rsidR="47FA7970">
        <w:t xml:space="preserve"> área de </w:t>
      </w:r>
      <w:r w:rsidR="5CC3B14D">
        <w:t>estudo.</w:t>
      </w:r>
      <w:r>
        <w:t xml:space="preserve"> </w:t>
      </w:r>
      <w:r w:rsidR="00D04460">
        <w:t xml:space="preserve">Note-se que na primeira classe de variação </w:t>
      </w:r>
      <w:r w:rsidR="7940AAE9">
        <w:t>(-</w:t>
      </w:r>
      <w:r w:rsidR="20B321D2">
        <w:t>7 a</w:t>
      </w:r>
      <w:r w:rsidR="00D04460">
        <w:t xml:space="preserve"> </w:t>
      </w:r>
      <w:r w:rsidR="03A04F8C">
        <w:t>53</w:t>
      </w:r>
      <w:r w:rsidR="00D04460">
        <w:t xml:space="preserve">%) estão </w:t>
      </w:r>
      <w:r w:rsidR="22621A25">
        <w:t>14</w:t>
      </w:r>
      <w:r w:rsidR="00D04460">
        <w:t xml:space="preserve"> dos 30 municípios que compõem a área de estudo. </w:t>
      </w:r>
      <w:r w:rsidR="2FB009EB">
        <w:t xml:space="preserve">A maior parte </w:t>
      </w:r>
      <w:r w:rsidR="304511AA">
        <w:t>deles estão</w:t>
      </w:r>
      <w:r w:rsidR="00D04460">
        <w:t xml:space="preserve"> nas Regiões Imediatas de Itaperuna, Campos dos Goytacazes e Santo Antônio de Pádua</w:t>
      </w:r>
      <w:r w:rsidR="2B9C69C8">
        <w:t>.</w:t>
      </w:r>
      <w:r w:rsidR="00D04460">
        <w:t xml:space="preserve"> </w:t>
      </w:r>
      <w:r w:rsidR="00EA148C">
        <w:t xml:space="preserve">As variações a partir da segunda classe ocorrem, majoritariamente, nos municípios das Regiões Imediatas de Cabo Frio e Macaé-Rio das Ostras. </w:t>
      </w:r>
      <w:r w:rsidR="00C248BA">
        <w:t>Macaé e Rio das Ostras, embora estejam expostos aos impactos produzidos pela Bacia de Campos, também podem absorver efeitos positivos da Bacia de Santos em função do adensamento da cadeia produtiva da Indústria da Exploração e Produção de Petróleo e Gás da Bacia de Campos. A Região Imediata Cabo Frio está inteiramente dentro dos limites da Bacia de Santos, que segundo o Plano de Negócios 2025-2029 da Petrobras, é onde se localizam os campos mais promissores do portifólio da empresa</w:t>
      </w:r>
      <w:r w:rsidR="003A51EC">
        <w:t xml:space="preserve"> </w:t>
      </w:r>
      <w:r w:rsidR="008A11E7">
        <w:fldChar w:fldCharType="begin"/>
      </w:r>
      <w:r w:rsidR="000001FF">
        <w:instrText xml:space="preserve"> ADDIN ZOTERO_ITEM CSL_CITATION {"citationID":"v2VEeILv","properties":{"formattedCitation":"(Petrobras, 2025)","plainCitation":"(Petrobras, 2025)","noteIndex":0},"citationItems":[{"id":2831,"uris":["http://zotero.org/users/11809071/items/DKYDZX3T"],"itemData":{"id":2831,"type":"webpage","language":"pt-br","note":"Página web corporativa","title":"Plano Estratégico 2050: Plano de negócios Petrobras 2025-2029","title-short":"Plano de Negócios 2025","URL":"https://petrobras.com.br/quem-somos/estrategia","author":[{"literal":"Petrobras"}],"accessed":{"date-parts":[["2025",10,21]]},"issued":{"date-parts":[["2025"]]},"citation-key":"petrobras2025"}}],"schema":"https://github.com/citation-style-language/schema/raw/master/csl-citation.json"} </w:instrText>
      </w:r>
      <w:r w:rsidR="008A11E7">
        <w:fldChar w:fldCharType="separate"/>
      </w:r>
      <w:r w:rsidR="008A11E7">
        <w:rPr>
          <w:noProof/>
        </w:rPr>
        <w:t>(Petrobras, 2025)</w:t>
      </w:r>
      <w:r w:rsidR="008A11E7">
        <w:fldChar w:fldCharType="end"/>
      </w:r>
      <w:r w:rsidR="008A11E7">
        <w:t xml:space="preserve">. </w:t>
      </w:r>
      <w:r w:rsidR="00E53061">
        <w:t>A maior variação percentual no período foi em Rio das Ostras (</w:t>
      </w:r>
      <w:r w:rsidR="5355B93D">
        <w:t>368,6</w:t>
      </w:r>
      <w:r w:rsidR="00E53061">
        <w:t xml:space="preserve">%). </w:t>
      </w:r>
      <w:r w:rsidR="003A51EC">
        <w:t xml:space="preserve">O mapa apresentado revela nítida separação entre os territórios que atraíram empresas nas duas décadas analisadas e o nítido deslocamento dos investimentos em direção a fronteira de exploração de petróleo da Bacia de Santos que tem aumentado a importância na produção nacional de petróleo e gás juntamente com a Bacia de Campos. </w:t>
      </w:r>
    </w:p>
    <w:p w14:paraId="42944913" w14:textId="44802968" w:rsidR="00014876" w:rsidRDefault="00014876" w:rsidP="00A7067B">
      <w:pPr>
        <w:pStyle w:val="Corpodetexto"/>
      </w:pPr>
      <w:r>
        <w:t xml:space="preserve">Na sequência será analisado a variação percentual no número de vínculos empregatícios formais, que, em parte devem responder a essa variação no número de estabelecimentos. </w:t>
      </w:r>
    </w:p>
    <w:p w14:paraId="41C34D9E" w14:textId="3BF636F5" w:rsidR="000B5F42" w:rsidRDefault="000B5F42" w:rsidP="000B5F42">
      <w:pPr>
        <w:pStyle w:val="TFigura"/>
      </w:pPr>
      <w:r>
        <w:lastRenderedPageBreak/>
        <w:t xml:space="preserve">Figura </w:t>
      </w:r>
      <w:r w:rsidR="00B50C3C">
        <w:t xml:space="preserve">3 – </w:t>
      </w:r>
      <w:r>
        <w:t xml:space="preserve">Variação percentual do número de estabelecimentos nas Regiões </w:t>
      </w:r>
      <w:r w:rsidR="00025DBC">
        <w:t xml:space="preserve">Imediatas </w:t>
      </w:r>
      <w:r>
        <w:t>da área de estudo</w:t>
      </w:r>
      <w:r w:rsidR="00713E46">
        <w:t xml:space="preserve"> – 2002-2021</w:t>
      </w:r>
      <w:r>
        <w:t xml:space="preserve"> </w:t>
      </w:r>
    </w:p>
    <w:p w14:paraId="4F090876" w14:textId="5EE1F1D0" w:rsidR="000B5F42" w:rsidRPr="00851FFB" w:rsidRDefault="00F76C64" w:rsidP="00B50C3C">
      <w:pPr>
        <w:pStyle w:val="Figura"/>
      </w:pPr>
      <w:r>
        <w:rPr>
          <w:noProof/>
        </w:rPr>
        <w:drawing>
          <wp:inline distT="0" distB="0" distL="0" distR="0" wp14:anchorId="1D06AAD5" wp14:editId="30EF9E23">
            <wp:extent cx="4680000" cy="5947752"/>
            <wp:effectExtent l="0" t="0" r="0" b="0"/>
            <wp:docPr id="2070363436" name="Imagem 8" descr="Uma imagem contendo 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363436" name="Imagem 8" descr="Uma imagem contendo Diagrama&#10;&#10;O conteúdo gerado por IA pode estar incorreto."/>
                    <pic:cNvPicPr/>
                  </pic:nvPicPr>
                  <pic:blipFill rotWithShape="1">
                    <a:blip r:embed="rId11" cstate="screen">
                      <a:extLst>
                        <a:ext uri="{28A0092B-C50C-407E-A947-70E740481C1C}">
                          <a14:useLocalDpi xmlns:a14="http://schemas.microsoft.com/office/drawing/2010/main"/>
                        </a:ext>
                      </a:extLst>
                    </a:blip>
                    <a:srcRect/>
                    <a:stretch>
                      <a:fillRect/>
                    </a:stretch>
                  </pic:blipFill>
                  <pic:spPr bwMode="auto">
                    <a:xfrm>
                      <a:off x="0" y="0"/>
                      <a:ext cx="4680000" cy="5947752"/>
                    </a:xfrm>
                    <a:prstGeom prst="rect">
                      <a:avLst/>
                    </a:prstGeom>
                    <a:ln>
                      <a:noFill/>
                    </a:ln>
                    <a:extLst>
                      <a:ext uri="{53640926-AAD7-44D8-BBD7-CCE9431645EC}">
                        <a14:shadowObscured xmlns:a14="http://schemas.microsoft.com/office/drawing/2010/main"/>
                      </a:ext>
                    </a:extLst>
                  </pic:spPr>
                </pic:pic>
              </a:graphicData>
            </a:graphic>
          </wp:inline>
        </w:drawing>
      </w:r>
    </w:p>
    <w:p w14:paraId="29FFA58A" w14:textId="4DD6C501" w:rsidR="000B5F42" w:rsidRDefault="000B5F42" w:rsidP="00851FFB">
      <w:pPr>
        <w:pStyle w:val="Fonte"/>
      </w:pPr>
      <w:r w:rsidRPr="00851FFB">
        <w:t>Fonte</w:t>
      </w:r>
      <w:r>
        <w:t xml:space="preserve">: Elaboração própria a partir dos dados </w:t>
      </w:r>
      <w:r w:rsidR="000E6C4A">
        <w:t xml:space="preserve">da </w:t>
      </w:r>
      <w:r>
        <w:t>RAIS 2002-202</w:t>
      </w:r>
      <w:r w:rsidR="00713E46">
        <w:t>1</w:t>
      </w:r>
      <w:r w:rsidR="008A11E7">
        <w:t xml:space="preserve"> </w:t>
      </w:r>
      <w:r w:rsidR="008A11E7">
        <w:fldChar w:fldCharType="begin"/>
      </w:r>
      <w:r w:rsidR="007E09F5">
        <w:instrText xml:space="preserve"> ADDIN ZOTERO_ITEM CSL_CITATION {"citationID":"QU1zfzV6","properties":{"formattedCitation":"(Minist\\uc0\\u233{}rio do Trabalho e Emprego, 2024)","plainCitation":"(Ministério do Trabalho e Emprego, 2024)","noteIndex":0},"citationItems":[{"id":1828,"uris":["http://zotero.org/users/11809071/items/N2GFPW8V"],"itemData":{"id":1828,"type":"webpage","language":"pt-br","note":"Brasília","title":"Relação Anual de informações Sociais - RAIS","URL":"https://www.gov.br/trabalho-e-emprego/pt-br/assuntos/estatisticas-trabalho/rais","author":[{"literal":"Ministério do Trabalho e Emprego"}],"accessed":{"date-parts":[["2024",10,31]]},"issued":{"date-parts":[["2024"]]},"citation-key":"ministeriodotrabalhoeemprego2024"}}],"schema":"https://github.com/citation-style-language/schema/raw/master/csl-citation.json"} </w:instrText>
      </w:r>
      <w:r w:rsidR="008A11E7">
        <w:fldChar w:fldCharType="separate"/>
      </w:r>
      <w:r w:rsidR="007E09F5" w:rsidRPr="007E09F5">
        <w:t>(Ministério do Trabalho e Emprego, 2024)</w:t>
      </w:r>
      <w:r w:rsidR="008A11E7">
        <w:fldChar w:fldCharType="end"/>
      </w:r>
      <w:r>
        <w:t>.</w:t>
      </w:r>
    </w:p>
    <w:p w14:paraId="0346A1CF" w14:textId="789AEA38" w:rsidR="005C4A37" w:rsidRDefault="00884DF5" w:rsidP="00884DF5">
      <w:pPr>
        <w:pStyle w:val="Corpodetexto"/>
      </w:pPr>
      <w:r>
        <w:t xml:space="preserve">A Figura </w:t>
      </w:r>
      <w:r w:rsidR="00B50C3C">
        <w:t>4</w:t>
      </w:r>
      <w:r>
        <w:t xml:space="preserve"> apresenta a variação percentual do número de vínculos ativos entre 2002 e 202</w:t>
      </w:r>
      <w:r w:rsidR="00B143FE">
        <w:t>1</w:t>
      </w:r>
      <w:r>
        <w:t xml:space="preserve">. Observa-se um padrão semelhante ao da variação do número de estabelecimentos, embora em níveis diferentes. </w:t>
      </w:r>
      <w:r w:rsidR="000A4E47">
        <w:t xml:space="preserve">Os menores percentuais de variação </w:t>
      </w:r>
      <w:r w:rsidR="2D524225">
        <w:t>(-2</w:t>
      </w:r>
      <w:r w:rsidR="46EE3039">
        <w:t xml:space="preserve"> a 68%)</w:t>
      </w:r>
      <w:r w:rsidR="000A4E47">
        <w:t xml:space="preserve"> localizam-se </w:t>
      </w:r>
      <w:r w:rsidR="2E22738A">
        <w:t>majoritariamente</w:t>
      </w:r>
      <w:r w:rsidR="79DBE263">
        <w:t>, nas</w:t>
      </w:r>
      <w:r w:rsidR="000A4E47">
        <w:t xml:space="preserve"> Regiões Imediatas de Campos dos Goytacazes, Itaperuna e Santo Antônio de Pádua, exceto Quissamã</w:t>
      </w:r>
      <w:r w:rsidR="74621E58">
        <w:t xml:space="preserve"> </w:t>
      </w:r>
      <w:r w:rsidR="0562C7A2">
        <w:t xml:space="preserve">e </w:t>
      </w:r>
      <w:r w:rsidR="53DB7966">
        <w:t>Carapebus</w:t>
      </w:r>
      <w:r w:rsidR="000A4E47">
        <w:t xml:space="preserve">, </w:t>
      </w:r>
      <w:r w:rsidR="2150DA95">
        <w:t>localizados</w:t>
      </w:r>
      <w:r w:rsidR="000A4E47">
        <w:t xml:space="preserve"> na Região Imediata de Macaé-Rio das Ostras. Vale destacar a variação do emprego em São João da Barra (</w:t>
      </w:r>
      <w:r w:rsidR="3CB46C53">
        <w:t>268</w:t>
      </w:r>
      <w:r w:rsidR="362E0F47">
        <w:t>,8</w:t>
      </w:r>
      <w:r w:rsidR="000A4E47">
        <w:t>%) em função dos empregos diretos e indiretos gerados pelo Porto do Açu e Rio das Ostras (</w:t>
      </w:r>
      <w:r w:rsidR="1961259D">
        <w:t>405,4</w:t>
      </w:r>
      <w:r w:rsidR="000A4E47">
        <w:t xml:space="preserve">%), em </w:t>
      </w:r>
      <w:r w:rsidR="000A4E47">
        <w:lastRenderedPageBreak/>
        <w:t xml:space="preserve">função da proximidade com Macaé e interação com a cadeira produtiva do Petróleo e </w:t>
      </w:r>
      <w:r w:rsidR="1CE0C5EF">
        <w:t>Gás</w:t>
      </w:r>
      <w:r w:rsidR="000A4E47">
        <w:t xml:space="preserve">, inclusive em seu território, na Zona Especial de Negócios localizada na divisa com Macaé. </w:t>
      </w:r>
    </w:p>
    <w:p w14:paraId="427E0285" w14:textId="7109B589" w:rsidR="005C4A37" w:rsidRPr="003B6C8F" w:rsidRDefault="005C4A37" w:rsidP="005C4A37">
      <w:pPr>
        <w:pStyle w:val="Corpodetexto"/>
        <w:rPr>
          <w:rFonts w:cs="Times New Roman"/>
          <w:kern w:val="0"/>
          <w:sz w:val="20"/>
          <w:szCs w:val="20"/>
        </w:rPr>
      </w:pPr>
      <w:r>
        <w:t xml:space="preserve">Pela variação do número de estabelecimentos, era esperado </w:t>
      </w:r>
      <w:r w:rsidR="00076D81">
        <w:t xml:space="preserve">uma </w:t>
      </w:r>
      <w:r>
        <w:t xml:space="preserve">resposta em termos do aumento do emprego formal, pois, segundo Corseuil, Moura e </w:t>
      </w:r>
      <w:r w:rsidR="003B6C8F">
        <w:t>R</w:t>
      </w:r>
      <w:r>
        <w:t>amos (2011</w:t>
      </w:r>
      <w:r w:rsidR="003B6C8F">
        <w:t>; p.48</w:t>
      </w:r>
      <w:r>
        <w:t xml:space="preserve">) </w:t>
      </w:r>
      <w:r w:rsidR="003B6C8F">
        <w:t>“</w:t>
      </w:r>
      <w:r w:rsidRPr="003B6C8F">
        <w:t>variação do emprego formal pode ser entendida como resultante da variação</w:t>
      </w:r>
      <w:r w:rsidR="003B6C8F" w:rsidRPr="003B6C8F">
        <w:t xml:space="preserve"> </w:t>
      </w:r>
      <w:r w:rsidRPr="003B6C8F">
        <w:t>conjunta de dois componentes - número de estabelecimentos formais e tamanho</w:t>
      </w:r>
      <w:r w:rsidR="003B6C8F" w:rsidRPr="003B6C8F">
        <w:t xml:space="preserve"> </w:t>
      </w:r>
      <w:r w:rsidRPr="003B6C8F">
        <w:t>médio dos estabelecimentos formais</w:t>
      </w:r>
      <w:r w:rsidR="003B6C8F">
        <w:t>”</w:t>
      </w:r>
      <w:r>
        <w:rPr>
          <w:rFonts w:cs="Times New Roman"/>
          <w:i/>
          <w:iCs/>
          <w:kern w:val="0"/>
          <w:sz w:val="20"/>
          <w:szCs w:val="20"/>
        </w:rPr>
        <w:t>.</w:t>
      </w:r>
      <w:r w:rsidR="003B6C8F">
        <w:rPr>
          <w:rFonts w:cs="Times New Roman"/>
          <w:kern w:val="0"/>
          <w:sz w:val="20"/>
          <w:szCs w:val="20"/>
        </w:rPr>
        <w:t xml:space="preserve"> </w:t>
      </w:r>
    </w:p>
    <w:p w14:paraId="26DEBB6B" w14:textId="44E95D31" w:rsidR="000B5C81" w:rsidRDefault="000B5C81" w:rsidP="00884DF5">
      <w:pPr>
        <w:pStyle w:val="TFigura"/>
      </w:pPr>
      <w:r>
        <w:t xml:space="preserve">Figura </w:t>
      </w:r>
      <w:r w:rsidR="00B50C3C">
        <w:t xml:space="preserve">4 – </w:t>
      </w:r>
      <w:r>
        <w:t xml:space="preserve">Variação percentual do número de vínculos formais de trabalho nas Regiões </w:t>
      </w:r>
      <w:r w:rsidR="00025DBC">
        <w:t xml:space="preserve">Imediatas </w:t>
      </w:r>
      <w:r>
        <w:t>da área de estudo</w:t>
      </w:r>
      <w:r w:rsidR="00B50C3C">
        <w:t xml:space="preserve"> – </w:t>
      </w:r>
      <w:r w:rsidR="00001997">
        <w:t>2002-2021</w:t>
      </w:r>
    </w:p>
    <w:p w14:paraId="3B4788E5" w14:textId="3FADADB9" w:rsidR="00F854B4" w:rsidRDefault="00D73999" w:rsidP="00A4139C">
      <w:pPr>
        <w:pStyle w:val="Figura"/>
      </w:pPr>
      <w:r>
        <w:rPr>
          <w:noProof/>
        </w:rPr>
        <w:drawing>
          <wp:inline distT="0" distB="0" distL="0" distR="0" wp14:anchorId="04EE6CCD" wp14:editId="0075594D">
            <wp:extent cx="4680000" cy="5918380"/>
            <wp:effectExtent l="0" t="0" r="0" b="0"/>
            <wp:docPr id="651604887" name="Imagem 9" descr="Uma imagem contendo Diagram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604887" name="Imagem 9" descr="Uma imagem contendo Diagrama&#10;&#10;O conteúdo gerado por IA pode estar incorreto."/>
                    <pic:cNvPicPr/>
                  </pic:nvPicPr>
                  <pic:blipFill rotWithShape="1">
                    <a:blip r:embed="rId12" cstate="screen">
                      <a:extLst>
                        <a:ext uri="{28A0092B-C50C-407E-A947-70E740481C1C}">
                          <a14:useLocalDpi xmlns:a14="http://schemas.microsoft.com/office/drawing/2010/main"/>
                        </a:ext>
                      </a:extLst>
                    </a:blip>
                    <a:srcRect/>
                    <a:stretch>
                      <a:fillRect/>
                    </a:stretch>
                  </pic:blipFill>
                  <pic:spPr bwMode="auto">
                    <a:xfrm>
                      <a:off x="0" y="0"/>
                      <a:ext cx="4680000" cy="5918380"/>
                    </a:xfrm>
                    <a:prstGeom prst="rect">
                      <a:avLst/>
                    </a:prstGeom>
                    <a:ln>
                      <a:noFill/>
                    </a:ln>
                    <a:extLst>
                      <a:ext uri="{53640926-AAD7-44D8-BBD7-CCE9431645EC}">
                        <a14:shadowObscured xmlns:a14="http://schemas.microsoft.com/office/drawing/2010/main"/>
                      </a:ext>
                    </a:extLst>
                  </pic:spPr>
                </pic:pic>
              </a:graphicData>
            </a:graphic>
          </wp:inline>
        </w:drawing>
      </w:r>
    </w:p>
    <w:p w14:paraId="2F31E977" w14:textId="7BFEC328" w:rsidR="00BB0C33" w:rsidRPr="00B50C3C" w:rsidRDefault="00BB0C33" w:rsidP="00B50C3C">
      <w:pPr>
        <w:pStyle w:val="Fonte"/>
      </w:pPr>
      <w:r w:rsidRPr="00B50C3C">
        <w:t>Fonte: Elaboração própria a partir dos dados da RAIS 2002-202</w:t>
      </w:r>
      <w:r w:rsidR="00001997" w:rsidRPr="00B50C3C">
        <w:t>1</w:t>
      </w:r>
      <w:r w:rsidR="007E09F5" w:rsidRPr="00B50C3C">
        <w:t xml:space="preserve"> </w:t>
      </w:r>
      <w:r w:rsidR="007E09F5" w:rsidRPr="00B50C3C">
        <w:fldChar w:fldCharType="begin"/>
      </w:r>
      <w:r w:rsidR="005C4BAD" w:rsidRPr="00B50C3C">
        <w:instrText xml:space="preserve"> ADDIN ZOTERO_ITEM CSL_CITATION {"citationID":"3UQ6ish3","properties":{"formattedCitation":"(Minist\\uc0\\u233{}rio do Trabalho e Emprego, 2024)","plainCitation":"(Ministério do Trabalho e Emprego, 2024)","noteIndex":0},"citationItems":[{"id":1828,"uris":["http://zotero.org/users/11809071/items/N2GFPW8V"],"itemData":{"id":1828,"type":"webpage","language":"pt-br","note":"Brasília","title":"Relação Anual de informações Sociais - RAIS","URL":"https://www.gov.br/trabalho-e-emprego/pt-br/assuntos/estatisticas-trabalho/rais","author":[{"literal":"Ministério do Trabalho e Emprego"}],"accessed":{"date-parts":[["2024",10,31]]},"issued":{"date-parts":[["2024"]]},"citation-key":"ministeriodotrabalhoeemprego2024"}}],"schema":"https://github.com/citation-style-language/schema/raw/master/csl-citation.json"} </w:instrText>
      </w:r>
      <w:r w:rsidR="007E09F5" w:rsidRPr="00B50C3C">
        <w:fldChar w:fldCharType="separate"/>
      </w:r>
      <w:r w:rsidR="007E09F5" w:rsidRPr="00B50C3C">
        <w:t>(Ministério do Trabalho e Emprego, 2024)</w:t>
      </w:r>
      <w:r w:rsidR="007E09F5" w:rsidRPr="00B50C3C">
        <w:fldChar w:fldCharType="end"/>
      </w:r>
      <w:r w:rsidRPr="00B50C3C">
        <w:t>.</w:t>
      </w:r>
    </w:p>
    <w:p w14:paraId="07E7D118" w14:textId="66F366E7" w:rsidR="008455E7" w:rsidRDefault="008B7923" w:rsidP="008455E7">
      <w:pPr>
        <w:pStyle w:val="Corpodetexto"/>
      </w:pPr>
      <w:r>
        <w:lastRenderedPageBreak/>
        <w:t xml:space="preserve">Quanto ao tamanho médio dos estabelecimentos formais em todos os setores, observa-se na Figura 6 que na Região Imediata Campos dos Goytacazes apenas em Cardoso Moreira e São Fidélis o tamanho médio dos estabelecimentos diminuiu entre 2002 e </w:t>
      </w:r>
      <w:r w:rsidR="23753D02">
        <w:t>2021</w:t>
      </w:r>
      <w:r>
        <w:t xml:space="preserve">, </w:t>
      </w:r>
      <w:r w:rsidR="65DDBA89">
        <w:t>5</w:t>
      </w:r>
      <w:r w:rsidR="48535017">
        <w:t>,</w:t>
      </w:r>
      <w:r w:rsidR="3E17F0B6">
        <w:t>6</w:t>
      </w:r>
      <w:r w:rsidR="1B10A302">
        <w:t>%</w:t>
      </w:r>
      <w:r>
        <w:t xml:space="preserve"> no primeiro e </w:t>
      </w:r>
      <w:r w:rsidR="32B873AE">
        <w:t>14,7</w:t>
      </w:r>
      <w:r w:rsidR="46E121BA">
        <w:t>%</w:t>
      </w:r>
      <w:r>
        <w:t xml:space="preserve"> no segundo. A maior variação positiva no tamanho dos estabelecimentos nessa Região Imediata foi em São João da Barra, que aumentou em </w:t>
      </w:r>
      <w:r w:rsidR="5EEA9754">
        <w:t>99,</w:t>
      </w:r>
      <w:r>
        <w:t>9</w:t>
      </w:r>
      <w:r w:rsidR="5EEA9754">
        <w:t>%</w:t>
      </w:r>
      <w:r>
        <w:t xml:space="preserve"> </w:t>
      </w:r>
      <w:r w:rsidR="15F08252">
        <w:t>no período.</w:t>
      </w:r>
      <w:r>
        <w:t xml:space="preserve"> </w:t>
      </w:r>
      <w:r w:rsidR="00CA6599">
        <w:t xml:space="preserve">Essa variação bastante superior às demais é em função da expansão e novos empreendimentos no Porto do Açu. </w:t>
      </w:r>
      <w:r>
        <w:t xml:space="preserve">A menor variação positiva foi em </w:t>
      </w:r>
      <w:r w:rsidR="7C7760A9">
        <w:t>Campos dos Goytacazes</w:t>
      </w:r>
      <w:r>
        <w:t xml:space="preserve"> </w:t>
      </w:r>
      <w:r w:rsidR="5EAF75CF">
        <w:t>(15,</w:t>
      </w:r>
      <w:r>
        <w:t>6</w:t>
      </w:r>
      <w:r w:rsidR="5EAF75CF">
        <w:t>%).</w:t>
      </w:r>
      <w:r w:rsidR="00CA6599">
        <w:t xml:space="preserve"> </w:t>
      </w:r>
    </w:p>
    <w:p w14:paraId="75DEDAF2" w14:textId="170D1B23" w:rsidR="00CA6599" w:rsidRDefault="00CA6599" w:rsidP="008455E7">
      <w:pPr>
        <w:pStyle w:val="Corpodetexto"/>
      </w:pPr>
      <w:r>
        <w:t xml:space="preserve">Na Região Imediata de Itaperuna, </w:t>
      </w:r>
      <w:r w:rsidR="5EAF75CF">
        <w:t xml:space="preserve">o município de </w:t>
      </w:r>
      <w:r>
        <w:t xml:space="preserve">Varre-Sai teve o tamanho médio dos estabelecimentos diminuído em </w:t>
      </w:r>
      <w:r w:rsidR="2E91CD32">
        <w:t>40,6%</w:t>
      </w:r>
      <w:r>
        <w:t xml:space="preserve"> ao passo que </w:t>
      </w:r>
      <w:r w:rsidR="397AD0B0">
        <w:t>São José de Ubá</w:t>
      </w:r>
      <w:r>
        <w:t xml:space="preserve"> aumentou em </w:t>
      </w:r>
      <w:r w:rsidR="397AD0B0">
        <w:t>51,9%,</w:t>
      </w:r>
      <w:r>
        <w:t xml:space="preserve"> sendo a maior variação positiva </w:t>
      </w:r>
      <w:r w:rsidR="3F856A0E">
        <w:t>nessa</w:t>
      </w:r>
      <w:r>
        <w:t xml:space="preserve"> Região Imediata. Na Região Imediata Santo Antônio de Pádua, somente em </w:t>
      </w:r>
      <w:r w:rsidR="7CDF49CF">
        <w:t xml:space="preserve">Itaocara </w:t>
      </w:r>
      <w:r w:rsidR="6CF5C44D">
        <w:t xml:space="preserve">(5,4%) </w:t>
      </w:r>
      <w:r w:rsidR="7CDF49CF">
        <w:t>se</w:t>
      </w:r>
      <w:r>
        <w:t xml:space="preserve"> verificou pequena variação negativa e em Cambuci </w:t>
      </w:r>
      <w:r w:rsidR="6CF5C44D">
        <w:t xml:space="preserve">(55,4%) </w:t>
      </w:r>
      <w:r>
        <w:t xml:space="preserve">a maior variação positiva. </w:t>
      </w:r>
      <w:r w:rsidR="3A926AD2">
        <w:t xml:space="preserve">Nenhum </w:t>
      </w:r>
      <w:r w:rsidR="3F58A0D1">
        <w:t>município da</w:t>
      </w:r>
      <w:r w:rsidR="3A926AD2">
        <w:t xml:space="preserve"> Região Imediata Cabo Frio</w:t>
      </w:r>
      <w:r w:rsidR="0EE9BC7D">
        <w:t xml:space="preserve"> apresentou variação</w:t>
      </w:r>
      <w:r w:rsidR="4C1D4634">
        <w:t xml:space="preserve"> negativa no</w:t>
      </w:r>
      <w:r w:rsidR="02EA86C4">
        <w:t xml:space="preserve"> </w:t>
      </w:r>
      <w:r w:rsidR="03229A07">
        <w:t xml:space="preserve">tamanho médio de </w:t>
      </w:r>
      <w:r w:rsidR="5EE020D4">
        <w:t>estabelecimentos</w:t>
      </w:r>
      <w:r w:rsidR="472ED78D">
        <w:t xml:space="preserve"> </w:t>
      </w:r>
      <w:r w:rsidR="63BC62D4">
        <w:t xml:space="preserve">e os maiores </w:t>
      </w:r>
      <w:r w:rsidR="0D013875">
        <w:t xml:space="preserve">percentuais de </w:t>
      </w:r>
      <w:r w:rsidR="3C0C6D8B">
        <w:t xml:space="preserve">aumentos </w:t>
      </w:r>
      <w:r w:rsidR="419AB542">
        <w:t xml:space="preserve">foram </w:t>
      </w:r>
      <w:r w:rsidR="04B9AAFF">
        <w:t xml:space="preserve">observados </w:t>
      </w:r>
      <w:r w:rsidR="6B92D6FC">
        <w:t>em</w:t>
      </w:r>
      <w:r w:rsidR="00F831CD">
        <w:t xml:space="preserve"> Araruama e </w:t>
      </w:r>
      <w:r w:rsidR="293787AB">
        <w:t>Cabo Frio</w:t>
      </w:r>
      <w:r w:rsidR="360CDB4F">
        <w:t xml:space="preserve"> </w:t>
      </w:r>
      <w:r w:rsidR="6BCD0AD1">
        <w:t>(</w:t>
      </w:r>
      <w:r w:rsidR="32251935">
        <w:t xml:space="preserve">42,0 </w:t>
      </w:r>
      <w:r w:rsidR="46C3301A">
        <w:t>e</w:t>
      </w:r>
      <w:r w:rsidR="01C57A5F">
        <w:t xml:space="preserve"> 45,3</w:t>
      </w:r>
      <w:r w:rsidR="609310D4">
        <w:t xml:space="preserve">%, </w:t>
      </w:r>
      <w:r w:rsidR="66D082CC">
        <w:t>respectivamente</w:t>
      </w:r>
      <w:r w:rsidR="282436CB">
        <w:t>).</w:t>
      </w:r>
      <w:r w:rsidR="6E3AC097">
        <w:t xml:space="preserve"> </w:t>
      </w:r>
      <w:r w:rsidR="00F831CD">
        <w:t xml:space="preserve">Carapebus e Quissamã, na Região Imediata Macaé-Rio das Ostras, tiveram o tamanho médio dos estabelecimentos reduzidos em </w:t>
      </w:r>
      <w:r w:rsidR="42AC24CB">
        <w:t>41,3</w:t>
      </w:r>
      <w:r w:rsidR="00F831CD">
        <w:t xml:space="preserve"> e </w:t>
      </w:r>
      <w:r w:rsidR="42AC24CB">
        <w:t>28,1%,</w:t>
      </w:r>
      <w:r w:rsidR="00F831CD">
        <w:t xml:space="preserve"> respectivamente entre 2002 e </w:t>
      </w:r>
      <w:r w:rsidR="42AC24CB">
        <w:t>2021.</w:t>
      </w:r>
    </w:p>
    <w:p w14:paraId="7235F3B8" w14:textId="090AA8F3" w:rsidR="00224C37" w:rsidRDefault="00224C37" w:rsidP="00224C37">
      <w:pPr>
        <w:pStyle w:val="TFigura"/>
      </w:pPr>
      <w:r>
        <w:lastRenderedPageBreak/>
        <w:t>Figura 6</w:t>
      </w:r>
      <w:r w:rsidR="00B50C3C">
        <w:t xml:space="preserve"> –</w:t>
      </w:r>
      <w:r>
        <w:t xml:space="preserve"> </w:t>
      </w:r>
      <w:r w:rsidR="4809410A">
        <w:t xml:space="preserve">Variação </w:t>
      </w:r>
      <w:r w:rsidR="4F2E1221">
        <w:t xml:space="preserve">Percentual </w:t>
      </w:r>
      <w:r w:rsidR="5F7C6E5E">
        <w:t xml:space="preserve">do </w:t>
      </w:r>
      <w:r w:rsidR="4809410A">
        <w:t>Tamanho</w:t>
      </w:r>
      <w:r w:rsidR="00A95C51">
        <w:t xml:space="preserve"> médio dos Estabelecimentos Formais</w:t>
      </w:r>
      <w:r>
        <w:t xml:space="preserve"> nas Regiões </w:t>
      </w:r>
      <w:r w:rsidR="00025DBC">
        <w:t>Imediatas</w:t>
      </w:r>
      <w:r>
        <w:t xml:space="preserve"> da área de estudo</w:t>
      </w:r>
      <w:r w:rsidR="00B50C3C">
        <w:t xml:space="preserve"> – </w:t>
      </w:r>
      <w:r w:rsidR="00C53A0E">
        <w:t>2002-2021</w:t>
      </w:r>
      <w:r>
        <w:t>.</w:t>
      </w:r>
    </w:p>
    <w:p w14:paraId="27168AFC" w14:textId="3D33AA97" w:rsidR="000B5C81" w:rsidRDefault="007919FE" w:rsidP="00A4139C">
      <w:pPr>
        <w:pStyle w:val="Figura"/>
      </w:pPr>
      <w:r>
        <w:rPr>
          <w:noProof/>
        </w:rPr>
        <w:drawing>
          <wp:inline distT="0" distB="0" distL="0" distR="0" wp14:anchorId="02242DF0" wp14:editId="7B1F726A">
            <wp:extent cx="4680000" cy="5646694"/>
            <wp:effectExtent l="0" t="0" r="0" b="5080"/>
            <wp:docPr id="1906152409"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152409" name="Imagem 1906152409"/>
                    <pic:cNvPicPr/>
                  </pic:nvPicPr>
                  <pic:blipFill rotWithShape="1">
                    <a:blip r:embed="rId13" cstate="screen">
                      <a:extLst>
                        <a:ext uri="{28A0092B-C50C-407E-A947-70E740481C1C}">
                          <a14:useLocalDpi xmlns:a14="http://schemas.microsoft.com/office/drawing/2010/main"/>
                        </a:ext>
                      </a:extLst>
                    </a:blip>
                    <a:srcRect/>
                    <a:stretch>
                      <a:fillRect/>
                    </a:stretch>
                  </pic:blipFill>
                  <pic:spPr bwMode="auto">
                    <a:xfrm>
                      <a:off x="0" y="0"/>
                      <a:ext cx="4680000" cy="5646694"/>
                    </a:xfrm>
                    <a:prstGeom prst="rect">
                      <a:avLst/>
                    </a:prstGeom>
                    <a:ln>
                      <a:noFill/>
                    </a:ln>
                    <a:extLst>
                      <a:ext uri="{53640926-AAD7-44D8-BBD7-CCE9431645EC}">
                        <a14:shadowObscured xmlns:a14="http://schemas.microsoft.com/office/drawing/2010/main"/>
                      </a:ext>
                    </a:extLst>
                  </pic:spPr>
                </pic:pic>
              </a:graphicData>
            </a:graphic>
          </wp:inline>
        </w:drawing>
      </w:r>
    </w:p>
    <w:p w14:paraId="2BF8A1EC" w14:textId="67595518" w:rsidR="008E2CA3" w:rsidRPr="000B5F42" w:rsidRDefault="008E2CA3" w:rsidP="008E2CA3">
      <w:pPr>
        <w:pStyle w:val="Fonte"/>
      </w:pPr>
      <w:r>
        <w:t>Fonte: Elaboração própria a partir dos dados da RAIS 2002-202</w:t>
      </w:r>
      <w:r w:rsidR="00C53A0E">
        <w:t>1</w:t>
      </w:r>
      <w:r w:rsidR="007E09F5">
        <w:t xml:space="preserve"> </w:t>
      </w:r>
      <w:r w:rsidR="007E09F5">
        <w:fldChar w:fldCharType="begin"/>
      </w:r>
      <w:r w:rsidR="005C4BAD">
        <w:instrText xml:space="preserve"> ADDIN ZOTERO_ITEM CSL_CITATION {"citationID":"tTV0TPQQ","properties":{"formattedCitation":"(Minist\\uc0\\u233{}rio do Trabalho e Emprego, 2024)","plainCitation":"(Ministério do Trabalho e Emprego, 2024)","noteIndex":0},"citationItems":[{"id":1828,"uris":["http://zotero.org/users/11809071/items/N2GFPW8V"],"itemData":{"id":1828,"type":"webpage","language":"pt-br","note":"Brasília","title":"Relação Anual de informações Sociais - RAIS","URL":"https://www.gov.br/trabalho-e-emprego/pt-br/assuntos/estatisticas-trabalho/rais","author":[{"literal":"Ministério do Trabalho e Emprego"}],"accessed":{"date-parts":[["2024",10,31]]},"issued":{"date-parts":[["2024"]]},"citation-key":"ministeriodotrabalhoeemprego2024"}}],"schema":"https://github.com/citation-style-language/schema/raw/master/csl-citation.json"} </w:instrText>
      </w:r>
      <w:r w:rsidR="007E09F5">
        <w:fldChar w:fldCharType="separate"/>
      </w:r>
      <w:r w:rsidR="007E09F5" w:rsidRPr="007E09F5">
        <w:t>(Ministério do Trabalho e Emprego, 2024)</w:t>
      </w:r>
      <w:r w:rsidR="007E09F5">
        <w:fldChar w:fldCharType="end"/>
      </w:r>
      <w:r>
        <w:t>.</w:t>
      </w:r>
    </w:p>
    <w:p w14:paraId="13BC13DF" w14:textId="66EAB89C" w:rsidR="004D1D28" w:rsidRDefault="004D1D28" w:rsidP="00061854">
      <w:pPr>
        <w:pStyle w:val="Ttulo2"/>
      </w:pPr>
      <w:bookmarkStart w:id="19" w:name="_Toc211615806"/>
      <w:r>
        <w:t>Decomposição do emprego</w:t>
      </w:r>
      <w:bookmarkEnd w:id="19"/>
    </w:p>
    <w:p w14:paraId="7A83DB95" w14:textId="7A6BA1FF" w:rsidR="003361C4" w:rsidRPr="002A30C4" w:rsidRDefault="083FC170" w:rsidP="002A30C4">
      <w:pPr>
        <w:pStyle w:val="Corpodetexto"/>
      </w:pPr>
      <w:r w:rsidRPr="002A30C4">
        <w:t>Para entender a importância relativa da variação conjunta do número de estabelecimento e do tamanho médio dos estabelecimentos, na variação do emprego formal é possível decompor esses dois componentes em efeito quantidade, variação no número de estabelecimentos e efeito tamanho médio, variação no tamanho das firmas.</w:t>
      </w:r>
    </w:p>
    <w:p w14:paraId="187EF20F" w14:textId="0599DB6F" w:rsidR="7C953A56" w:rsidRDefault="699C57BF" w:rsidP="003361C4">
      <w:pPr>
        <w:pStyle w:val="TFigura"/>
      </w:pPr>
      <w:r w:rsidRPr="5D14F32B">
        <w:lastRenderedPageBreak/>
        <w:t>Figura 7</w:t>
      </w:r>
      <w:r w:rsidR="00B50C3C" w:rsidRPr="5D14F32B">
        <w:t xml:space="preserve"> – </w:t>
      </w:r>
      <w:r w:rsidRPr="5D14F32B">
        <w:t xml:space="preserve">Decomposição da </w:t>
      </w:r>
      <w:r w:rsidR="48A4E0E6" w:rsidRPr="5D14F32B">
        <w:t xml:space="preserve">evolução do </w:t>
      </w:r>
      <w:r w:rsidR="48A4E0E6">
        <w:t>emprego formal</w:t>
      </w:r>
      <w:r>
        <w:t>.</w:t>
      </w:r>
    </w:p>
    <w:p w14:paraId="18BDB549" w14:textId="0D6D5C4C" w:rsidR="7C953A56" w:rsidRDefault="7C953A56" w:rsidP="002A30C4">
      <w:pPr>
        <w:pStyle w:val="Figura"/>
      </w:pPr>
      <w:r>
        <w:rPr>
          <w:noProof/>
        </w:rPr>
        <w:drawing>
          <wp:inline distT="0" distB="0" distL="0" distR="0" wp14:anchorId="29C5C8C6" wp14:editId="7ECF8B49">
            <wp:extent cx="3519126" cy="2000957"/>
            <wp:effectExtent l="0" t="0" r="0" b="0"/>
            <wp:docPr id="20697161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7161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3519126" cy="2000957"/>
                    </a:xfrm>
                    <a:prstGeom prst="rect">
                      <a:avLst/>
                    </a:prstGeom>
                  </pic:spPr>
                </pic:pic>
              </a:graphicData>
            </a:graphic>
          </wp:inline>
        </w:drawing>
      </w:r>
    </w:p>
    <w:p w14:paraId="2C41C125" w14:textId="0325944B" w:rsidR="1F148428" w:rsidRDefault="30FC15ED" w:rsidP="00B50C3C">
      <w:pPr>
        <w:pStyle w:val="Fonte"/>
      </w:pPr>
      <w:r>
        <w:t xml:space="preserve">Fonte: Corseuil, Moura e Ramos </w:t>
      </w:r>
      <w:r w:rsidR="00640858">
        <w:fldChar w:fldCharType="begin"/>
      </w:r>
      <w:r w:rsidR="00B01D44">
        <w:instrText xml:space="preserve"> ADDIN ZOTERO_ITEM CSL_CITATION {"citationID":"4m1lBeDH","properties":{"formattedCitation":"(2011, p. 50)","plainCitation":"(2011, p. 50)","noteIndex":0},"citationItems":[{"id":2833,"uris":["http://zotero.org/users/11809071/items/98JDVL4D"],"itemData":{"id":2833,"type":"article-journal","abstract":"The main goal of this paper is to analyze the increase of Brazilian formal employment growth rate in the last decade. The evidence suggests that this acceleration is due to a reversal in the trend of the average number of employees per establishment. More detailed investigations show evidence that this result is not derived from changes in industry composition that favors sectors with larger scales of operation, or a deepening of the process of selection, which penalizes the smaller establishments. As a matter of fact the selection component would have contributed to a decrease in the average ﬁrm size, but this e</w:instrText>
      </w:r>
      <w:r w:rsidR="00B01D44">
        <w:rPr>
          <w:rFonts w:ascii="Cambria Math" w:hAnsi="Cambria Math" w:cs="Cambria Math"/>
        </w:rPr>
        <w:instrText>ﬀ</w:instrText>
      </w:r>
      <w:r w:rsidR="00B01D44">
        <w:instrText xml:space="preserve">ect was counterbalanced by a higher initial employment level in the most recent ﬁrms cohort.","container-title":"Economia Aplicada","DOI":"10.1590/S1413-80502011000100003","ISSN":"1413-8050","issue":"1","journalAbbreviation":"Econ. Apl.","language":"pt","page":"45-63","source":"DOI.org (Crossref)","title":"Determinantes da expansão do emprego formal: o que explica o aumento do tamanho médio dos estabelecimentos?","title-short":"Determinantes da expansão do emprego formal","volume":"15","author":[{"family":"Corseuil","given":"Carlos Henrique L."},{"family":"Moura","given":"Rodrigo L."},{"family":"Ramos","given":"Lauro"}],"issued":{"date-parts":[["2011",3]]},"citation-key":"corseuil2011"},"locator":"50","label":"page","suppress-author":true}],"schema":"https://github.com/citation-style-language/schema/raw/master/csl-citation.json"} </w:instrText>
      </w:r>
      <w:r w:rsidR="00640858">
        <w:fldChar w:fldCharType="separate"/>
      </w:r>
      <w:r w:rsidR="00B01D44">
        <w:rPr>
          <w:noProof/>
        </w:rPr>
        <w:t>(2011, p. 50)</w:t>
      </w:r>
      <w:r w:rsidR="00640858">
        <w:fldChar w:fldCharType="end"/>
      </w:r>
    </w:p>
    <w:p w14:paraId="68B27F36" w14:textId="7C0E51C7" w:rsidR="24FECDC8" w:rsidRPr="002A30C4" w:rsidRDefault="083FC170" w:rsidP="002A30C4">
      <w:pPr>
        <w:pStyle w:val="Corpodetexto"/>
      </w:pPr>
      <w:r w:rsidRPr="002A30C4">
        <w:t xml:space="preserve">A variação do emprego total pode ser obtida por: </w:t>
      </w:r>
      <w:r w:rsidR="01C2C5D7" w:rsidRPr="002A30C4">
        <w:t xml:space="preserve"> </w:t>
      </w:r>
      <m:oMath>
        <m:r>
          <m:rPr>
            <m:sty m:val="p"/>
          </m:rPr>
          <w:rPr>
            <w:rFonts w:ascii="Cambria Math" w:hAnsi="Cambria Math"/>
          </w:rPr>
          <m:t>∆</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E</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1</m:t>
            </m:r>
          </m:sub>
        </m:sSub>
        <m:r>
          <w:rPr>
            <w:rFonts w:ascii="Cambria Math" w:hAnsi="Cambria Math"/>
          </w:rPr>
          <m:t>T</m:t>
        </m:r>
        <m:sSub>
          <m:sSubPr>
            <m:ctrlPr>
              <w:rPr>
                <w:rFonts w:ascii="Cambria Math" w:hAnsi="Cambria Math"/>
              </w:rPr>
            </m:ctrlPr>
          </m:sSubPr>
          <m:e>
            <m:r>
              <w:rPr>
                <w:rFonts w:ascii="Cambria Math" w:hAnsi="Cambria Math"/>
              </w:rPr>
              <m:t>M</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0</m:t>
            </m:r>
          </m:sub>
        </m:sSub>
        <m:r>
          <w:rPr>
            <w:rFonts w:ascii="Cambria Math" w:hAnsi="Cambria Math"/>
          </w:rPr>
          <m:t>T</m:t>
        </m:r>
        <m:sSub>
          <m:sSubPr>
            <m:ctrlPr>
              <w:rPr>
                <w:rFonts w:ascii="Cambria Math" w:hAnsi="Cambria Math"/>
              </w:rPr>
            </m:ctrlPr>
          </m:sSubPr>
          <m:e>
            <m:r>
              <w:rPr>
                <w:rFonts w:ascii="Cambria Math" w:hAnsi="Cambria Math"/>
              </w:rPr>
              <m:t>M</m:t>
            </m:r>
          </m:e>
          <m:sub>
            <m:r>
              <m:rPr>
                <m:sty m:val="p"/>
              </m:rPr>
              <w:rPr>
                <w:rFonts w:ascii="Cambria Math" w:hAnsi="Cambria Math"/>
              </w:rPr>
              <m:t>0</m:t>
            </m:r>
          </m:sub>
        </m:sSub>
      </m:oMath>
      <w:r w:rsidR="002A30C4" w:rsidRPr="002A30C4">
        <w:t xml:space="preserve"> </w:t>
      </w:r>
      <w:r w:rsidR="7FA2E6FC" w:rsidRPr="002A30C4">
        <w:t xml:space="preserve">Sendo: </w:t>
      </w:r>
      <m:oMath>
        <m:sSub>
          <m:sSubPr>
            <m:ctrlPr>
              <w:rPr>
                <w:rFonts w:ascii="Cambria Math" w:hAnsi="Cambria Math"/>
              </w:rPr>
            </m:ctrlPr>
          </m:sSubPr>
          <m:e>
            <m:r>
              <w:rPr>
                <w:rFonts w:ascii="Cambria Math" w:hAnsi="Cambria Math"/>
              </w:rPr>
              <m:t>E</m:t>
            </m:r>
          </m:e>
          <m:sub>
            <m:r>
              <m:rPr>
                <m:sty m:val="p"/>
              </m:rPr>
              <w:rPr>
                <w:rFonts w:ascii="Cambria Math" w:hAnsi="Cambria Math"/>
              </w:rPr>
              <m:t>1</m:t>
            </m:r>
          </m:sub>
        </m:sSub>
      </m:oMath>
      <w:r w:rsidR="7FA2E6FC" w:rsidRPr="002A30C4">
        <w:t xml:space="preserve">e </w:t>
      </w:r>
      <m:oMath>
        <m:sSub>
          <m:sSubPr>
            <m:ctrlPr>
              <w:rPr>
                <w:rFonts w:ascii="Cambria Math" w:hAnsi="Cambria Math"/>
              </w:rPr>
            </m:ctrlPr>
          </m:sSubPr>
          <m:e>
            <m:r>
              <w:rPr>
                <w:rFonts w:ascii="Cambria Math" w:hAnsi="Cambria Math"/>
              </w:rPr>
              <m:t>E</m:t>
            </m:r>
          </m:e>
          <m:sub>
            <m:r>
              <m:rPr>
                <m:sty m:val="p"/>
              </m:rPr>
              <w:rPr>
                <w:rFonts w:ascii="Cambria Math" w:hAnsi="Cambria Math"/>
              </w:rPr>
              <m:t>0</m:t>
            </m:r>
          </m:sub>
        </m:sSub>
      </m:oMath>
      <w:r w:rsidR="7FA2E6FC" w:rsidRPr="002A30C4">
        <w:t xml:space="preserve">o total de vínculos formais de trabalho no tempo 1 e 0; N1 e N0 o número de estabelecimentos no tempo 1 e 0; </w:t>
      </w:r>
      <m:oMath>
        <m:sSub>
          <m:sSubPr>
            <m:ctrlPr>
              <w:rPr>
                <w:rFonts w:ascii="Cambria Math" w:hAnsi="Cambria Math"/>
              </w:rPr>
            </m:ctrlPr>
          </m:sSubPr>
          <m:e>
            <m:r>
              <w:rPr>
                <w:rFonts w:ascii="Cambria Math" w:hAnsi="Cambria Math"/>
              </w:rPr>
              <m:t>TM</m:t>
            </m:r>
          </m:e>
          <m:sub>
            <m:r>
              <m:rPr>
                <m:sty m:val="p"/>
              </m:rPr>
              <w:rPr>
                <w:rFonts w:ascii="Cambria Math" w:hAnsi="Cambria Math"/>
              </w:rPr>
              <m:t>1</m:t>
            </m:r>
          </m:sub>
        </m:sSub>
      </m:oMath>
      <w:r w:rsidR="7FA2E6FC" w:rsidRPr="002A30C4">
        <w:t xml:space="preserve">e </w:t>
      </w:r>
      <m:oMath>
        <m:sSub>
          <m:sSubPr>
            <m:ctrlPr>
              <w:rPr>
                <w:rFonts w:ascii="Cambria Math" w:hAnsi="Cambria Math"/>
              </w:rPr>
            </m:ctrlPr>
          </m:sSubPr>
          <m:e>
            <m:r>
              <w:rPr>
                <w:rFonts w:ascii="Cambria Math" w:hAnsi="Cambria Math"/>
              </w:rPr>
              <m:t>TM</m:t>
            </m:r>
          </m:e>
          <m:sub>
            <m:r>
              <m:rPr>
                <m:sty m:val="p"/>
              </m:rPr>
              <w:rPr>
                <w:rFonts w:ascii="Cambria Math" w:hAnsi="Cambria Math"/>
              </w:rPr>
              <m:t>0</m:t>
            </m:r>
          </m:sub>
        </m:sSub>
      </m:oMath>
      <w:r w:rsidR="7FA2E6FC" w:rsidRPr="002A30C4">
        <w:t xml:space="preserve">o tamanho médio dos estabelecimentos no tempo final e inicial da análise. </w:t>
      </w:r>
    </w:p>
    <w:p w14:paraId="48AD527C" w14:textId="406FC179" w:rsidR="07425F65" w:rsidRPr="002A30C4" w:rsidRDefault="00000000" w:rsidP="002A30C4">
      <w:pPr>
        <w:pStyle w:val="Corpodetexto"/>
      </w:pPr>
      <m:oMath>
        <m:sSub>
          <m:sSubPr>
            <m:ctrlPr>
              <w:rPr>
                <w:rFonts w:ascii="Cambria Math" w:hAnsi="Cambria Math"/>
              </w:rPr>
            </m:ctrlPr>
          </m:sSubPr>
          <m:e>
            <m:r>
              <w:rPr>
                <w:rFonts w:ascii="Cambria Math" w:hAnsi="Cambria Math"/>
              </w:rPr>
              <m:t>N</m:t>
            </m:r>
          </m:e>
          <m:sub>
            <m:r>
              <m:rPr>
                <m:sty m:val="p"/>
              </m:rPr>
              <w:rPr>
                <w:rFonts w:ascii="Cambria Math" w:hAnsi="Cambria Math"/>
              </w:rPr>
              <m:t>1</m:t>
            </m:r>
          </m:sub>
        </m:sSub>
        <m:r>
          <w:rPr>
            <w:rFonts w:ascii="Cambria Math" w:hAnsi="Cambria Math"/>
          </w:rPr>
          <m:t>T</m:t>
        </m:r>
        <m:sSub>
          <m:sSubPr>
            <m:ctrlPr>
              <w:rPr>
                <w:rFonts w:ascii="Cambria Math" w:hAnsi="Cambria Math"/>
              </w:rPr>
            </m:ctrlPr>
          </m:sSubPr>
          <m:e>
            <m:r>
              <w:rPr>
                <w:rFonts w:ascii="Cambria Math" w:hAnsi="Cambria Math"/>
              </w:rPr>
              <m:t>M</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sty m:val="p"/>
              </m:rPr>
              <w:rPr>
                <w:rFonts w:ascii="Cambria Math" w:hAnsi="Cambria Math"/>
              </w:rPr>
              <m:t>0</m:t>
            </m:r>
          </m:sub>
        </m:sSub>
        <m:r>
          <w:rPr>
            <w:rFonts w:ascii="Cambria Math" w:hAnsi="Cambria Math"/>
          </w:rPr>
          <m:t>T</m:t>
        </m:r>
        <m:sSub>
          <m:sSubPr>
            <m:ctrlPr>
              <w:rPr>
                <w:rFonts w:ascii="Cambria Math" w:hAnsi="Cambria Math"/>
              </w:rPr>
            </m:ctrlPr>
          </m:sSubPr>
          <m:e>
            <m:r>
              <w:rPr>
                <w:rFonts w:ascii="Cambria Math" w:hAnsi="Cambria Math"/>
              </w:rPr>
              <m:t>M</m:t>
            </m:r>
          </m:e>
          <m:sub>
            <m:r>
              <m:rPr>
                <m:sty m:val="p"/>
              </m:rPr>
              <w:rPr>
                <w:rFonts w:ascii="Cambria Math" w:hAnsi="Cambria Math"/>
              </w:rPr>
              <m:t>0</m:t>
            </m:r>
          </m:sub>
        </m:sSub>
        <m:r>
          <m:rPr>
            <m:sty m:val="p"/>
          </m:rPr>
          <w:rPr>
            <w:rFonts w:ascii="Cambria Math" w:hAnsi="Cambria Math"/>
          </w:rPr>
          <m:t>=</m:t>
        </m:r>
        <m:bar>
          <m:barPr>
            <m:pos m:val="top"/>
            <m:ctrlPr>
              <w:rPr>
                <w:rFonts w:ascii="Cambria Math" w:hAnsi="Cambria Math"/>
              </w:rPr>
            </m:ctrlPr>
          </m:barPr>
          <m:e>
            <m:r>
              <w:rPr>
                <w:rFonts w:ascii="Cambria Math" w:hAnsi="Cambria Math"/>
              </w:rPr>
              <m:t>N</m:t>
            </m:r>
          </m:e>
        </m:bar>
        <m:r>
          <m:rPr>
            <m:sty m:val="p"/>
          </m:rPr>
          <w:rPr>
            <w:rFonts w:ascii="Cambria Math" w:hAnsi="Cambria Math"/>
          </w:rPr>
          <m:t> ∆</m:t>
        </m:r>
        <m:r>
          <w:rPr>
            <w:rFonts w:ascii="Cambria Math" w:hAnsi="Cambria Math"/>
          </w:rPr>
          <m:t>TM</m:t>
        </m:r>
        <m:r>
          <m:rPr>
            <m:sty m:val="p"/>
          </m:rPr>
          <w:rPr>
            <w:rFonts w:ascii="Cambria Math" w:hAnsi="Cambria Math"/>
          </w:rPr>
          <m:t>+ </m:t>
        </m:r>
        <m:bar>
          <m:barPr>
            <m:pos m:val="top"/>
            <m:ctrlPr>
              <w:rPr>
                <w:rFonts w:ascii="Cambria Math" w:hAnsi="Cambria Math"/>
              </w:rPr>
            </m:ctrlPr>
          </m:barPr>
          <m:e>
            <m:r>
              <w:rPr>
                <w:rFonts w:ascii="Cambria Math" w:hAnsi="Cambria Math"/>
              </w:rPr>
              <m:t>TM</m:t>
            </m:r>
          </m:e>
        </m:bar>
        <m:r>
          <m:rPr>
            <m:sty m:val="p"/>
          </m:rPr>
          <w:rPr>
            <w:rFonts w:ascii="Cambria Math" w:hAnsi="Cambria Math"/>
          </w:rPr>
          <m:t> ∆</m:t>
        </m:r>
        <m:r>
          <w:rPr>
            <w:rFonts w:ascii="Cambria Math" w:hAnsi="Cambria Math"/>
          </w:rPr>
          <m:t>N</m:t>
        </m:r>
      </m:oMath>
      <w:r w:rsidR="03D45559" w:rsidRPr="002A30C4">
        <w:t xml:space="preserve"> Sendo: </w:t>
      </w:r>
      <m:oMath>
        <m:bar>
          <m:barPr>
            <m:pos m:val="top"/>
            <m:ctrlPr>
              <w:rPr>
                <w:rFonts w:ascii="Cambria Math" w:hAnsi="Cambria Math"/>
              </w:rPr>
            </m:ctrlPr>
          </m:barPr>
          <m:e>
            <m:r>
              <w:rPr>
                <w:rFonts w:ascii="Cambria Math" w:hAnsi="Cambria Math"/>
              </w:rPr>
              <m:t>N</m:t>
            </m:r>
          </m:e>
        </m:bar>
      </m:oMath>
      <w:r w:rsidR="03D45559" w:rsidRPr="002A30C4">
        <w:t xml:space="preserve">, a média aritmética simples do número de estabelecimentos entre os dois períodos (1 e 0); e </w:t>
      </w:r>
      <m:oMath>
        <m:bar>
          <m:barPr>
            <m:pos m:val="top"/>
            <m:ctrlPr>
              <w:rPr>
                <w:rFonts w:ascii="Cambria Math" w:hAnsi="Cambria Math"/>
              </w:rPr>
            </m:ctrlPr>
          </m:barPr>
          <m:e>
            <m:r>
              <w:rPr>
                <w:rFonts w:ascii="Cambria Math" w:hAnsi="Cambria Math"/>
              </w:rPr>
              <m:t>TM</m:t>
            </m:r>
          </m:e>
        </m:bar>
        <m:r>
          <m:rPr>
            <m:sty m:val="p"/>
          </m:rPr>
          <w:rPr>
            <w:rFonts w:ascii="Cambria Math" w:hAnsi="Cambria Math"/>
          </w:rPr>
          <m:t> </m:t>
        </m:r>
      </m:oMath>
      <w:r w:rsidR="03D45559" w:rsidRPr="002A30C4">
        <w:t xml:space="preserve">a média aritmética simples do número de vínculos formais de trabalho em os dois períodos (1 e 0). Assim, o termo </w:t>
      </w:r>
      <m:oMath>
        <m:bar>
          <m:barPr>
            <m:pos m:val="top"/>
            <m:ctrlPr>
              <w:rPr>
                <w:rFonts w:ascii="Cambria Math" w:hAnsi="Cambria Math"/>
              </w:rPr>
            </m:ctrlPr>
          </m:barPr>
          <m:e>
            <m:r>
              <w:rPr>
                <w:rFonts w:ascii="Cambria Math" w:hAnsi="Cambria Math"/>
              </w:rPr>
              <m:t>N</m:t>
            </m:r>
          </m:e>
        </m:bar>
        <m:r>
          <m:rPr>
            <m:sty m:val="p"/>
          </m:rPr>
          <w:rPr>
            <w:rFonts w:ascii="Cambria Math" w:hAnsi="Cambria Math"/>
          </w:rPr>
          <m:t> ∆</m:t>
        </m:r>
        <m:r>
          <w:rPr>
            <w:rFonts w:ascii="Cambria Math" w:hAnsi="Cambria Math"/>
          </w:rPr>
          <m:t>TM</m:t>
        </m:r>
      </m:oMath>
      <w:r w:rsidR="03D45559" w:rsidRPr="002A30C4">
        <w:t xml:space="preserve"> é o efeito tamanho médio que implica em responder qual teria sido a variação do emprego formal resultante apenas da variação observada no tamanho médio dos estabelecimentos no período considerado, mantido fixo o número de estabelecimentos no nível médio entre os dois períodos. O termo </w:t>
      </w:r>
      <m:oMath>
        <m:bar>
          <m:barPr>
            <m:pos m:val="top"/>
            <m:ctrlPr>
              <w:rPr>
                <w:rFonts w:ascii="Cambria Math" w:hAnsi="Cambria Math"/>
              </w:rPr>
            </m:ctrlPr>
          </m:barPr>
          <m:e>
            <m:r>
              <w:rPr>
                <w:rFonts w:ascii="Cambria Math" w:hAnsi="Cambria Math"/>
              </w:rPr>
              <m:t>TM</m:t>
            </m:r>
          </m:e>
        </m:bar>
        <m:r>
          <m:rPr>
            <m:sty m:val="p"/>
          </m:rPr>
          <w:rPr>
            <w:rFonts w:ascii="Cambria Math" w:hAnsi="Cambria Math"/>
          </w:rPr>
          <m:t> ∆</m:t>
        </m:r>
        <m:r>
          <w:rPr>
            <w:rFonts w:ascii="Cambria Math" w:hAnsi="Cambria Math"/>
          </w:rPr>
          <m:t>N</m:t>
        </m:r>
      </m:oMath>
      <w:r w:rsidR="03D45559" w:rsidRPr="002A30C4">
        <w:t xml:space="preserve"> é o efeito quantidade indica qual teria sido a variação do emprego formal decorrente apenas da variação observada no número de estabelecimentos no período em análise, mantendo constante o tamanho no nível médio entre os anos citados </w:t>
      </w:r>
      <w:r w:rsidR="002A30C4" w:rsidRPr="002A30C4">
        <w:fldChar w:fldCharType="begin"/>
      </w:r>
      <w:r w:rsidR="002A30C4" w:rsidRPr="002A30C4">
        <w:instrText xml:space="preserve"> ADDIN ZOTERO_ITEM CSL_CITATION {"citationID":"N6FH0Zej","properties":{"formattedCitation":"(Corseuil; Moura; Ramos, 2011)","plainCitation":"(Corseuil; Moura; Ramos, 2011)","noteIndex":0},"citationItems":[{"id":2833,"uris":["http://zotero.org/users/11809071/items/98JDVL4D"],"itemData":{"id":2833,"type":"article-journal","abstract":"The main goal of this paper is to analyze the increase of Brazilian formal employment growth rate in the last decade. The evidence suggests that this acceleration is due to a reversal in the trend of the average number of employees per establishment. More detailed investigations show evidence that this result is not derived from changes in industry composition that favors sectors with larger scales of operation, or a deepening of the process of selection, which penalizes the smaller establishments. As a matter of fact the selection component would have contributed to a decrease in the average ﬁrm size, but this eﬀect was counterbalanced by a higher initial employment level in the most recent ﬁrms cohort.","container-title":"Economia Aplicada","DOI":"10.1590/S1413-80502011000100003","ISSN":"1413-8050","issue":"1","journalAbbreviation":"Econ. Apl.","language":"pt","page":"45-63","source":"DOI.org (Crossref)","title":"Determinantes da expansão do emprego formal: o que explica o aumento do tamanho médio dos estabelecimentos?","title-short":"Determinantes da expansão do emprego formal","volume":"15","author":[{"family":"Corseuil","given":"Carlos Henrique L."},{"family":"Moura","given":"Rodrigo L."},{"family":"Ramos","given":"Lauro"}],"issued":{"date-parts":[["2011",3]]},"citation-key":"corseuil2011"}}],"schema":"https://github.com/citation-style-language/schema/raw/master/csl-citation.json"} </w:instrText>
      </w:r>
      <w:r w:rsidR="002A30C4" w:rsidRPr="002A30C4">
        <w:fldChar w:fldCharType="separate"/>
      </w:r>
      <w:r w:rsidR="002A30C4" w:rsidRPr="002A30C4">
        <w:t>(Corseuil; Moura; Ramos, 2011)</w:t>
      </w:r>
      <w:r w:rsidR="002A30C4" w:rsidRPr="002A30C4">
        <w:fldChar w:fldCharType="end"/>
      </w:r>
      <w:r w:rsidR="002A30C4">
        <w:t>.</w:t>
      </w:r>
    </w:p>
    <w:p w14:paraId="670545B2" w14:textId="787DD7C4" w:rsidR="00556A60" w:rsidRPr="002A30C4" w:rsidRDefault="03D45559" w:rsidP="002A30C4">
      <w:pPr>
        <w:pStyle w:val="Corpodetexto"/>
      </w:pPr>
      <w:r w:rsidRPr="002A30C4">
        <w:t>O resultado dessa decomposição apresentado na Tabela 2, revela que a</w:t>
      </w:r>
      <w:r w:rsidR="00094749" w:rsidRPr="002A30C4">
        <w:t xml:space="preserve"> quase totalidade das unidades territoriais da área de estudo,</w:t>
      </w:r>
      <w:r w:rsidRPr="002A30C4">
        <w:t xml:space="preserve"> tanto</w:t>
      </w:r>
      <w:r w:rsidR="00094749" w:rsidRPr="002A30C4">
        <w:t xml:space="preserve"> agregadas em Regiões Intermediárias e Imediatas, quanto desagregados por municípios, a variação do emprego total ocorreu mais em decorrência da variação do número de estabelecimentos do que pela variação do tamanho dos estabelecimentos. Registra-se exceções em São João da Barra,</w:t>
      </w:r>
      <w:r w:rsidR="00884055" w:rsidRPr="002A30C4">
        <w:t xml:space="preserve"> Italva,</w:t>
      </w:r>
      <w:r w:rsidR="00094749" w:rsidRPr="002A30C4">
        <w:t xml:space="preserve"> Laje de Muriaé, </w:t>
      </w:r>
      <w:r w:rsidR="00884055" w:rsidRPr="002A30C4">
        <w:t xml:space="preserve">Porciúncula, </w:t>
      </w:r>
      <w:r w:rsidR="00094749" w:rsidRPr="002A30C4">
        <w:t xml:space="preserve">Cambuci, </w:t>
      </w:r>
      <w:r w:rsidR="00884055" w:rsidRPr="002A30C4">
        <w:t xml:space="preserve">Miracema, </w:t>
      </w:r>
      <w:r w:rsidR="00094749" w:rsidRPr="002A30C4">
        <w:t xml:space="preserve">Santo Antônio de Pádua e Conceição de Macabu. </w:t>
      </w:r>
      <w:r w:rsidR="00407824" w:rsidRPr="002A30C4">
        <w:t>Destacam-se alguns municípios onde o tamanho médio das</w:t>
      </w:r>
      <w:r w:rsidR="00884055" w:rsidRPr="002A30C4">
        <w:t xml:space="preserve"> </w:t>
      </w:r>
      <w:r w:rsidR="00407824" w:rsidRPr="002A30C4">
        <w:t>empresas teve um efeito negativo, ou seja, se dependesse somente do tamanho médio dos estabelecimentos o emprego total teria diminuído</w:t>
      </w:r>
      <w:r w:rsidR="00884055" w:rsidRPr="002A30C4">
        <w:t>: Cardoso Moreira, São Fidélis, Varre-Sai, Itaocara, Carapebus e Quissamã.</w:t>
      </w:r>
      <w:r w:rsidR="00407824" w:rsidRPr="002A30C4">
        <w:t xml:space="preserve"> </w:t>
      </w:r>
      <w:r w:rsidR="00072B00" w:rsidRPr="002A30C4">
        <w:t xml:space="preserve">O efeito </w:t>
      </w:r>
      <w:r w:rsidR="00884055" w:rsidRPr="002A30C4">
        <w:t>quantidade</w:t>
      </w:r>
      <w:r w:rsidR="00072B00" w:rsidRPr="002A30C4">
        <w:t xml:space="preserve"> </w:t>
      </w:r>
      <w:r w:rsidR="00072B00" w:rsidRPr="002A30C4">
        <w:lastRenderedPageBreak/>
        <w:t xml:space="preserve">foi positivo em </w:t>
      </w:r>
      <w:r w:rsidR="00884055" w:rsidRPr="002A30C4">
        <w:t xml:space="preserve">quase </w:t>
      </w:r>
      <w:r w:rsidR="00072B00" w:rsidRPr="002A30C4">
        <w:t>todas as unidades territoriais analisadas</w:t>
      </w:r>
      <w:r w:rsidR="00884055" w:rsidRPr="002A30C4">
        <w:t>, exceto em Laje do Muriaé e Conceição de Macabu</w:t>
      </w:r>
      <w:r w:rsidR="00072B00" w:rsidRPr="002A30C4">
        <w:t xml:space="preserve">. Dessa forma, pode-se afirmar que mesmo que a variação do tamanho médio fosse zero, o emprego formal teria aumentado em função da variação positiva do número de estabelecimentos. </w:t>
      </w:r>
    </w:p>
    <w:p w14:paraId="5B1E6D74" w14:textId="4FDEE473" w:rsidR="00FF74EB" w:rsidRDefault="00556A60" w:rsidP="00556A60">
      <w:pPr>
        <w:pStyle w:val="TTabela"/>
      </w:pPr>
      <w:r>
        <w:t>Tabela 2</w:t>
      </w:r>
      <w:r w:rsidR="003B798E">
        <w:t xml:space="preserve"> – </w:t>
      </w:r>
      <w:r>
        <w:t>Decomposição do efeito tamanho médio e quantidade sobre a variação do emprego formal por Regiões Geográficas Intermediárias e Imediatas do Estado do Rio de janeiro – 2002-202</w:t>
      </w:r>
      <w:r w:rsidR="00DD2CC5">
        <w:t>1</w:t>
      </w:r>
    </w:p>
    <w:tbl>
      <w:tblPr>
        <w:tblW w:w="0" w:type="auto"/>
        <w:jc w:val="center"/>
        <w:tblCellMar>
          <w:left w:w="70" w:type="dxa"/>
          <w:right w:w="70" w:type="dxa"/>
        </w:tblCellMar>
        <w:tblLook w:val="04A0" w:firstRow="1" w:lastRow="0" w:firstColumn="1" w:lastColumn="0" w:noHBand="0" w:noVBand="1"/>
      </w:tblPr>
      <w:tblGrid>
        <w:gridCol w:w="5078"/>
        <w:gridCol w:w="1071"/>
        <w:gridCol w:w="1334"/>
        <w:gridCol w:w="1577"/>
      </w:tblGrid>
      <w:tr w:rsidR="00F531E9" w:rsidRPr="00F531E9" w14:paraId="22C8EB2E" w14:textId="77777777" w:rsidTr="00F531E9">
        <w:trPr>
          <w:cantSplit/>
          <w:jc w:val="center"/>
        </w:trPr>
        <w:tc>
          <w:tcPr>
            <w:tcW w:w="0" w:type="auto"/>
            <w:vMerge w:val="restart"/>
            <w:tcBorders>
              <w:top w:val="single" w:sz="4" w:space="0" w:color="auto"/>
              <w:left w:val="nil"/>
              <w:bottom w:val="single" w:sz="4" w:space="0" w:color="auto"/>
              <w:right w:val="single" w:sz="4" w:space="0" w:color="auto"/>
            </w:tcBorders>
            <w:shd w:val="clear" w:color="000000" w:fill="BE5014"/>
            <w:noWrap/>
            <w:vAlign w:val="center"/>
            <w:hideMark/>
          </w:tcPr>
          <w:p w14:paraId="12079797" w14:textId="77777777" w:rsidR="00F531E9" w:rsidRPr="00F531E9" w:rsidRDefault="00F531E9" w:rsidP="00061854">
            <w:pPr>
              <w:keepNext/>
              <w:jc w:val="center"/>
              <w:rPr>
                <w:rFonts w:ascii="Arial" w:hAnsi="Arial" w:cs="Arial"/>
                <w:b/>
                <w:bCs/>
                <w:color w:val="FFFFFF"/>
                <w:sz w:val="18"/>
                <w:szCs w:val="18"/>
              </w:rPr>
            </w:pPr>
            <w:r w:rsidRPr="00F531E9">
              <w:rPr>
                <w:rFonts w:ascii="Arial" w:hAnsi="Arial" w:cs="Arial"/>
                <w:b/>
                <w:bCs/>
                <w:color w:val="FFFFFF"/>
                <w:sz w:val="18"/>
                <w:szCs w:val="18"/>
              </w:rPr>
              <w:t>UNIDADES TERRITORIAIS</w:t>
            </w:r>
          </w:p>
        </w:tc>
        <w:tc>
          <w:tcPr>
            <w:tcW w:w="0" w:type="auto"/>
            <w:gridSpan w:val="3"/>
            <w:tcBorders>
              <w:top w:val="single" w:sz="4" w:space="0" w:color="auto"/>
              <w:left w:val="nil"/>
              <w:bottom w:val="single" w:sz="4" w:space="0" w:color="auto"/>
              <w:right w:val="single" w:sz="4" w:space="0" w:color="auto"/>
            </w:tcBorders>
            <w:shd w:val="clear" w:color="000000" w:fill="BE5014"/>
            <w:noWrap/>
            <w:vAlign w:val="center"/>
            <w:hideMark/>
          </w:tcPr>
          <w:p w14:paraId="484F3C4B" w14:textId="77777777" w:rsidR="00F531E9" w:rsidRPr="00F531E9" w:rsidRDefault="00F531E9" w:rsidP="00061854">
            <w:pPr>
              <w:keepNext/>
              <w:jc w:val="center"/>
              <w:rPr>
                <w:rFonts w:ascii="Aptos Narrow" w:hAnsi="Aptos Narrow"/>
                <w:b/>
                <w:bCs/>
                <w:color w:val="FFFFFF"/>
                <w:sz w:val="18"/>
                <w:szCs w:val="18"/>
              </w:rPr>
            </w:pPr>
            <w:r w:rsidRPr="00F531E9">
              <w:rPr>
                <w:rFonts w:ascii="Aptos Narrow" w:hAnsi="Aptos Narrow"/>
                <w:b/>
                <w:bCs/>
                <w:color w:val="FFFFFF"/>
                <w:sz w:val="18"/>
                <w:szCs w:val="18"/>
              </w:rPr>
              <w:t>ENTRE  2002 e 2021</w:t>
            </w:r>
          </w:p>
        </w:tc>
      </w:tr>
      <w:tr w:rsidR="00F531E9" w:rsidRPr="00F531E9" w14:paraId="12329245" w14:textId="77777777" w:rsidTr="00F531E9">
        <w:trPr>
          <w:cantSplit/>
          <w:jc w:val="center"/>
        </w:trPr>
        <w:tc>
          <w:tcPr>
            <w:tcW w:w="0" w:type="auto"/>
            <w:vMerge/>
            <w:tcBorders>
              <w:top w:val="single" w:sz="4" w:space="0" w:color="auto"/>
              <w:left w:val="nil"/>
              <w:bottom w:val="single" w:sz="4" w:space="0" w:color="auto"/>
              <w:right w:val="single" w:sz="4" w:space="0" w:color="auto"/>
            </w:tcBorders>
            <w:vAlign w:val="center"/>
            <w:hideMark/>
          </w:tcPr>
          <w:p w14:paraId="10F306B3" w14:textId="77777777" w:rsidR="00F531E9" w:rsidRPr="00F531E9" w:rsidRDefault="00F531E9" w:rsidP="00061854">
            <w:pPr>
              <w:keepNext/>
              <w:jc w:val="center"/>
              <w:rPr>
                <w:rFonts w:ascii="Arial" w:hAnsi="Arial" w:cs="Arial"/>
                <w:b/>
                <w:bCs/>
                <w:color w:val="FFFFFF"/>
                <w:sz w:val="18"/>
                <w:szCs w:val="18"/>
              </w:rPr>
            </w:pPr>
          </w:p>
        </w:tc>
        <w:tc>
          <w:tcPr>
            <w:tcW w:w="0" w:type="auto"/>
            <w:tcBorders>
              <w:top w:val="nil"/>
              <w:left w:val="nil"/>
              <w:bottom w:val="single" w:sz="4" w:space="0" w:color="auto"/>
              <w:right w:val="single" w:sz="4" w:space="0" w:color="auto"/>
            </w:tcBorders>
            <w:shd w:val="clear" w:color="000000" w:fill="BE5014"/>
            <w:vAlign w:val="center"/>
            <w:hideMark/>
          </w:tcPr>
          <w:p w14:paraId="5654C356" w14:textId="77777777" w:rsidR="00F531E9" w:rsidRPr="00F531E9" w:rsidRDefault="00F531E9" w:rsidP="00061854">
            <w:pPr>
              <w:keepNext/>
              <w:jc w:val="center"/>
              <w:rPr>
                <w:rFonts w:ascii="Aptos Narrow" w:hAnsi="Aptos Narrow"/>
                <w:b/>
                <w:bCs/>
                <w:color w:val="FFFFFF"/>
                <w:sz w:val="18"/>
                <w:szCs w:val="18"/>
              </w:rPr>
            </w:pPr>
            <w:r w:rsidRPr="00F531E9">
              <w:rPr>
                <w:rFonts w:ascii="Aptos Narrow" w:hAnsi="Aptos Narrow"/>
                <w:b/>
                <w:bCs/>
                <w:color w:val="FFFFFF"/>
                <w:sz w:val="18"/>
                <w:szCs w:val="18"/>
              </w:rPr>
              <w:t>EFEITO TOTAL</w:t>
            </w:r>
          </w:p>
        </w:tc>
        <w:tc>
          <w:tcPr>
            <w:tcW w:w="0" w:type="auto"/>
            <w:tcBorders>
              <w:top w:val="nil"/>
              <w:left w:val="nil"/>
              <w:bottom w:val="single" w:sz="4" w:space="0" w:color="auto"/>
              <w:right w:val="single" w:sz="4" w:space="0" w:color="auto"/>
            </w:tcBorders>
            <w:shd w:val="clear" w:color="000000" w:fill="BE5014"/>
            <w:vAlign w:val="center"/>
            <w:hideMark/>
          </w:tcPr>
          <w:p w14:paraId="0CD6B0EF" w14:textId="77777777" w:rsidR="00F531E9" w:rsidRPr="00F531E9" w:rsidRDefault="00F531E9" w:rsidP="00061854">
            <w:pPr>
              <w:keepNext/>
              <w:jc w:val="center"/>
              <w:rPr>
                <w:rFonts w:ascii="Aptos Narrow" w:hAnsi="Aptos Narrow"/>
                <w:b/>
                <w:bCs/>
                <w:color w:val="FFFFFF"/>
                <w:sz w:val="18"/>
                <w:szCs w:val="18"/>
              </w:rPr>
            </w:pPr>
            <w:r w:rsidRPr="00F531E9">
              <w:rPr>
                <w:rFonts w:ascii="Aptos Narrow" w:hAnsi="Aptos Narrow"/>
                <w:b/>
                <w:bCs/>
                <w:color w:val="FFFFFF"/>
                <w:sz w:val="18"/>
                <w:szCs w:val="18"/>
              </w:rPr>
              <w:t>TAMANHO MÉDIO</w:t>
            </w:r>
          </w:p>
        </w:tc>
        <w:tc>
          <w:tcPr>
            <w:tcW w:w="0" w:type="auto"/>
            <w:tcBorders>
              <w:top w:val="nil"/>
              <w:left w:val="nil"/>
              <w:bottom w:val="single" w:sz="4" w:space="0" w:color="auto"/>
              <w:right w:val="nil"/>
            </w:tcBorders>
            <w:shd w:val="clear" w:color="000000" w:fill="BE5014"/>
            <w:vAlign w:val="center"/>
            <w:hideMark/>
          </w:tcPr>
          <w:p w14:paraId="234E6983" w14:textId="77777777" w:rsidR="00F531E9" w:rsidRPr="00F531E9" w:rsidRDefault="00F531E9" w:rsidP="00061854">
            <w:pPr>
              <w:keepNext/>
              <w:jc w:val="center"/>
              <w:rPr>
                <w:rFonts w:ascii="Aptos Narrow" w:hAnsi="Aptos Narrow"/>
                <w:b/>
                <w:bCs/>
                <w:color w:val="FFFFFF"/>
                <w:sz w:val="18"/>
                <w:szCs w:val="18"/>
              </w:rPr>
            </w:pPr>
            <w:r w:rsidRPr="00F531E9">
              <w:rPr>
                <w:rFonts w:ascii="Aptos Narrow" w:hAnsi="Aptos Narrow"/>
                <w:b/>
                <w:bCs/>
                <w:color w:val="FFFFFF"/>
                <w:sz w:val="18"/>
                <w:szCs w:val="18"/>
              </w:rPr>
              <w:t>EFEITO QUANTIDADE</w:t>
            </w:r>
          </w:p>
        </w:tc>
      </w:tr>
      <w:tr w:rsidR="00F531E9" w:rsidRPr="00F531E9" w14:paraId="6952BD64" w14:textId="77777777" w:rsidTr="00F531E9">
        <w:trPr>
          <w:cantSplit/>
          <w:jc w:val="center"/>
        </w:trPr>
        <w:tc>
          <w:tcPr>
            <w:tcW w:w="0" w:type="auto"/>
            <w:tcBorders>
              <w:top w:val="nil"/>
              <w:left w:val="nil"/>
              <w:bottom w:val="nil"/>
              <w:right w:val="nil"/>
            </w:tcBorders>
            <w:shd w:val="clear" w:color="000000" w:fill="F1A983"/>
            <w:noWrap/>
            <w:hideMark/>
          </w:tcPr>
          <w:p w14:paraId="39222613" w14:textId="77777777" w:rsidR="00F531E9" w:rsidRPr="00F531E9" w:rsidRDefault="00F531E9" w:rsidP="00061854">
            <w:pPr>
              <w:keepNext/>
              <w:rPr>
                <w:rFonts w:ascii="Aptos Narrow" w:hAnsi="Aptos Narrow"/>
                <w:b/>
                <w:bCs/>
                <w:color w:val="000000"/>
                <w:sz w:val="18"/>
                <w:szCs w:val="18"/>
              </w:rPr>
            </w:pPr>
            <w:r w:rsidRPr="00F531E9">
              <w:rPr>
                <w:rFonts w:ascii="Aptos Narrow" w:hAnsi="Aptos Narrow"/>
                <w:b/>
                <w:bCs/>
                <w:color w:val="000000"/>
                <w:sz w:val="18"/>
                <w:szCs w:val="18"/>
              </w:rPr>
              <w:t>Total na área de Estudos</w:t>
            </w:r>
          </w:p>
        </w:tc>
        <w:tc>
          <w:tcPr>
            <w:tcW w:w="0" w:type="auto"/>
            <w:tcBorders>
              <w:top w:val="nil"/>
              <w:left w:val="nil"/>
              <w:bottom w:val="single" w:sz="8" w:space="0" w:color="auto"/>
              <w:right w:val="nil"/>
            </w:tcBorders>
            <w:shd w:val="clear" w:color="000000" w:fill="F1A983"/>
            <w:noWrap/>
            <w:hideMark/>
          </w:tcPr>
          <w:p w14:paraId="6E1B8BE7" w14:textId="77777777" w:rsidR="00F531E9" w:rsidRPr="00F531E9" w:rsidRDefault="00F531E9" w:rsidP="00061854">
            <w:pPr>
              <w:keepNext/>
              <w:jc w:val="right"/>
              <w:rPr>
                <w:rFonts w:ascii="Aptos Narrow" w:hAnsi="Aptos Narrow"/>
                <w:b/>
                <w:bCs/>
                <w:color w:val="000000"/>
                <w:sz w:val="18"/>
                <w:szCs w:val="18"/>
              </w:rPr>
            </w:pPr>
            <w:r w:rsidRPr="00F531E9">
              <w:rPr>
                <w:rFonts w:ascii="Aptos Narrow" w:hAnsi="Aptos Narrow"/>
                <w:b/>
                <w:bCs/>
                <w:color w:val="000000"/>
                <w:sz w:val="18"/>
                <w:szCs w:val="18"/>
              </w:rPr>
              <w:t>224.258</w:t>
            </w:r>
          </w:p>
        </w:tc>
        <w:tc>
          <w:tcPr>
            <w:tcW w:w="0" w:type="auto"/>
            <w:tcBorders>
              <w:top w:val="nil"/>
              <w:left w:val="nil"/>
              <w:bottom w:val="single" w:sz="8" w:space="0" w:color="auto"/>
              <w:right w:val="nil"/>
            </w:tcBorders>
            <w:shd w:val="clear" w:color="000000" w:fill="F1A983"/>
            <w:noWrap/>
            <w:hideMark/>
          </w:tcPr>
          <w:p w14:paraId="31D3176D" w14:textId="77777777" w:rsidR="00F531E9" w:rsidRPr="00F531E9" w:rsidRDefault="00F531E9" w:rsidP="00061854">
            <w:pPr>
              <w:keepNext/>
              <w:jc w:val="right"/>
              <w:rPr>
                <w:rFonts w:ascii="Aptos Narrow" w:hAnsi="Aptos Narrow"/>
                <w:b/>
                <w:bCs/>
                <w:color w:val="000000"/>
                <w:sz w:val="18"/>
                <w:szCs w:val="18"/>
              </w:rPr>
            </w:pPr>
            <w:r w:rsidRPr="00F531E9">
              <w:rPr>
                <w:rFonts w:ascii="Aptos Narrow" w:hAnsi="Aptos Narrow"/>
                <w:b/>
                <w:bCs/>
                <w:color w:val="000000"/>
                <w:sz w:val="18"/>
                <w:szCs w:val="18"/>
              </w:rPr>
              <w:t>82.182</w:t>
            </w:r>
          </w:p>
        </w:tc>
        <w:tc>
          <w:tcPr>
            <w:tcW w:w="0" w:type="auto"/>
            <w:tcBorders>
              <w:top w:val="nil"/>
              <w:left w:val="nil"/>
              <w:bottom w:val="single" w:sz="8" w:space="0" w:color="auto"/>
              <w:right w:val="nil"/>
            </w:tcBorders>
            <w:shd w:val="clear" w:color="000000" w:fill="F1A983"/>
            <w:noWrap/>
            <w:hideMark/>
          </w:tcPr>
          <w:p w14:paraId="0A3689D7" w14:textId="77777777" w:rsidR="00F531E9" w:rsidRPr="00F531E9" w:rsidRDefault="00F531E9" w:rsidP="00061854">
            <w:pPr>
              <w:keepNext/>
              <w:jc w:val="right"/>
              <w:rPr>
                <w:rFonts w:ascii="Aptos Narrow" w:hAnsi="Aptos Narrow"/>
                <w:b/>
                <w:bCs/>
                <w:color w:val="000000"/>
                <w:sz w:val="18"/>
                <w:szCs w:val="18"/>
              </w:rPr>
            </w:pPr>
            <w:r w:rsidRPr="00F531E9">
              <w:rPr>
                <w:rFonts w:ascii="Aptos Narrow" w:hAnsi="Aptos Narrow"/>
                <w:b/>
                <w:bCs/>
                <w:color w:val="000000"/>
                <w:sz w:val="18"/>
                <w:szCs w:val="18"/>
              </w:rPr>
              <w:t>142.076</w:t>
            </w:r>
          </w:p>
        </w:tc>
      </w:tr>
      <w:tr w:rsidR="00F531E9" w:rsidRPr="00F531E9" w14:paraId="4F2B8BF2" w14:textId="77777777" w:rsidTr="00F531E9">
        <w:trPr>
          <w:cantSplit/>
          <w:jc w:val="center"/>
        </w:trPr>
        <w:tc>
          <w:tcPr>
            <w:tcW w:w="0" w:type="auto"/>
            <w:tcBorders>
              <w:top w:val="single" w:sz="8" w:space="0" w:color="156082"/>
              <w:left w:val="nil"/>
              <w:bottom w:val="single" w:sz="8" w:space="0" w:color="auto"/>
              <w:right w:val="nil"/>
            </w:tcBorders>
            <w:shd w:val="clear" w:color="000000" w:fill="F7C7AC"/>
            <w:noWrap/>
            <w:hideMark/>
          </w:tcPr>
          <w:p w14:paraId="26389FB0" w14:textId="77777777" w:rsidR="00F531E9" w:rsidRPr="00F531E9" w:rsidRDefault="00F531E9" w:rsidP="00061854">
            <w:pPr>
              <w:keepNext/>
              <w:rPr>
                <w:rFonts w:ascii="Aptos Narrow" w:hAnsi="Aptos Narrow"/>
                <w:b/>
                <w:bCs/>
                <w:color w:val="000000"/>
                <w:sz w:val="18"/>
                <w:szCs w:val="18"/>
              </w:rPr>
            </w:pPr>
            <w:r w:rsidRPr="00F531E9">
              <w:rPr>
                <w:rFonts w:ascii="Aptos Narrow" w:hAnsi="Aptos Narrow"/>
                <w:b/>
                <w:bCs/>
                <w:color w:val="000000"/>
                <w:sz w:val="18"/>
                <w:szCs w:val="18"/>
              </w:rPr>
              <w:t>Região Geográfica Intermediária Campos dos Goytacazes</w:t>
            </w:r>
          </w:p>
        </w:tc>
        <w:tc>
          <w:tcPr>
            <w:tcW w:w="0" w:type="auto"/>
            <w:tcBorders>
              <w:top w:val="nil"/>
              <w:left w:val="nil"/>
              <w:bottom w:val="single" w:sz="8" w:space="0" w:color="auto"/>
              <w:right w:val="nil"/>
            </w:tcBorders>
            <w:shd w:val="clear" w:color="000000" w:fill="F7C7AC"/>
            <w:noWrap/>
            <w:hideMark/>
          </w:tcPr>
          <w:p w14:paraId="6552EE2A" w14:textId="77777777" w:rsidR="00F531E9" w:rsidRPr="00F531E9" w:rsidRDefault="00F531E9" w:rsidP="00061854">
            <w:pPr>
              <w:keepNext/>
              <w:jc w:val="right"/>
              <w:rPr>
                <w:rFonts w:ascii="Aptos Narrow" w:hAnsi="Aptos Narrow"/>
                <w:b/>
                <w:bCs/>
                <w:color w:val="000000"/>
                <w:sz w:val="18"/>
                <w:szCs w:val="18"/>
              </w:rPr>
            </w:pPr>
            <w:r w:rsidRPr="00F531E9">
              <w:rPr>
                <w:rFonts w:ascii="Aptos Narrow" w:hAnsi="Aptos Narrow"/>
                <w:b/>
                <w:bCs/>
                <w:color w:val="000000"/>
                <w:sz w:val="18"/>
                <w:szCs w:val="18"/>
              </w:rPr>
              <w:t>66.070</w:t>
            </w:r>
          </w:p>
        </w:tc>
        <w:tc>
          <w:tcPr>
            <w:tcW w:w="0" w:type="auto"/>
            <w:tcBorders>
              <w:top w:val="nil"/>
              <w:left w:val="nil"/>
              <w:bottom w:val="single" w:sz="8" w:space="0" w:color="auto"/>
              <w:right w:val="nil"/>
            </w:tcBorders>
            <w:shd w:val="clear" w:color="000000" w:fill="F7C7AC"/>
            <w:noWrap/>
            <w:hideMark/>
          </w:tcPr>
          <w:p w14:paraId="3987A92F" w14:textId="77777777" w:rsidR="00F531E9" w:rsidRPr="00F531E9" w:rsidRDefault="00F531E9" w:rsidP="00061854">
            <w:pPr>
              <w:keepNext/>
              <w:jc w:val="right"/>
              <w:rPr>
                <w:rFonts w:ascii="Aptos Narrow" w:hAnsi="Aptos Narrow"/>
                <w:b/>
                <w:bCs/>
                <w:color w:val="000000"/>
                <w:sz w:val="18"/>
                <w:szCs w:val="18"/>
              </w:rPr>
            </w:pPr>
            <w:r w:rsidRPr="00F531E9">
              <w:rPr>
                <w:rFonts w:ascii="Aptos Narrow" w:hAnsi="Aptos Narrow"/>
                <w:b/>
                <w:bCs/>
                <w:color w:val="000000"/>
                <w:sz w:val="18"/>
                <w:szCs w:val="18"/>
              </w:rPr>
              <w:t>24.130</w:t>
            </w:r>
          </w:p>
        </w:tc>
        <w:tc>
          <w:tcPr>
            <w:tcW w:w="0" w:type="auto"/>
            <w:tcBorders>
              <w:top w:val="nil"/>
              <w:left w:val="nil"/>
              <w:bottom w:val="single" w:sz="8" w:space="0" w:color="auto"/>
              <w:right w:val="nil"/>
            </w:tcBorders>
            <w:shd w:val="clear" w:color="000000" w:fill="F7C7AC"/>
            <w:noWrap/>
            <w:hideMark/>
          </w:tcPr>
          <w:p w14:paraId="24724771" w14:textId="77777777" w:rsidR="00F531E9" w:rsidRPr="00F531E9" w:rsidRDefault="00F531E9" w:rsidP="00061854">
            <w:pPr>
              <w:keepNext/>
              <w:jc w:val="right"/>
              <w:rPr>
                <w:rFonts w:ascii="Aptos Narrow" w:hAnsi="Aptos Narrow"/>
                <w:b/>
                <w:bCs/>
                <w:color w:val="000000"/>
                <w:sz w:val="18"/>
                <w:szCs w:val="18"/>
              </w:rPr>
            </w:pPr>
            <w:r w:rsidRPr="00F531E9">
              <w:rPr>
                <w:rFonts w:ascii="Aptos Narrow" w:hAnsi="Aptos Narrow"/>
                <w:b/>
                <w:bCs/>
                <w:color w:val="000000"/>
                <w:sz w:val="18"/>
                <w:szCs w:val="18"/>
              </w:rPr>
              <w:t>41.940</w:t>
            </w:r>
          </w:p>
        </w:tc>
      </w:tr>
      <w:tr w:rsidR="00F531E9" w:rsidRPr="00F531E9" w14:paraId="17EF9B01" w14:textId="77777777" w:rsidTr="00F531E9">
        <w:trPr>
          <w:cantSplit/>
          <w:jc w:val="center"/>
        </w:trPr>
        <w:tc>
          <w:tcPr>
            <w:tcW w:w="0" w:type="auto"/>
            <w:tcBorders>
              <w:top w:val="nil"/>
              <w:left w:val="nil"/>
              <w:bottom w:val="nil"/>
              <w:right w:val="nil"/>
            </w:tcBorders>
            <w:shd w:val="clear" w:color="000000" w:fill="FBE2D5"/>
            <w:noWrap/>
            <w:hideMark/>
          </w:tcPr>
          <w:p w14:paraId="54A4B135" w14:textId="77777777" w:rsidR="00F531E9" w:rsidRPr="00F531E9" w:rsidRDefault="00F531E9" w:rsidP="00061854">
            <w:pPr>
              <w:keepNext/>
              <w:rPr>
                <w:rFonts w:ascii="Aptos Narrow" w:hAnsi="Aptos Narrow"/>
                <w:color w:val="3F3F76"/>
                <w:sz w:val="18"/>
                <w:szCs w:val="18"/>
              </w:rPr>
            </w:pPr>
            <w:r w:rsidRPr="00F531E9">
              <w:rPr>
                <w:rFonts w:ascii="Aptos Narrow" w:hAnsi="Aptos Narrow"/>
                <w:color w:val="3F3F76"/>
                <w:sz w:val="18"/>
                <w:szCs w:val="18"/>
              </w:rPr>
              <w:t>Região Geográfica Imediata Campos dos Goytacazes</w:t>
            </w:r>
          </w:p>
        </w:tc>
        <w:tc>
          <w:tcPr>
            <w:tcW w:w="0" w:type="auto"/>
            <w:tcBorders>
              <w:top w:val="nil"/>
              <w:left w:val="nil"/>
              <w:bottom w:val="nil"/>
              <w:right w:val="nil"/>
            </w:tcBorders>
            <w:shd w:val="clear" w:color="000000" w:fill="FBE2D5"/>
            <w:noWrap/>
            <w:hideMark/>
          </w:tcPr>
          <w:p w14:paraId="4D2F267B"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44.324</w:t>
            </w:r>
          </w:p>
        </w:tc>
        <w:tc>
          <w:tcPr>
            <w:tcW w:w="0" w:type="auto"/>
            <w:tcBorders>
              <w:top w:val="nil"/>
              <w:left w:val="nil"/>
              <w:bottom w:val="nil"/>
              <w:right w:val="nil"/>
            </w:tcBorders>
            <w:shd w:val="clear" w:color="000000" w:fill="FBE2D5"/>
            <w:noWrap/>
            <w:hideMark/>
          </w:tcPr>
          <w:p w14:paraId="24E40990"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14.476</w:t>
            </w:r>
          </w:p>
        </w:tc>
        <w:tc>
          <w:tcPr>
            <w:tcW w:w="0" w:type="auto"/>
            <w:tcBorders>
              <w:top w:val="nil"/>
              <w:left w:val="nil"/>
              <w:bottom w:val="nil"/>
              <w:right w:val="nil"/>
            </w:tcBorders>
            <w:shd w:val="clear" w:color="000000" w:fill="FBE2D5"/>
            <w:noWrap/>
            <w:hideMark/>
          </w:tcPr>
          <w:p w14:paraId="5B4F9AB9"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29.848</w:t>
            </w:r>
          </w:p>
        </w:tc>
      </w:tr>
      <w:tr w:rsidR="00F531E9" w:rsidRPr="00F531E9" w14:paraId="430184B4" w14:textId="77777777" w:rsidTr="00F531E9">
        <w:trPr>
          <w:cantSplit/>
          <w:jc w:val="center"/>
        </w:trPr>
        <w:tc>
          <w:tcPr>
            <w:tcW w:w="0" w:type="auto"/>
            <w:tcBorders>
              <w:top w:val="nil"/>
              <w:left w:val="nil"/>
              <w:bottom w:val="nil"/>
              <w:right w:val="nil"/>
            </w:tcBorders>
            <w:noWrap/>
            <w:hideMark/>
          </w:tcPr>
          <w:p w14:paraId="5E1A2923" w14:textId="77777777" w:rsidR="00F531E9" w:rsidRPr="00F531E9" w:rsidRDefault="00F531E9" w:rsidP="00061854">
            <w:pPr>
              <w:keepNext/>
              <w:rPr>
                <w:rFonts w:ascii="Aptos Narrow" w:hAnsi="Aptos Narrow"/>
                <w:color w:val="000000"/>
                <w:sz w:val="18"/>
                <w:szCs w:val="18"/>
              </w:rPr>
            </w:pPr>
            <w:r w:rsidRPr="00F531E9">
              <w:rPr>
                <w:rFonts w:ascii="Aptos Narrow" w:hAnsi="Aptos Narrow"/>
                <w:color w:val="000000"/>
                <w:sz w:val="18"/>
                <w:szCs w:val="18"/>
              </w:rPr>
              <w:t>Campos dos Goytacazes</w:t>
            </w:r>
          </w:p>
        </w:tc>
        <w:tc>
          <w:tcPr>
            <w:tcW w:w="0" w:type="auto"/>
            <w:tcBorders>
              <w:top w:val="nil"/>
              <w:left w:val="nil"/>
              <w:bottom w:val="nil"/>
              <w:right w:val="nil"/>
            </w:tcBorders>
            <w:noWrap/>
            <w:hideMark/>
          </w:tcPr>
          <w:p w14:paraId="2CA91143"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32.151</w:t>
            </w:r>
          </w:p>
        </w:tc>
        <w:tc>
          <w:tcPr>
            <w:tcW w:w="0" w:type="auto"/>
            <w:tcBorders>
              <w:top w:val="nil"/>
              <w:left w:val="nil"/>
              <w:bottom w:val="nil"/>
              <w:right w:val="nil"/>
            </w:tcBorders>
            <w:noWrap/>
            <w:hideMark/>
          </w:tcPr>
          <w:p w14:paraId="6D08003E"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9.850</w:t>
            </w:r>
          </w:p>
        </w:tc>
        <w:tc>
          <w:tcPr>
            <w:tcW w:w="0" w:type="auto"/>
            <w:tcBorders>
              <w:top w:val="nil"/>
              <w:left w:val="nil"/>
              <w:bottom w:val="nil"/>
              <w:right w:val="nil"/>
            </w:tcBorders>
            <w:noWrap/>
            <w:hideMark/>
          </w:tcPr>
          <w:p w14:paraId="66FE409C"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22.301</w:t>
            </w:r>
          </w:p>
        </w:tc>
      </w:tr>
      <w:tr w:rsidR="00F531E9" w:rsidRPr="00F531E9" w14:paraId="7A101F8E" w14:textId="77777777" w:rsidTr="00F531E9">
        <w:trPr>
          <w:cantSplit/>
          <w:jc w:val="center"/>
        </w:trPr>
        <w:tc>
          <w:tcPr>
            <w:tcW w:w="0" w:type="auto"/>
            <w:tcBorders>
              <w:top w:val="nil"/>
              <w:left w:val="nil"/>
              <w:bottom w:val="nil"/>
              <w:right w:val="nil"/>
            </w:tcBorders>
            <w:noWrap/>
            <w:hideMark/>
          </w:tcPr>
          <w:p w14:paraId="2C4CB3AD" w14:textId="77777777" w:rsidR="00F531E9" w:rsidRPr="00F531E9" w:rsidRDefault="00F531E9" w:rsidP="00061854">
            <w:pPr>
              <w:keepNext/>
              <w:rPr>
                <w:rFonts w:ascii="Aptos Narrow" w:hAnsi="Aptos Narrow"/>
                <w:color w:val="000000"/>
                <w:sz w:val="18"/>
                <w:szCs w:val="18"/>
              </w:rPr>
            </w:pPr>
            <w:r w:rsidRPr="00F531E9">
              <w:rPr>
                <w:rFonts w:ascii="Aptos Narrow" w:hAnsi="Aptos Narrow"/>
                <w:color w:val="000000"/>
                <w:sz w:val="18"/>
                <w:szCs w:val="18"/>
              </w:rPr>
              <w:t>Cardoso Moreira</w:t>
            </w:r>
          </w:p>
        </w:tc>
        <w:tc>
          <w:tcPr>
            <w:tcW w:w="0" w:type="auto"/>
            <w:tcBorders>
              <w:top w:val="nil"/>
              <w:left w:val="nil"/>
              <w:bottom w:val="nil"/>
              <w:right w:val="nil"/>
            </w:tcBorders>
            <w:noWrap/>
            <w:hideMark/>
          </w:tcPr>
          <w:p w14:paraId="1595B5DD"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705</w:t>
            </w:r>
          </w:p>
        </w:tc>
        <w:tc>
          <w:tcPr>
            <w:tcW w:w="0" w:type="auto"/>
            <w:tcBorders>
              <w:top w:val="nil"/>
              <w:left w:val="nil"/>
              <w:bottom w:val="nil"/>
              <w:right w:val="nil"/>
            </w:tcBorders>
            <w:noWrap/>
            <w:hideMark/>
          </w:tcPr>
          <w:p w14:paraId="2B6E93BD"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-90</w:t>
            </w:r>
          </w:p>
        </w:tc>
        <w:tc>
          <w:tcPr>
            <w:tcW w:w="0" w:type="auto"/>
            <w:tcBorders>
              <w:top w:val="nil"/>
              <w:left w:val="nil"/>
              <w:bottom w:val="nil"/>
              <w:right w:val="nil"/>
            </w:tcBorders>
            <w:noWrap/>
            <w:hideMark/>
          </w:tcPr>
          <w:p w14:paraId="4C2672D4"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795</w:t>
            </w:r>
          </w:p>
        </w:tc>
      </w:tr>
      <w:tr w:rsidR="00F531E9" w:rsidRPr="00F531E9" w14:paraId="78E47C9A" w14:textId="77777777" w:rsidTr="00F531E9">
        <w:trPr>
          <w:cantSplit/>
          <w:jc w:val="center"/>
        </w:trPr>
        <w:tc>
          <w:tcPr>
            <w:tcW w:w="0" w:type="auto"/>
            <w:tcBorders>
              <w:top w:val="nil"/>
              <w:left w:val="nil"/>
              <w:bottom w:val="nil"/>
              <w:right w:val="nil"/>
            </w:tcBorders>
            <w:noWrap/>
            <w:hideMark/>
          </w:tcPr>
          <w:p w14:paraId="5797840B" w14:textId="77777777" w:rsidR="00F531E9" w:rsidRPr="00F531E9" w:rsidRDefault="00F531E9" w:rsidP="00061854">
            <w:pPr>
              <w:keepNext/>
              <w:rPr>
                <w:rFonts w:ascii="Aptos Narrow" w:hAnsi="Aptos Narrow"/>
                <w:color w:val="000000"/>
                <w:sz w:val="18"/>
                <w:szCs w:val="18"/>
              </w:rPr>
            </w:pPr>
            <w:r w:rsidRPr="00F531E9">
              <w:rPr>
                <w:rFonts w:ascii="Aptos Narrow" w:hAnsi="Aptos Narrow"/>
                <w:color w:val="000000"/>
                <w:sz w:val="18"/>
                <w:szCs w:val="18"/>
              </w:rPr>
              <w:t>Italva</w:t>
            </w:r>
          </w:p>
        </w:tc>
        <w:tc>
          <w:tcPr>
            <w:tcW w:w="0" w:type="auto"/>
            <w:tcBorders>
              <w:top w:val="nil"/>
              <w:left w:val="nil"/>
              <w:bottom w:val="nil"/>
              <w:right w:val="nil"/>
            </w:tcBorders>
            <w:noWrap/>
            <w:hideMark/>
          </w:tcPr>
          <w:p w14:paraId="6AB184C4"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690</w:t>
            </w:r>
          </w:p>
        </w:tc>
        <w:tc>
          <w:tcPr>
            <w:tcW w:w="0" w:type="auto"/>
            <w:tcBorders>
              <w:top w:val="nil"/>
              <w:left w:val="nil"/>
              <w:bottom w:val="nil"/>
              <w:right w:val="nil"/>
            </w:tcBorders>
            <w:noWrap/>
            <w:hideMark/>
          </w:tcPr>
          <w:p w14:paraId="373F4D30"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352</w:t>
            </w:r>
          </w:p>
        </w:tc>
        <w:tc>
          <w:tcPr>
            <w:tcW w:w="0" w:type="auto"/>
            <w:tcBorders>
              <w:top w:val="nil"/>
              <w:left w:val="nil"/>
              <w:bottom w:val="nil"/>
              <w:right w:val="nil"/>
            </w:tcBorders>
            <w:noWrap/>
            <w:hideMark/>
          </w:tcPr>
          <w:p w14:paraId="1280F931"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338</w:t>
            </w:r>
          </w:p>
        </w:tc>
      </w:tr>
      <w:tr w:rsidR="00F531E9" w:rsidRPr="00F531E9" w14:paraId="645FA648" w14:textId="77777777" w:rsidTr="00F531E9">
        <w:trPr>
          <w:cantSplit/>
          <w:jc w:val="center"/>
        </w:trPr>
        <w:tc>
          <w:tcPr>
            <w:tcW w:w="0" w:type="auto"/>
            <w:tcBorders>
              <w:top w:val="nil"/>
              <w:left w:val="nil"/>
              <w:bottom w:val="nil"/>
              <w:right w:val="nil"/>
            </w:tcBorders>
            <w:noWrap/>
            <w:hideMark/>
          </w:tcPr>
          <w:p w14:paraId="708D1BCD" w14:textId="77777777" w:rsidR="00F531E9" w:rsidRPr="00F531E9" w:rsidRDefault="00F531E9" w:rsidP="00061854">
            <w:pPr>
              <w:keepNext/>
              <w:rPr>
                <w:rFonts w:ascii="Aptos Narrow" w:hAnsi="Aptos Narrow"/>
                <w:color w:val="000000"/>
                <w:sz w:val="18"/>
                <w:szCs w:val="18"/>
              </w:rPr>
            </w:pPr>
            <w:r w:rsidRPr="00F531E9">
              <w:rPr>
                <w:rFonts w:ascii="Aptos Narrow" w:hAnsi="Aptos Narrow"/>
                <w:color w:val="000000"/>
                <w:sz w:val="18"/>
                <w:szCs w:val="18"/>
              </w:rPr>
              <w:t>São Fidélis</w:t>
            </w:r>
          </w:p>
        </w:tc>
        <w:tc>
          <w:tcPr>
            <w:tcW w:w="0" w:type="auto"/>
            <w:tcBorders>
              <w:top w:val="nil"/>
              <w:left w:val="nil"/>
              <w:bottom w:val="nil"/>
              <w:right w:val="nil"/>
            </w:tcBorders>
            <w:noWrap/>
            <w:hideMark/>
          </w:tcPr>
          <w:p w14:paraId="70706B0D"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-77</w:t>
            </w:r>
          </w:p>
        </w:tc>
        <w:tc>
          <w:tcPr>
            <w:tcW w:w="0" w:type="auto"/>
            <w:tcBorders>
              <w:top w:val="nil"/>
              <w:left w:val="nil"/>
              <w:bottom w:val="nil"/>
              <w:right w:val="nil"/>
            </w:tcBorders>
            <w:noWrap/>
            <w:hideMark/>
          </w:tcPr>
          <w:p w14:paraId="23C7BB00"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-762</w:t>
            </w:r>
          </w:p>
        </w:tc>
        <w:tc>
          <w:tcPr>
            <w:tcW w:w="0" w:type="auto"/>
            <w:tcBorders>
              <w:top w:val="nil"/>
              <w:left w:val="nil"/>
              <w:bottom w:val="nil"/>
              <w:right w:val="nil"/>
            </w:tcBorders>
            <w:noWrap/>
            <w:hideMark/>
          </w:tcPr>
          <w:p w14:paraId="405DAA6B"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685</w:t>
            </w:r>
          </w:p>
        </w:tc>
      </w:tr>
      <w:tr w:rsidR="00F531E9" w:rsidRPr="00F531E9" w14:paraId="20F49689" w14:textId="77777777" w:rsidTr="00F531E9">
        <w:trPr>
          <w:cantSplit/>
          <w:jc w:val="center"/>
        </w:trPr>
        <w:tc>
          <w:tcPr>
            <w:tcW w:w="0" w:type="auto"/>
            <w:tcBorders>
              <w:top w:val="nil"/>
              <w:left w:val="nil"/>
              <w:bottom w:val="nil"/>
              <w:right w:val="nil"/>
            </w:tcBorders>
            <w:noWrap/>
            <w:hideMark/>
          </w:tcPr>
          <w:p w14:paraId="447B0913" w14:textId="77777777" w:rsidR="00F531E9" w:rsidRPr="00F531E9" w:rsidRDefault="00F531E9" w:rsidP="00061854">
            <w:pPr>
              <w:keepNext/>
              <w:rPr>
                <w:rFonts w:ascii="Aptos Narrow" w:hAnsi="Aptos Narrow"/>
                <w:color w:val="000000"/>
                <w:sz w:val="18"/>
                <w:szCs w:val="18"/>
              </w:rPr>
            </w:pPr>
            <w:r w:rsidRPr="00F531E9">
              <w:rPr>
                <w:rFonts w:ascii="Aptos Narrow" w:hAnsi="Aptos Narrow"/>
                <w:color w:val="000000"/>
                <w:sz w:val="18"/>
                <w:szCs w:val="18"/>
              </w:rPr>
              <w:t>São Francisco de Itabapoana</w:t>
            </w:r>
          </w:p>
        </w:tc>
        <w:tc>
          <w:tcPr>
            <w:tcW w:w="0" w:type="auto"/>
            <w:tcBorders>
              <w:top w:val="nil"/>
              <w:left w:val="nil"/>
              <w:bottom w:val="nil"/>
              <w:right w:val="nil"/>
            </w:tcBorders>
            <w:noWrap/>
            <w:hideMark/>
          </w:tcPr>
          <w:p w14:paraId="3F17ED7A"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2.382</w:t>
            </w:r>
          </w:p>
        </w:tc>
        <w:tc>
          <w:tcPr>
            <w:tcW w:w="0" w:type="auto"/>
            <w:tcBorders>
              <w:top w:val="nil"/>
              <w:left w:val="nil"/>
              <w:bottom w:val="nil"/>
              <w:right w:val="nil"/>
            </w:tcBorders>
            <w:noWrap/>
            <w:hideMark/>
          </w:tcPr>
          <w:p w14:paraId="13FE376A"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390</w:t>
            </w:r>
          </w:p>
        </w:tc>
        <w:tc>
          <w:tcPr>
            <w:tcW w:w="0" w:type="auto"/>
            <w:tcBorders>
              <w:top w:val="nil"/>
              <w:left w:val="nil"/>
              <w:bottom w:val="nil"/>
              <w:right w:val="nil"/>
            </w:tcBorders>
            <w:noWrap/>
            <w:hideMark/>
          </w:tcPr>
          <w:p w14:paraId="1AA0AC09"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1.992</w:t>
            </w:r>
          </w:p>
        </w:tc>
      </w:tr>
      <w:tr w:rsidR="00F531E9" w:rsidRPr="00F531E9" w14:paraId="6E7CE89D" w14:textId="77777777" w:rsidTr="00F531E9">
        <w:trPr>
          <w:cantSplit/>
          <w:jc w:val="center"/>
        </w:trPr>
        <w:tc>
          <w:tcPr>
            <w:tcW w:w="0" w:type="auto"/>
            <w:tcBorders>
              <w:top w:val="nil"/>
              <w:left w:val="nil"/>
              <w:bottom w:val="nil"/>
              <w:right w:val="nil"/>
            </w:tcBorders>
            <w:noWrap/>
            <w:hideMark/>
          </w:tcPr>
          <w:p w14:paraId="623FC143" w14:textId="77777777" w:rsidR="00F531E9" w:rsidRPr="00F531E9" w:rsidRDefault="00F531E9" w:rsidP="00061854">
            <w:pPr>
              <w:keepNext/>
              <w:rPr>
                <w:rFonts w:ascii="Aptos Narrow" w:hAnsi="Aptos Narrow"/>
                <w:color w:val="000000"/>
                <w:sz w:val="18"/>
                <w:szCs w:val="18"/>
              </w:rPr>
            </w:pPr>
            <w:r w:rsidRPr="00F531E9">
              <w:rPr>
                <w:rFonts w:ascii="Aptos Narrow" w:hAnsi="Aptos Narrow"/>
                <w:color w:val="000000"/>
                <w:sz w:val="18"/>
                <w:szCs w:val="18"/>
              </w:rPr>
              <w:t>São João da Barra</w:t>
            </w:r>
          </w:p>
        </w:tc>
        <w:tc>
          <w:tcPr>
            <w:tcW w:w="0" w:type="auto"/>
            <w:tcBorders>
              <w:top w:val="nil"/>
              <w:left w:val="nil"/>
              <w:bottom w:val="nil"/>
              <w:right w:val="nil"/>
            </w:tcBorders>
            <w:noWrap/>
            <w:hideMark/>
          </w:tcPr>
          <w:p w14:paraId="42E609B9"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8.473</w:t>
            </w:r>
          </w:p>
        </w:tc>
        <w:tc>
          <w:tcPr>
            <w:tcW w:w="0" w:type="auto"/>
            <w:tcBorders>
              <w:top w:val="nil"/>
              <w:left w:val="nil"/>
              <w:bottom w:val="nil"/>
              <w:right w:val="nil"/>
            </w:tcBorders>
            <w:noWrap/>
            <w:hideMark/>
          </w:tcPr>
          <w:p w14:paraId="0E0FC4A5"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4.480</w:t>
            </w:r>
          </w:p>
        </w:tc>
        <w:tc>
          <w:tcPr>
            <w:tcW w:w="0" w:type="auto"/>
            <w:tcBorders>
              <w:top w:val="nil"/>
              <w:left w:val="nil"/>
              <w:bottom w:val="nil"/>
              <w:right w:val="nil"/>
            </w:tcBorders>
            <w:noWrap/>
            <w:hideMark/>
          </w:tcPr>
          <w:p w14:paraId="0DF79788"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3.993</w:t>
            </w:r>
          </w:p>
        </w:tc>
      </w:tr>
      <w:tr w:rsidR="00F531E9" w:rsidRPr="00F531E9" w14:paraId="6958F782" w14:textId="77777777" w:rsidTr="00F531E9">
        <w:trPr>
          <w:cantSplit/>
          <w:jc w:val="center"/>
        </w:trPr>
        <w:tc>
          <w:tcPr>
            <w:tcW w:w="0" w:type="auto"/>
            <w:tcBorders>
              <w:top w:val="nil"/>
              <w:left w:val="nil"/>
              <w:bottom w:val="nil"/>
              <w:right w:val="nil"/>
            </w:tcBorders>
            <w:shd w:val="clear" w:color="000000" w:fill="FBE2D5"/>
            <w:noWrap/>
            <w:hideMark/>
          </w:tcPr>
          <w:p w14:paraId="48F4AF51" w14:textId="77777777" w:rsidR="00F531E9" w:rsidRPr="00F531E9" w:rsidRDefault="00F531E9" w:rsidP="00061854">
            <w:pPr>
              <w:keepNext/>
              <w:rPr>
                <w:rFonts w:ascii="Aptos Narrow" w:hAnsi="Aptos Narrow"/>
                <w:color w:val="3F3F76"/>
                <w:sz w:val="18"/>
                <w:szCs w:val="18"/>
              </w:rPr>
            </w:pPr>
            <w:r w:rsidRPr="00F531E9">
              <w:rPr>
                <w:rFonts w:ascii="Aptos Narrow" w:hAnsi="Aptos Narrow"/>
                <w:color w:val="3F3F76"/>
                <w:sz w:val="18"/>
                <w:szCs w:val="18"/>
              </w:rPr>
              <w:t>Região Geográfica Imediata Itaperuna</w:t>
            </w:r>
          </w:p>
        </w:tc>
        <w:tc>
          <w:tcPr>
            <w:tcW w:w="0" w:type="auto"/>
            <w:tcBorders>
              <w:top w:val="nil"/>
              <w:left w:val="nil"/>
              <w:bottom w:val="nil"/>
              <w:right w:val="nil"/>
            </w:tcBorders>
            <w:shd w:val="clear" w:color="000000" w:fill="FBE2D5"/>
            <w:noWrap/>
            <w:hideMark/>
          </w:tcPr>
          <w:p w14:paraId="6DF69FFF"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14.552</w:t>
            </w:r>
          </w:p>
        </w:tc>
        <w:tc>
          <w:tcPr>
            <w:tcW w:w="0" w:type="auto"/>
            <w:tcBorders>
              <w:top w:val="nil"/>
              <w:left w:val="nil"/>
              <w:bottom w:val="nil"/>
              <w:right w:val="nil"/>
            </w:tcBorders>
            <w:shd w:val="clear" w:color="000000" w:fill="FBE2D5"/>
            <w:noWrap/>
            <w:hideMark/>
          </w:tcPr>
          <w:p w14:paraId="2964F738"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5.973</w:t>
            </w:r>
          </w:p>
        </w:tc>
        <w:tc>
          <w:tcPr>
            <w:tcW w:w="0" w:type="auto"/>
            <w:tcBorders>
              <w:top w:val="nil"/>
              <w:left w:val="nil"/>
              <w:bottom w:val="nil"/>
              <w:right w:val="nil"/>
            </w:tcBorders>
            <w:shd w:val="clear" w:color="000000" w:fill="FBE2D5"/>
            <w:noWrap/>
            <w:hideMark/>
          </w:tcPr>
          <w:p w14:paraId="216CE34E"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8.579</w:t>
            </w:r>
          </w:p>
        </w:tc>
      </w:tr>
      <w:tr w:rsidR="00F531E9" w:rsidRPr="00F531E9" w14:paraId="7FB0409A" w14:textId="77777777" w:rsidTr="00F531E9">
        <w:trPr>
          <w:cantSplit/>
          <w:jc w:val="center"/>
        </w:trPr>
        <w:tc>
          <w:tcPr>
            <w:tcW w:w="0" w:type="auto"/>
            <w:tcBorders>
              <w:top w:val="nil"/>
              <w:left w:val="nil"/>
              <w:bottom w:val="nil"/>
              <w:right w:val="nil"/>
            </w:tcBorders>
            <w:noWrap/>
            <w:hideMark/>
          </w:tcPr>
          <w:p w14:paraId="151C1DB5" w14:textId="77777777" w:rsidR="00F531E9" w:rsidRPr="00F531E9" w:rsidRDefault="00F531E9" w:rsidP="00061854">
            <w:pPr>
              <w:keepNext/>
              <w:rPr>
                <w:rFonts w:ascii="Aptos Narrow" w:hAnsi="Aptos Narrow"/>
                <w:color w:val="000000"/>
                <w:sz w:val="18"/>
                <w:szCs w:val="18"/>
              </w:rPr>
            </w:pPr>
            <w:r w:rsidRPr="00F531E9">
              <w:rPr>
                <w:rFonts w:ascii="Aptos Narrow" w:hAnsi="Aptos Narrow"/>
                <w:color w:val="000000"/>
                <w:sz w:val="18"/>
                <w:szCs w:val="18"/>
              </w:rPr>
              <w:t>Bom Jesus do Itabapoana</w:t>
            </w:r>
          </w:p>
        </w:tc>
        <w:tc>
          <w:tcPr>
            <w:tcW w:w="0" w:type="auto"/>
            <w:tcBorders>
              <w:top w:val="nil"/>
              <w:left w:val="nil"/>
              <w:bottom w:val="nil"/>
              <w:right w:val="nil"/>
            </w:tcBorders>
            <w:noWrap/>
            <w:hideMark/>
          </w:tcPr>
          <w:p w14:paraId="72AC564F"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1.246</w:t>
            </w:r>
          </w:p>
        </w:tc>
        <w:tc>
          <w:tcPr>
            <w:tcW w:w="0" w:type="auto"/>
            <w:tcBorders>
              <w:top w:val="nil"/>
              <w:left w:val="nil"/>
              <w:bottom w:val="nil"/>
              <w:right w:val="nil"/>
            </w:tcBorders>
            <w:noWrap/>
            <w:hideMark/>
          </w:tcPr>
          <w:p w14:paraId="5877FF52"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235</w:t>
            </w:r>
          </w:p>
        </w:tc>
        <w:tc>
          <w:tcPr>
            <w:tcW w:w="0" w:type="auto"/>
            <w:tcBorders>
              <w:top w:val="nil"/>
              <w:left w:val="nil"/>
              <w:bottom w:val="nil"/>
              <w:right w:val="nil"/>
            </w:tcBorders>
            <w:noWrap/>
            <w:hideMark/>
          </w:tcPr>
          <w:p w14:paraId="0E8AD8EA"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1.011</w:t>
            </w:r>
          </w:p>
        </w:tc>
      </w:tr>
      <w:tr w:rsidR="00F531E9" w:rsidRPr="00F531E9" w14:paraId="297BB3DC" w14:textId="77777777" w:rsidTr="00F531E9">
        <w:trPr>
          <w:cantSplit/>
          <w:jc w:val="center"/>
        </w:trPr>
        <w:tc>
          <w:tcPr>
            <w:tcW w:w="0" w:type="auto"/>
            <w:tcBorders>
              <w:top w:val="nil"/>
              <w:left w:val="nil"/>
              <w:bottom w:val="nil"/>
              <w:right w:val="nil"/>
            </w:tcBorders>
            <w:noWrap/>
            <w:hideMark/>
          </w:tcPr>
          <w:p w14:paraId="27AB4B9C" w14:textId="77777777" w:rsidR="00F531E9" w:rsidRPr="00F531E9" w:rsidRDefault="00F531E9" w:rsidP="00061854">
            <w:pPr>
              <w:keepNext/>
              <w:rPr>
                <w:rFonts w:ascii="Aptos Narrow" w:hAnsi="Aptos Narrow"/>
                <w:color w:val="000000"/>
                <w:sz w:val="18"/>
                <w:szCs w:val="18"/>
              </w:rPr>
            </w:pPr>
            <w:r w:rsidRPr="00F531E9">
              <w:rPr>
                <w:rFonts w:ascii="Aptos Narrow" w:hAnsi="Aptos Narrow"/>
                <w:color w:val="000000"/>
                <w:sz w:val="18"/>
                <w:szCs w:val="18"/>
              </w:rPr>
              <w:t>Itaperuna</w:t>
            </w:r>
          </w:p>
        </w:tc>
        <w:tc>
          <w:tcPr>
            <w:tcW w:w="0" w:type="auto"/>
            <w:tcBorders>
              <w:top w:val="nil"/>
              <w:left w:val="nil"/>
              <w:bottom w:val="nil"/>
              <w:right w:val="nil"/>
            </w:tcBorders>
            <w:noWrap/>
            <w:hideMark/>
          </w:tcPr>
          <w:p w14:paraId="7180564B"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10.473</w:t>
            </w:r>
          </w:p>
        </w:tc>
        <w:tc>
          <w:tcPr>
            <w:tcW w:w="0" w:type="auto"/>
            <w:tcBorders>
              <w:top w:val="nil"/>
              <w:left w:val="nil"/>
              <w:bottom w:val="nil"/>
              <w:right w:val="nil"/>
            </w:tcBorders>
            <w:noWrap/>
            <w:hideMark/>
          </w:tcPr>
          <w:p w14:paraId="637B650B"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4.464</w:t>
            </w:r>
          </w:p>
        </w:tc>
        <w:tc>
          <w:tcPr>
            <w:tcW w:w="0" w:type="auto"/>
            <w:tcBorders>
              <w:top w:val="nil"/>
              <w:left w:val="nil"/>
              <w:bottom w:val="nil"/>
              <w:right w:val="nil"/>
            </w:tcBorders>
            <w:noWrap/>
            <w:hideMark/>
          </w:tcPr>
          <w:p w14:paraId="0FE0431F"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6.009</w:t>
            </w:r>
          </w:p>
        </w:tc>
      </w:tr>
      <w:tr w:rsidR="00F531E9" w:rsidRPr="00F531E9" w14:paraId="175AD2D6" w14:textId="77777777" w:rsidTr="00F531E9">
        <w:trPr>
          <w:cantSplit/>
          <w:jc w:val="center"/>
        </w:trPr>
        <w:tc>
          <w:tcPr>
            <w:tcW w:w="0" w:type="auto"/>
            <w:tcBorders>
              <w:top w:val="nil"/>
              <w:left w:val="nil"/>
              <w:bottom w:val="nil"/>
              <w:right w:val="nil"/>
            </w:tcBorders>
            <w:noWrap/>
            <w:hideMark/>
          </w:tcPr>
          <w:p w14:paraId="09AFD039" w14:textId="77777777" w:rsidR="00F531E9" w:rsidRPr="00F531E9" w:rsidRDefault="00F531E9" w:rsidP="00061854">
            <w:pPr>
              <w:keepNext/>
              <w:rPr>
                <w:rFonts w:ascii="Aptos Narrow" w:hAnsi="Aptos Narrow"/>
                <w:color w:val="000000"/>
                <w:sz w:val="18"/>
                <w:szCs w:val="18"/>
              </w:rPr>
            </w:pPr>
            <w:r w:rsidRPr="00F531E9">
              <w:rPr>
                <w:rFonts w:ascii="Aptos Narrow" w:hAnsi="Aptos Narrow"/>
                <w:color w:val="000000"/>
                <w:sz w:val="18"/>
                <w:szCs w:val="18"/>
              </w:rPr>
              <w:t>Laje do Muriaé</w:t>
            </w:r>
          </w:p>
        </w:tc>
        <w:tc>
          <w:tcPr>
            <w:tcW w:w="0" w:type="auto"/>
            <w:tcBorders>
              <w:top w:val="nil"/>
              <w:left w:val="nil"/>
              <w:bottom w:val="nil"/>
              <w:right w:val="nil"/>
            </w:tcBorders>
            <w:noWrap/>
            <w:hideMark/>
          </w:tcPr>
          <w:p w14:paraId="38D3D141"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356</w:t>
            </w:r>
          </w:p>
        </w:tc>
        <w:tc>
          <w:tcPr>
            <w:tcW w:w="0" w:type="auto"/>
            <w:tcBorders>
              <w:top w:val="nil"/>
              <w:left w:val="nil"/>
              <w:bottom w:val="nil"/>
              <w:right w:val="nil"/>
            </w:tcBorders>
            <w:noWrap/>
            <w:hideMark/>
          </w:tcPr>
          <w:p w14:paraId="310F8D72"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365</w:t>
            </w:r>
          </w:p>
        </w:tc>
        <w:tc>
          <w:tcPr>
            <w:tcW w:w="0" w:type="auto"/>
            <w:tcBorders>
              <w:top w:val="nil"/>
              <w:left w:val="nil"/>
              <w:bottom w:val="nil"/>
              <w:right w:val="nil"/>
            </w:tcBorders>
            <w:noWrap/>
            <w:hideMark/>
          </w:tcPr>
          <w:p w14:paraId="3CB2184B"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-9</w:t>
            </w:r>
          </w:p>
        </w:tc>
      </w:tr>
      <w:tr w:rsidR="00F531E9" w:rsidRPr="00F531E9" w14:paraId="276EE5B2" w14:textId="77777777" w:rsidTr="00F531E9">
        <w:trPr>
          <w:cantSplit/>
          <w:jc w:val="center"/>
        </w:trPr>
        <w:tc>
          <w:tcPr>
            <w:tcW w:w="0" w:type="auto"/>
            <w:tcBorders>
              <w:top w:val="nil"/>
              <w:left w:val="nil"/>
              <w:bottom w:val="nil"/>
              <w:right w:val="nil"/>
            </w:tcBorders>
            <w:noWrap/>
            <w:hideMark/>
          </w:tcPr>
          <w:p w14:paraId="12570A33" w14:textId="77777777" w:rsidR="00F531E9" w:rsidRPr="00F531E9" w:rsidRDefault="00F531E9" w:rsidP="00061854">
            <w:pPr>
              <w:keepNext/>
              <w:rPr>
                <w:rFonts w:ascii="Aptos Narrow" w:hAnsi="Aptos Narrow"/>
                <w:color w:val="000000"/>
                <w:sz w:val="18"/>
                <w:szCs w:val="18"/>
              </w:rPr>
            </w:pPr>
            <w:r w:rsidRPr="00F531E9">
              <w:rPr>
                <w:rFonts w:ascii="Aptos Narrow" w:hAnsi="Aptos Narrow"/>
                <w:color w:val="000000"/>
                <w:sz w:val="18"/>
                <w:szCs w:val="18"/>
              </w:rPr>
              <w:t>Natividade</w:t>
            </w:r>
          </w:p>
        </w:tc>
        <w:tc>
          <w:tcPr>
            <w:tcW w:w="0" w:type="auto"/>
            <w:tcBorders>
              <w:top w:val="nil"/>
              <w:left w:val="nil"/>
              <w:bottom w:val="nil"/>
              <w:right w:val="nil"/>
            </w:tcBorders>
            <w:noWrap/>
            <w:hideMark/>
          </w:tcPr>
          <w:p w14:paraId="302F11AF"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639</w:t>
            </w:r>
          </w:p>
        </w:tc>
        <w:tc>
          <w:tcPr>
            <w:tcW w:w="0" w:type="auto"/>
            <w:tcBorders>
              <w:top w:val="nil"/>
              <w:left w:val="nil"/>
              <w:bottom w:val="nil"/>
              <w:right w:val="nil"/>
            </w:tcBorders>
            <w:noWrap/>
            <w:hideMark/>
          </w:tcPr>
          <w:p w14:paraId="18C6212C"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305</w:t>
            </w:r>
          </w:p>
        </w:tc>
        <w:tc>
          <w:tcPr>
            <w:tcW w:w="0" w:type="auto"/>
            <w:tcBorders>
              <w:top w:val="nil"/>
              <w:left w:val="nil"/>
              <w:bottom w:val="nil"/>
              <w:right w:val="nil"/>
            </w:tcBorders>
            <w:noWrap/>
            <w:hideMark/>
          </w:tcPr>
          <w:p w14:paraId="03F34A1D"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334</w:t>
            </w:r>
          </w:p>
        </w:tc>
      </w:tr>
      <w:tr w:rsidR="00F531E9" w:rsidRPr="00F531E9" w14:paraId="7A8B7F2A" w14:textId="77777777" w:rsidTr="00F531E9">
        <w:trPr>
          <w:cantSplit/>
          <w:jc w:val="center"/>
        </w:trPr>
        <w:tc>
          <w:tcPr>
            <w:tcW w:w="0" w:type="auto"/>
            <w:tcBorders>
              <w:top w:val="nil"/>
              <w:left w:val="nil"/>
              <w:bottom w:val="nil"/>
              <w:right w:val="nil"/>
            </w:tcBorders>
            <w:noWrap/>
            <w:hideMark/>
          </w:tcPr>
          <w:p w14:paraId="646EA91D" w14:textId="77777777" w:rsidR="00F531E9" w:rsidRPr="00F531E9" w:rsidRDefault="00F531E9" w:rsidP="00061854">
            <w:pPr>
              <w:keepNext/>
              <w:rPr>
                <w:rFonts w:ascii="Aptos Narrow" w:hAnsi="Aptos Narrow"/>
                <w:color w:val="000000"/>
                <w:sz w:val="18"/>
                <w:szCs w:val="18"/>
              </w:rPr>
            </w:pPr>
            <w:r w:rsidRPr="00F531E9">
              <w:rPr>
                <w:rFonts w:ascii="Aptos Narrow" w:hAnsi="Aptos Narrow"/>
                <w:color w:val="000000"/>
                <w:sz w:val="18"/>
                <w:szCs w:val="18"/>
              </w:rPr>
              <w:t>Porciúncula</w:t>
            </w:r>
          </w:p>
        </w:tc>
        <w:tc>
          <w:tcPr>
            <w:tcW w:w="0" w:type="auto"/>
            <w:tcBorders>
              <w:top w:val="nil"/>
              <w:left w:val="nil"/>
              <w:bottom w:val="nil"/>
              <w:right w:val="nil"/>
            </w:tcBorders>
            <w:noWrap/>
            <w:hideMark/>
          </w:tcPr>
          <w:p w14:paraId="045ABA5F"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730</w:t>
            </w:r>
          </w:p>
        </w:tc>
        <w:tc>
          <w:tcPr>
            <w:tcW w:w="0" w:type="auto"/>
            <w:tcBorders>
              <w:top w:val="nil"/>
              <w:left w:val="nil"/>
              <w:bottom w:val="nil"/>
              <w:right w:val="nil"/>
            </w:tcBorders>
            <w:noWrap/>
            <w:hideMark/>
          </w:tcPr>
          <w:p w14:paraId="27AC7327"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515</w:t>
            </w:r>
          </w:p>
        </w:tc>
        <w:tc>
          <w:tcPr>
            <w:tcW w:w="0" w:type="auto"/>
            <w:tcBorders>
              <w:top w:val="nil"/>
              <w:left w:val="nil"/>
              <w:bottom w:val="nil"/>
              <w:right w:val="nil"/>
            </w:tcBorders>
            <w:noWrap/>
            <w:hideMark/>
          </w:tcPr>
          <w:p w14:paraId="1DCA7231"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215</w:t>
            </w:r>
          </w:p>
        </w:tc>
      </w:tr>
      <w:tr w:rsidR="00F531E9" w:rsidRPr="00F531E9" w14:paraId="4C942B63" w14:textId="77777777" w:rsidTr="00F531E9">
        <w:trPr>
          <w:cantSplit/>
          <w:jc w:val="center"/>
        </w:trPr>
        <w:tc>
          <w:tcPr>
            <w:tcW w:w="0" w:type="auto"/>
            <w:tcBorders>
              <w:top w:val="nil"/>
              <w:left w:val="nil"/>
              <w:bottom w:val="nil"/>
              <w:right w:val="nil"/>
            </w:tcBorders>
            <w:noWrap/>
            <w:hideMark/>
          </w:tcPr>
          <w:p w14:paraId="549A6565" w14:textId="77777777" w:rsidR="00F531E9" w:rsidRPr="00F531E9" w:rsidRDefault="00F531E9" w:rsidP="00061854">
            <w:pPr>
              <w:keepNext/>
              <w:rPr>
                <w:rFonts w:ascii="Aptos Narrow" w:hAnsi="Aptos Narrow"/>
                <w:color w:val="000000"/>
                <w:sz w:val="18"/>
                <w:szCs w:val="18"/>
              </w:rPr>
            </w:pPr>
            <w:r w:rsidRPr="00F531E9">
              <w:rPr>
                <w:rFonts w:ascii="Aptos Narrow" w:hAnsi="Aptos Narrow"/>
                <w:color w:val="000000"/>
                <w:sz w:val="18"/>
                <w:szCs w:val="18"/>
              </w:rPr>
              <w:t>São José de Ubá</w:t>
            </w:r>
          </w:p>
        </w:tc>
        <w:tc>
          <w:tcPr>
            <w:tcW w:w="0" w:type="auto"/>
            <w:tcBorders>
              <w:top w:val="nil"/>
              <w:left w:val="nil"/>
              <w:bottom w:val="nil"/>
              <w:right w:val="nil"/>
            </w:tcBorders>
            <w:noWrap/>
            <w:hideMark/>
          </w:tcPr>
          <w:p w14:paraId="4230A630"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811</w:t>
            </w:r>
          </w:p>
        </w:tc>
        <w:tc>
          <w:tcPr>
            <w:tcW w:w="0" w:type="auto"/>
            <w:tcBorders>
              <w:top w:val="nil"/>
              <w:left w:val="nil"/>
              <w:bottom w:val="nil"/>
              <w:right w:val="nil"/>
            </w:tcBorders>
            <w:noWrap/>
            <w:hideMark/>
          </w:tcPr>
          <w:p w14:paraId="5F6458C0"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310</w:t>
            </w:r>
          </w:p>
        </w:tc>
        <w:tc>
          <w:tcPr>
            <w:tcW w:w="0" w:type="auto"/>
            <w:tcBorders>
              <w:top w:val="nil"/>
              <w:left w:val="nil"/>
              <w:bottom w:val="nil"/>
              <w:right w:val="nil"/>
            </w:tcBorders>
            <w:noWrap/>
            <w:hideMark/>
          </w:tcPr>
          <w:p w14:paraId="27ADAB5F"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501</w:t>
            </w:r>
          </w:p>
        </w:tc>
      </w:tr>
      <w:tr w:rsidR="00F531E9" w:rsidRPr="00F531E9" w14:paraId="19CAAEC5" w14:textId="77777777" w:rsidTr="00F531E9">
        <w:trPr>
          <w:cantSplit/>
          <w:jc w:val="center"/>
        </w:trPr>
        <w:tc>
          <w:tcPr>
            <w:tcW w:w="0" w:type="auto"/>
            <w:tcBorders>
              <w:top w:val="nil"/>
              <w:left w:val="nil"/>
              <w:bottom w:val="nil"/>
              <w:right w:val="nil"/>
            </w:tcBorders>
            <w:noWrap/>
            <w:hideMark/>
          </w:tcPr>
          <w:p w14:paraId="6B514091" w14:textId="77777777" w:rsidR="00F531E9" w:rsidRPr="00F531E9" w:rsidRDefault="00F531E9" w:rsidP="00061854">
            <w:pPr>
              <w:keepNext/>
              <w:rPr>
                <w:rFonts w:ascii="Aptos Narrow" w:hAnsi="Aptos Narrow"/>
                <w:color w:val="000000"/>
                <w:sz w:val="18"/>
                <w:szCs w:val="18"/>
              </w:rPr>
            </w:pPr>
            <w:r w:rsidRPr="00F531E9">
              <w:rPr>
                <w:rFonts w:ascii="Aptos Narrow" w:hAnsi="Aptos Narrow"/>
                <w:color w:val="000000"/>
                <w:sz w:val="18"/>
                <w:szCs w:val="18"/>
              </w:rPr>
              <w:t>Varre-Sai</w:t>
            </w:r>
          </w:p>
        </w:tc>
        <w:tc>
          <w:tcPr>
            <w:tcW w:w="0" w:type="auto"/>
            <w:tcBorders>
              <w:top w:val="nil"/>
              <w:left w:val="nil"/>
              <w:bottom w:val="nil"/>
              <w:right w:val="nil"/>
            </w:tcBorders>
            <w:noWrap/>
            <w:hideMark/>
          </w:tcPr>
          <w:p w14:paraId="2726DF15"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297</w:t>
            </w:r>
          </w:p>
        </w:tc>
        <w:tc>
          <w:tcPr>
            <w:tcW w:w="0" w:type="auto"/>
            <w:tcBorders>
              <w:top w:val="nil"/>
              <w:left w:val="nil"/>
              <w:bottom w:val="nil"/>
              <w:right w:val="nil"/>
            </w:tcBorders>
            <w:noWrap/>
            <w:hideMark/>
          </w:tcPr>
          <w:p w14:paraId="1948EB65"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-569</w:t>
            </w:r>
          </w:p>
        </w:tc>
        <w:tc>
          <w:tcPr>
            <w:tcW w:w="0" w:type="auto"/>
            <w:tcBorders>
              <w:top w:val="nil"/>
              <w:left w:val="nil"/>
              <w:bottom w:val="nil"/>
              <w:right w:val="nil"/>
            </w:tcBorders>
            <w:noWrap/>
            <w:hideMark/>
          </w:tcPr>
          <w:p w14:paraId="1D7B2F1A"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866</w:t>
            </w:r>
          </w:p>
        </w:tc>
      </w:tr>
      <w:tr w:rsidR="00F531E9" w:rsidRPr="00F531E9" w14:paraId="19D45D03" w14:textId="77777777" w:rsidTr="00F531E9">
        <w:trPr>
          <w:cantSplit/>
          <w:jc w:val="center"/>
        </w:trPr>
        <w:tc>
          <w:tcPr>
            <w:tcW w:w="0" w:type="auto"/>
            <w:tcBorders>
              <w:top w:val="nil"/>
              <w:left w:val="nil"/>
              <w:bottom w:val="nil"/>
              <w:right w:val="nil"/>
            </w:tcBorders>
            <w:shd w:val="clear" w:color="000000" w:fill="FBE2D5"/>
            <w:noWrap/>
            <w:hideMark/>
          </w:tcPr>
          <w:p w14:paraId="0F9F897F" w14:textId="77777777" w:rsidR="00F531E9" w:rsidRPr="00F531E9" w:rsidRDefault="00F531E9" w:rsidP="00061854">
            <w:pPr>
              <w:keepNext/>
              <w:rPr>
                <w:rFonts w:ascii="Aptos Narrow" w:hAnsi="Aptos Narrow"/>
                <w:color w:val="3F3F76"/>
                <w:sz w:val="18"/>
                <w:szCs w:val="18"/>
              </w:rPr>
            </w:pPr>
            <w:r w:rsidRPr="00F531E9">
              <w:rPr>
                <w:rFonts w:ascii="Aptos Narrow" w:hAnsi="Aptos Narrow"/>
                <w:color w:val="3F3F76"/>
                <w:sz w:val="18"/>
                <w:szCs w:val="18"/>
              </w:rPr>
              <w:t>Região Geográfica Imediata Santo Antônio de Pádua</w:t>
            </w:r>
          </w:p>
        </w:tc>
        <w:tc>
          <w:tcPr>
            <w:tcW w:w="0" w:type="auto"/>
            <w:tcBorders>
              <w:top w:val="nil"/>
              <w:left w:val="nil"/>
              <w:bottom w:val="nil"/>
              <w:right w:val="nil"/>
            </w:tcBorders>
            <w:shd w:val="clear" w:color="000000" w:fill="FBE2D5"/>
            <w:noWrap/>
            <w:hideMark/>
          </w:tcPr>
          <w:p w14:paraId="766A7D03"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7.194</w:t>
            </w:r>
          </w:p>
        </w:tc>
        <w:tc>
          <w:tcPr>
            <w:tcW w:w="0" w:type="auto"/>
            <w:tcBorders>
              <w:top w:val="nil"/>
              <w:left w:val="nil"/>
              <w:bottom w:val="nil"/>
              <w:right w:val="nil"/>
            </w:tcBorders>
            <w:shd w:val="clear" w:color="000000" w:fill="FBE2D5"/>
            <w:noWrap/>
            <w:hideMark/>
          </w:tcPr>
          <w:p w14:paraId="6E4ADEEA"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3.146</w:t>
            </w:r>
          </w:p>
        </w:tc>
        <w:tc>
          <w:tcPr>
            <w:tcW w:w="0" w:type="auto"/>
            <w:tcBorders>
              <w:top w:val="nil"/>
              <w:left w:val="nil"/>
              <w:bottom w:val="nil"/>
              <w:right w:val="nil"/>
            </w:tcBorders>
            <w:shd w:val="clear" w:color="000000" w:fill="FBE2D5"/>
            <w:noWrap/>
            <w:hideMark/>
          </w:tcPr>
          <w:p w14:paraId="49569664"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4.048</w:t>
            </w:r>
          </w:p>
        </w:tc>
      </w:tr>
      <w:tr w:rsidR="00F531E9" w:rsidRPr="00F531E9" w14:paraId="378CC412" w14:textId="77777777" w:rsidTr="00F531E9">
        <w:trPr>
          <w:cantSplit/>
          <w:jc w:val="center"/>
        </w:trPr>
        <w:tc>
          <w:tcPr>
            <w:tcW w:w="0" w:type="auto"/>
            <w:tcBorders>
              <w:top w:val="nil"/>
              <w:left w:val="nil"/>
              <w:bottom w:val="nil"/>
              <w:right w:val="nil"/>
            </w:tcBorders>
            <w:noWrap/>
            <w:hideMark/>
          </w:tcPr>
          <w:p w14:paraId="0300F809" w14:textId="77777777" w:rsidR="00F531E9" w:rsidRPr="00F531E9" w:rsidRDefault="00F531E9" w:rsidP="00061854">
            <w:pPr>
              <w:keepNext/>
              <w:rPr>
                <w:rFonts w:ascii="Aptos Narrow" w:hAnsi="Aptos Narrow"/>
                <w:color w:val="000000"/>
                <w:sz w:val="18"/>
                <w:szCs w:val="18"/>
              </w:rPr>
            </w:pPr>
            <w:r w:rsidRPr="00F531E9">
              <w:rPr>
                <w:rFonts w:ascii="Aptos Narrow" w:hAnsi="Aptos Narrow"/>
                <w:color w:val="000000"/>
                <w:sz w:val="18"/>
                <w:szCs w:val="18"/>
              </w:rPr>
              <w:t>Aperibé</w:t>
            </w:r>
          </w:p>
        </w:tc>
        <w:tc>
          <w:tcPr>
            <w:tcW w:w="0" w:type="auto"/>
            <w:tcBorders>
              <w:top w:val="nil"/>
              <w:left w:val="nil"/>
              <w:bottom w:val="nil"/>
              <w:right w:val="nil"/>
            </w:tcBorders>
            <w:noWrap/>
            <w:hideMark/>
          </w:tcPr>
          <w:p w14:paraId="573830BC"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866</w:t>
            </w:r>
          </w:p>
        </w:tc>
        <w:tc>
          <w:tcPr>
            <w:tcW w:w="0" w:type="auto"/>
            <w:tcBorders>
              <w:top w:val="nil"/>
              <w:left w:val="nil"/>
              <w:bottom w:val="nil"/>
              <w:right w:val="nil"/>
            </w:tcBorders>
            <w:noWrap/>
            <w:hideMark/>
          </w:tcPr>
          <w:p w14:paraId="21B2705F"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51</w:t>
            </w:r>
          </w:p>
        </w:tc>
        <w:tc>
          <w:tcPr>
            <w:tcW w:w="0" w:type="auto"/>
            <w:tcBorders>
              <w:top w:val="nil"/>
              <w:left w:val="nil"/>
              <w:bottom w:val="nil"/>
              <w:right w:val="nil"/>
            </w:tcBorders>
            <w:noWrap/>
            <w:hideMark/>
          </w:tcPr>
          <w:p w14:paraId="558DAF59"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815</w:t>
            </w:r>
          </w:p>
        </w:tc>
      </w:tr>
      <w:tr w:rsidR="00F531E9" w:rsidRPr="00F531E9" w14:paraId="62B417B0" w14:textId="77777777" w:rsidTr="00F531E9">
        <w:trPr>
          <w:cantSplit/>
          <w:jc w:val="center"/>
        </w:trPr>
        <w:tc>
          <w:tcPr>
            <w:tcW w:w="0" w:type="auto"/>
            <w:tcBorders>
              <w:top w:val="nil"/>
              <w:left w:val="nil"/>
              <w:bottom w:val="nil"/>
              <w:right w:val="nil"/>
            </w:tcBorders>
            <w:noWrap/>
            <w:hideMark/>
          </w:tcPr>
          <w:p w14:paraId="2E4ABF1B" w14:textId="77777777" w:rsidR="00F531E9" w:rsidRPr="00F531E9" w:rsidRDefault="00F531E9" w:rsidP="00061854">
            <w:pPr>
              <w:keepNext/>
              <w:rPr>
                <w:rFonts w:ascii="Aptos Narrow" w:hAnsi="Aptos Narrow"/>
                <w:color w:val="000000"/>
                <w:sz w:val="18"/>
                <w:szCs w:val="18"/>
              </w:rPr>
            </w:pPr>
            <w:r w:rsidRPr="00F531E9">
              <w:rPr>
                <w:rFonts w:ascii="Aptos Narrow" w:hAnsi="Aptos Narrow"/>
                <w:color w:val="000000"/>
                <w:sz w:val="18"/>
                <w:szCs w:val="18"/>
              </w:rPr>
              <w:t>Cambuci</w:t>
            </w:r>
          </w:p>
        </w:tc>
        <w:tc>
          <w:tcPr>
            <w:tcW w:w="0" w:type="auto"/>
            <w:tcBorders>
              <w:top w:val="nil"/>
              <w:left w:val="nil"/>
              <w:bottom w:val="nil"/>
              <w:right w:val="nil"/>
            </w:tcBorders>
            <w:noWrap/>
            <w:hideMark/>
          </w:tcPr>
          <w:p w14:paraId="04923D1D"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804</w:t>
            </w:r>
          </w:p>
        </w:tc>
        <w:tc>
          <w:tcPr>
            <w:tcW w:w="0" w:type="auto"/>
            <w:tcBorders>
              <w:top w:val="nil"/>
              <w:left w:val="nil"/>
              <w:bottom w:val="nil"/>
              <w:right w:val="nil"/>
            </w:tcBorders>
            <w:noWrap/>
            <w:hideMark/>
          </w:tcPr>
          <w:p w14:paraId="793F2DE4"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587</w:t>
            </w:r>
          </w:p>
        </w:tc>
        <w:tc>
          <w:tcPr>
            <w:tcW w:w="0" w:type="auto"/>
            <w:tcBorders>
              <w:top w:val="nil"/>
              <w:left w:val="nil"/>
              <w:bottom w:val="nil"/>
              <w:right w:val="nil"/>
            </w:tcBorders>
            <w:noWrap/>
            <w:hideMark/>
          </w:tcPr>
          <w:p w14:paraId="07D0720D"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217</w:t>
            </w:r>
          </w:p>
        </w:tc>
      </w:tr>
      <w:tr w:rsidR="00F531E9" w:rsidRPr="00F531E9" w14:paraId="37908AF0" w14:textId="77777777" w:rsidTr="00F531E9">
        <w:trPr>
          <w:cantSplit/>
          <w:jc w:val="center"/>
        </w:trPr>
        <w:tc>
          <w:tcPr>
            <w:tcW w:w="0" w:type="auto"/>
            <w:tcBorders>
              <w:top w:val="nil"/>
              <w:left w:val="nil"/>
              <w:bottom w:val="nil"/>
              <w:right w:val="nil"/>
            </w:tcBorders>
            <w:noWrap/>
            <w:hideMark/>
          </w:tcPr>
          <w:p w14:paraId="31FDB945" w14:textId="77777777" w:rsidR="00F531E9" w:rsidRPr="00F531E9" w:rsidRDefault="00F531E9" w:rsidP="00061854">
            <w:pPr>
              <w:keepNext/>
              <w:rPr>
                <w:rFonts w:ascii="Aptos Narrow" w:hAnsi="Aptos Narrow"/>
                <w:color w:val="000000"/>
                <w:sz w:val="18"/>
                <w:szCs w:val="18"/>
              </w:rPr>
            </w:pPr>
            <w:r w:rsidRPr="00F531E9">
              <w:rPr>
                <w:rFonts w:ascii="Aptos Narrow" w:hAnsi="Aptos Narrow"/>
                <w:color w:val="000000"/>
                <w:sz w:val="18"/>
                <w:szCs w:val="18"/>
              </w:rPr>
              <w:t>Itaocara</w:t>
            </w:r>
          </w:p>
        </w:tc>
        <w:tc>
          <w:tcPr>
            <w:tcW w:w="0" w:type="auto"/>
            <w:tcBorders>
              <w:top w:val="nil"/>
              <w:left w:val="nil"/>
              <w:bottom w:val="nil"/>
              <w:right w:val="nil"/>
            </w:tcBorders>
            <w:noWrap/>
            <w:hideMark/>
          </w:tcPr>
          <w:p w14:paraId="6DB948FB"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1.052</w:t>
            </w:r>
          </w:p>
        </w:tc>
        <w:tc>
          <w:tcPr>
            <w:tcW w:w="0" w:type="auto"/>
            <w:tcBorders>
              <w:top w:val="nil"/>
              <w:left w:val="nil"/>
              <w:bottom w:val="nil"/>
              <w:right w:val="nil"/>
            </w:tcBorders>
            <w:noWrap/>
            <w:hideMark/>
          </w:tcPr>
          <w:p w14:paraId="7831B8DF"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-158</w:t>
            </w:r>
          </w:p>
        </w:tc>
        <w:tc>
          <w:tcPr>
            <w:tcW w:w="0" w:type="auto"/>
            <w:tcBorders>
              <w:top w:val="nil"/>
              <w:left w:val="nil"/>
              <w:bottom w:val="nil"/>
              <w:right w:val="nil"/>
            </w:tcBorders>
            <w:noWrap/>
            <w:hideMark/>
          </w:tcPr>
          <w:p w14:paraId="268E2E3C"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1.210</w:t>
            </w:r>
          </w:p>
        </w:tc>
      </w:tr>
      <w:tr w:rsidR="00F531E9" w:rsidRPr="00F531E9" w14:paraId="6F9B6046" w14:textId="77777777" w:rsidTr="00F531E9">
        <w:trPr>
          <w:cantSplit/>
          <w:jc w:val="center"/>
        </w:trPr>
        <w:tc>
          <w:tcPr>
            <w:tcW w:w="0" w:type="auto"/>
            <w:tcBorders>
              <w:top w:val="nil"/>
              <w:left w:val="nil"/>
              <w:bottom w:val="nil"/>
              <w:right w:val="nil"/>
            </w:tcBorders>
            <w:noWrap/>
            <w:hideMark/>
          </w:tcPr>
          <w:p w14:paraId="3F2EFC8B" w14:textId="77777777" w:rsidR="00F531E9" w:rsidRPr="00F531E9" w:rsidRDefault="00F531E9" w:rsidP="00061854">
            <w:pPr>
              <w:keepNext/>
              <w:rPr>
                <w:rFonts w:ascii="Aptos Narrow" w:hAnsi="Aptos Narrow"/>
                <w:color w:val="000000"/>
                <w:sz w:val="18"/>
                <w:szCs w:val="18"/>
              </w:rPr>
            </w:pPr>
            <w:r w:rsidRPr="00F531E9">
              <w:rPr>
                <w:rFonts w:ascii="Aptos Narrow" w:hAnsi="Aptos Narrow"/>
                <w:color w:val="000000"/>
                <w:sz w:val="18"/>
                <w:szCs w:val="18"/>
              </w:rPr>
              <w:t>Miracema</w:t>
            </w:r>
          </w:p>
        </w:tc>
        <w:tc>
          <w:tcPr>
            <w:tcW w:w="0" w:type="auto"/>
            <w:tcBorders>
              <w:top w:val="nil"/>
              <w:left w:val="nil"/>
              <w:bottom w:val="nil"/>
              <w:right w:val="nil"/>
            </w:tcBorders>
            <w:noWrap/>
            <w:hideMark/>
          </w:tcPr>
          <w:p w14:paraId="089B34CB"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1.482</w:t>
            </w:r>
          </w:p>
        </w:tc>
        <w:tc>
          <w:tcPr>
            <w:tcW w:w="0" w:type="auto"/>
            <w:tcBorders>
              <w:top w:val="nil"/>
              <w:left w:val="nil"/>
              <w:bottom w:val="nil"/>
              <w:right w:val="nil"/>
            </w:tcBorders>
            <w:noWrap/>
            <w:hideMark/>
          </w:tcPr>
          <w:p w14:paraId="4545107C"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833</w:t>
            </w:r>
          </w:p>
        </w:tc>
        <w:tc>
          <w:tcPr>
            <w:tcW w:w="0" w:type="auto"/>
            <w:tcBorders>
              <w:top w:val="nil"/>
              <w:left w:val="nil"/>
              <w:bottom w:val="nil"/>
              <w:right w:val="nil"/>
            </w:tcBorders>
            <w:noWrap/>
            <w:hideMark/>
          </w:tcPr>
          <w:p w14:paraId="05963C7E"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649</w:t>
            </w:r>
          </w:p>
        </w:tc>
      </w:tr>
      <w:tr w:rsidR="00F531E9" w:rsidRPr="00F531E9" w14:paraId="7B3AE7AC" w14:textId="77777777" w:rsidTr="00F531E9">
        <w:trPr>
          <w:cantSplit/>
          <w:jc w:val="center"/>
        </w:trPr>
        <w:tc>
          <w:tcPr>
            <w:tcW w:w="0" w:type="auto"/>
            <w:tcBorders>
              <w:top w:val="nil"/>
              <w:left w:val="nil"/>
              <w:bottom w:val="nil"/>
              <w:right w:val="nil"/>
            </w:tcBorders>
            <w:noWrap/>
            <w:hideMark/>
          </w:tcPr>
          <w:p w14:paraId="36C9479B" w14:textId="77777777" w:rsidR="00F531E9" w:rsidRPr="00F531E9" w:rsidRDefault="00F531E9" w:rsidP="00061854">
            <w:pPr>
              <w:keepNext/>
              <w:rPr>
                <w:rFonts w:ascii="Aptos Narrow" w:hAnsi="Aptos Narrow"/>
                <w:color w:val="000000"/>
                <w:sz w:val="18"/>
                <w:szCs w:val="18"/>
              </w:rPr>
            </w:pPr>
            <w:r w:rsidRPr="00F531E9">
              <w:rPr>
                <w:rFonts w:ascii="Aptos Narrow" w:hAnsi="Aptos Narrow"/>
                <w:color w:val="000000"/>
                <w:sz w:val="18"/>
                <w:szCs w:val="18"/>
              </w:rPr>
              <w:t>Santo Antônio de Pádua</w:t>
            </w:r>
          </w:p>
        </w:tc>
        <w:tc>
          <w:tcPr>
            <w:tcW w:w="0" w:type="auto"/>
            <w:tcBorders>
              <w:top w:val="nil"/>
              <w:left w:val="nil"/>
              <w:bottom w:val="single" w:sz="8" w:space="0" w:color="auto"/>
              <w:right w:val="nil"/>
            </w:tcBorders>
            <w:noWrap/>
            <w:hideMark/>
          </w:tcPr>
          <w:p w14:paraId="62CCC79E"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2.990</w:t>
            </w:r>
          </w:p>
        </w:tc>
        <w:tc>
          <w:tcPr>
            <w:tcW w:w="0" w:type="auto"/>
            <w:tcBorders>
              <w:top w:val="nil"/>
              <w:left w:val="nil"/>
              <w:bottom w:val="single" w:sz="8" w:space="0" w:color="auto"/>
              <w:right w:val="nil"/>
            </w:tcBorders>
            <w:noWrap/>
            <w:hideMark/>
          </w:tcPr>
          <w:p w14:paraId="6512EF15"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1.702</w:t>
            </w:r>
          </w:p>
        </w:tc>
        <w:tc>
          <w:tcPr>
            <w:tcW w:w="0" w:type="auto"/>
            <w:tcBorders>
              <w:top w:val="nil"/>
              <w:left w:val="nil"/>
              <w:bottom w:val="single" w:sz="8" w:space="0" w:color="auto"/>
              <w:right w:val="nil"/>
            </w:tcBorders>
            <w:noWrap/>
            <w:hideMark/>
          </w:tcPr>
          <w:p w14:paraId="226AEE0B"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1.288</w:t>
            </w:r>
          </w:p>
        </w:tc>
      </w:tr>
      <w:tr w:rsidR="00F531E9" w:rsidRPr="00F531E9" w14:paraId="3CBB9F02" w14:textId="77777777" w:rsidTr="00F531E9">
        <w:trPr>
          <w:cantSplit/>
          <w:jc w:val="center"/>
        </w:trPr>
        <w:tc>
          <w:tcPr>
            <w:tcW w:w="0" w:type="auto"/>
            <w:tcBorders>
              <w:top w:val="single" w:sz="8" w:space="0" w:color="156082"/>
              <w:left w:val="nil"/>
              <w:bottom w:val="single" w:sz="8" w:space="0" w:color="auto"/>
              <w:right w:val="nil"/>
            </w:tcBorders>
            <w:shd w:val="clear" w:color="000000" w:fill="F7C7AC"/>
            <w:noWrap/>
            <w:hideMark/>
          </w:tcPr>
          <w:p w14:paraId="1DD69CDC" w14:textId="77777777" w:rsidR="00F531E9" w:rsidRPr="00F531E9" w:rsidRDefault="00F531E9" w:rsidP="00061854">
            <w:pPr>
              <w:keepNext/>
              <w:rPr>
                <w:rFonts w:ascii="Aptos Narrow" w:hAnsi="Aptos Narrow"/>
                <w:b/>
                <w:bCs/>
                <w:color w:val="000000"/>
                <w:sz w:val="18"/>
                <w:szCs w:val="18"/>
              </w:rPr>
            </w:pPr>
            <w:r w:rsidRPr="00F531E9">
              <w:rPr>
                <w:rFonts w:ascii="Aptos Narrow" w:hAnsi="Aptos Narrow"/>
                <w:b/>
                <w:bCs/>
                <w:color w:val="000000"/>
                <w:sz w:val="18"/>
                <w:szCs w:val="18"/>
              </w:rPr>
              <w:t>Região Geográfica Intermediária Macaé - Rio das Ostras - Cabo Frio</w:t>
            </w:r>
          </w:p>
        </w:tc>
        <w:tc>
          <w:tcPr>
            <w:tcW w:w="0" w:type="auto"/>
            <w:tcBorders>
              <w:top w:val="nil"/>
              <w:left w:val="nil"/>
              <w:bottom w:val="single" w:sz="8" w:space="0" w:color="auto"/>
              <w:right w:val="nil"/>
            </w:tcBorders>
            <w:shd w:val="clear" w:color="000000" w:fill="F7C7AC"/>
            <w:noWrap/>
            <w:hideMark/>
          </w:tcPr>
          <w:p w14:paraId="4D4C62A3" w14:textId="77777777" w:rsidR="00F531E9" w:rsidRPr="00F531E9" w:rsidRDefault="00F531E9" w:rsidP="00061854">
            <w:pPr>
              <w:keepNext/>
              <w:jc w:val="right"/>
              <w:rPr>
                <w:rFonts w:ascii="Aptos Narrow" w:hAnsi="Aptos Narrow"/>
                <w:b/>
                <w:bCs/>
                <w:color w:val="000000"/>
                <w:sz w:val="18"/>
                <w:szCs w:val="18"/>
              </w:rPr>
            </w:pPr>
            <w:r w:rsidRPr="00F531E9">
              <w:rPr>
                <w:rFonts w:ascii="Aptos Narrow" w:hAnsi="Aptos Narrow"/>
                <w:b/>
                <w:bCs/>
                <w:color w:val="000000"/>
                <w:sz w:val="18"/>
                <w:szCs w:val="18"/>
              </w:rPr>
              <w:t>158.188</w:t>
            </w:r>
          </w:p>
        </w:tc>
        <w:tc>
          <w:tcPr>
            <w:tcW w:w="0" w:type="auto"/>
            <w:tcBorders>
              <w:top w:val="nil"/>
              <w:left w:val="nil"/>
              <w:bottom w:val="single" w:sz="8" w:space="0" w:color="auto"/>
              <w:right w:val="nil"/>
            </w:tcBorders>
            <w:shd w:val="clear" w:color="000000" w:fill="F7C7AC"/>
            <w:noWrap/>
            <w:hideMark/>
          </w:tcPr>
          <w:p w14:paraId="0670E255" w14:textId="77777777" w:rsidR="00F531E9" w:rsidRPr="00F531E9" w:rsidRDefault="00F531E9" w:rsidP="00061854">
            <w:pPr>
              <w:keepNext/>
              <w:jc w:val="right"/>
              <w:rPr>
                <w:rFonts w:ascii="Aptos Narrow" w:hAnsi="Aptos Narrow"/>
                <w:b/>
                <w:bCs/>
                <w:color w:val="000000"/>
                <w:sz w:val="18"/>
                <w:szCs w:val="18"/>
              </w:rPr>
            </w:pPr>
            <w:r w:rsidRPr="00F531E9">
              <w:rPr>
                <w:rFonts w:ascii="Aptos Narrow" w:hAnsi="Aptos Narrow"/>
                <w:b/>
                <w:bCs/>
                <w:color w:val="000000"/>
                <w:sz w:val="18"/>
                <w:szCs w:val="18"/>
              </w:rPr>
              <w:t>50.472</w:t>
            </w:r>
          </w:p>
        </w:tc>
        <w:tc>
          <w:tcPr>
            <w:tcW w:w="0" w:type="auto"/>
            <w:tcBorders>
              <w:top w:val="nil"/>
              <w:left w:val="nil"/>
              <w:bottom w:val="single" w:sz="8" w:space="0" w:color="auto"/>
              <w:right w:val="nil"/>
            </w:tcBorders>
            <w:shd w:val="clear" w:color="000000" w:fill="F7C7AC"/>
            <w:noWrap/>
            <w:hideMark/>
          </w:tcPr>
          <w:p w14:paraId="33A7858F" w14:textId="77777777" w:rsidR="00F531E9" w:rsidRPr="00F531E9" w:rsidRDefault="00F531E9" w:rsidP="00061854">
            <w:pPr>
              <w:keepNext/>
              <w:jc w:val="right"/>
              <w:rPr>
                <w:rFonts w:ascii="Aptos Narrow" w:hAnsi="Aptos Narrow"/>
                <w:b/>
                <w:bCs/>
                <w:color w:val="000000"/>
                <w:sz w:val="18"/>
                <w:szCs w:val="18"/>
              </w:rPr>
            </w:pPr>
            <w:r w:rsidRPr="00F531E9">
              <w:rPr>
                <w:rFonts w:ascii="Aptos Narrow" w:hAnsi="Aptos Narrow"/>
                <w:b/>
                <w:bCs/>
                <w:color w:val="000000"/>
                <w:sz w:val="18"/>
                <w:szCs w:val="18"/>
              </w:rPr>
              <w:t>107.716</w:t>
            </w:r>
          </w:p>
        </w:tc>
      </w:tr>
      <w:tr w:rsidR="00F531E9" w:rsidRPr="00F531E9" w14:paraId="77B0713E" w14:textId="77777777" w:rsidTr="00F531E9">
        <w:trPr>
          <w:cantSplit/>
          <w:jc w:val="center"/>
        </w:trPr>
        <w:tc>
          <w:tcPr>
            <w:tcW w:w="0" w:type="auto"/>
            <w:tcBorders>
              <w:top w:val="nil"/>
              <w:left w:val="nil"/>
              <w:bottom w:val="nil"/>
              <w:right w:val="nil"/>
            </w:tcBorders>
            <w:shd w:val="clear" w:color="000000" w:fill="FBE2D5"/>
            <w:noWrap/>
            <w:hideMark/>
          </w:tcPr>
          <w:p w14:paraId="04CFE453" w14:textId="77777777" w:rsidR="00F531E9" w:rsidRPr="00F531E9" w:rsidRDefault="00F531E9" w:rsidP="00061854">
            <w:pPr>
              <w:keepNext/>
              <w:rPr>
                <w:rFonts w:ascii="Aptos Narrow" w:hAnsi="Aptos Narrow"/>
                <w:color w:val="3F3F76"/>
                <w:sz w:val="18"/>
                <w:szCs w:val="18"/>
              </w:rPr>
            </w:pPr>
            <w:r w:rsidRPr="00F531E9">
              <w:rPr>
                <w:rFonts w:ascii="Aptos Narrow" w:hAnsi="Aptos Narrow"/>
                <w:color w:val="3F3F76"/>
                <w:sz w:val="18"/>
                <w:szCs w:val="18"/>
              </w:rPr>
              <w:t>Região Geográfica Imediata Cabo Frio</w:t>
            </w:r>
          </w:p>
        </w:tc>
        <w:tc>
          <w:tcPr>
            <w:tcW w:w="0" w:type="auto"/>
            <w:tcBorders>
              <w:top w:val="nil"/>
              <w:left w:val="nil"/>
              <w:bottom w:val="nil"/>
              <w:right w:val="nil"/>
            </w:tcBorders>
            <w:shd w:val="clear" w:color="000000" w:fill="FBE2D5"/>
            <w:noWrap/>
            <w:hideMark/>
          </w:tcPr>
          <w:p w14:paraId="3676FA67"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62.540</w:t>
            </w:r>
          </w:p>
        </w:tc>
        <w:tc>
          <w:tcPr>
            <w:tcW w:w="0" w:type="auto"/>
            <w:tcBorders>
              <w:top w:val="nil"/>
              <w:left w:val="nil"/>
              <w:bottom w:val="nil"/>
              <w:right w:val="nil"/>
            </w:tcBorders>
            <w:shd w:val="clear" w:color="000000" w:fill="FBE2D5"/>
            <w:noWrap/>
            <w:hideMark/>
          </w:tcPr>
          <w:p w14:paraId="0D710861"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22.233</w:t>
            </w:r>
          </w:p>
        </w:tc>
        <w:tc>
          <w:tcPr>
            <w:tcW w:w="0" w:type="auto"/>
            <w:tcBorders>
              <w:top w:val="nil"/>
              <w:left w:val="nil"/>
              <w:bottom w:val="nil"/>
              <w:right w:val="nil"/>
            </w:tcBorders>
            <w:shd w:val="clear" w:color="000000" w:fill="FBE2D5"/>
            <w:noWrap/>
            <w:hideMark/>
          </w:tcPr>
          <w:p w14:paraId="445B253D"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40.307</w:t>
            </w:r>
          </w:p>
        </w:tc>
      </w:tr>
      <w:tr w:rsidR="00F531E9" w:rsidRPr="00F531E9" w14:paraId="2B328F33" w14:textId="77777777" w:rsidTr="00F531E9">
        <w:trPr>
          <w:cantSplit/>
          <w:jc w:val="center"/>
        </w:trPr>
        <w:tc>
          <w:tcPr>
            <w:tcW w:w="0" w:type="auto"/>
            <w:tcBorders>
              <w:top w:val="nil"/>
              <w:left w:val="nil"/>
              <w:bottom w:val="nil"/>
              <w:right w:val="nil"/>
            </w:tcBorders>
            <w:noWrap/>
            <w:hideMark/>
          </w:tcPr>
          <w:p w14:paraId="46F560CB" w14:textId="77777777" w:rsidR="00F531E9" w:rsidRPr="00F531E9" w:rsidRDefault="00F531E9" w:rsidP="00061854">
            <w:pPr>
              <w:keepNext/>
              <w:rPr>
                <w:rFonts w:ascii="Aptos Narrow" w:hAnsi="Aptos Narrow"/>
                <w:color w:val="000000"/>
                <w:sz w:val="18"/>
                <w:szCs w:val="18"/>
              </w:rPr>
            </w:pPr>
            <w:r w:rsidRPr="00F531E9">
              <w:rPr>
                <w:rFonts w:ascii="Aptos Narrow" w:hAnsi="Aptos Narrow"/>
                <w:color w:val="000000"/>
                <w:sz w:val="18"/>
                <w:szCs w:val="18"/>
              </w:rPr>
              <w:t>Araruama</w:t>
            </w:r>
          </w:p>
        </w:tc>
        <w:tc>
          <w:tcPr>
            <w:tcW w:w="0" w:type="auto"/>
            <w:tcBorders>
              <w:top w:val="nil"/>
              <w:left w:val="nil"/>
              <w:bottom w:val="nil"/>
              <w:right w:val="nil"/>
            </w:tcBorders>
            <w:noWrap/>
            <w:hideMark/>
          </w:tcPr>
          <w:p w14:paraId="4E8F1C98"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11.843</w:t>
            </w:r>
          </w:p>
        </w:tc>
        <w:tc>
          <w:tcPr>
            <w:tcW w:w="0" w:type="auto"/>
            <w:tcBorders>
              <w:top w:val="nil"/>
              <w:left w:val="nil"/>
              <w:bottom w:val="nil"/>
              <w:right w:val="nil"/>
            </w:tcBorders>
            <w:noWrap/>
            <w:hideMark/>
          </w:tcPr>
          <w:p w14:paraId="6348CCAE"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5.390</w:t>
            </w:r>
          </w:p>
        </w:tc>
        <w:tc>
          <w:tcPr>
            <w:tcW w:w="0" w:type="auto"/>
            <w:tcBorders>
              <w:top w:val="nil"/>
              <w:left w:val="nil"/>
              <w:bottom w:val="nil"/>
              <w:right w:val="nil"/>
            </w:tcBorders>
            <w:noWrap/>
            <w:hideMark/>
          </w:tcPr>
          <w:p w14:paraId="7AE12AC4"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6.453</w:t>
            </w:r>
          </w:p>
        </w:tc>
      </w:tr>
      <w:tr w:rsidR="00F531E9" w:rsidRPr="00F531E9" w14:paraId="6D624005" w14:textId="77777777" w:rsidTr="00F531E9">
        <w:trPr>
          <w:cantSplit/>
          <w:jc w:val="center"/>
        </w:trPr>
        <w:tc>
          <w:tcPr>
            <w:tcW w:w="0" w:type="auto"/>
            <w:tcBorders>
              <w:top w:val="nil"/>
              <w:left w:val="nil"/>
              <w:bottom w:val="nil"/>
              <w:right w:val="nil"/>
            </w:tcBorders>
            <w:noWrap/>
            <w:hideMark/>
          </w:tcPr>
          <w:p w14:paraId="4DAC63E1" w14:textId="77777777" w:rsidR="00F531E9" w:rsidRPr="00F531E9" w:rsidRDefault="00F531E9" w:rsidP="00061854">
            <w:pPr>
              <w:keepNext/>
              <w:rPr>
                <w:rFonts w:ascii="Aptos Narrow" w:hAnsi="Aptos Narrow"/>
                <w:color w:val="000000"/>
                <w:sz w:val="18"/>
                <w:szCs w:val="18"/>
              </w:rPr>
            </w:pPr>
            <w:r w:rsidRPr="00F531E9">
              <w:rPr>
                <w:rFonts w:ascii="Aptos Narrow" w:hAnsi="Aptos Narrow"/>
                <w:color w:val="000000"/>
                <w:sz w:val="18"/>
                <w:szCs w:val="18"/>
              </w:rPr>
              <w:t>Armação dos Búzios</w:t>
            </w:r>
          </w:p>
        </w:tc>
        <w:tc>
          <w:tcPr>
            <w:tcW w:w="0" w:type="auto"/>
            <w:tcBorders>
              <w:top w:val="nil"/>
              <w:left w:val="nil"/>
              <w:bottom w:val="nil"/>
              <w:right w:val="nil"/>
            </w:tcBorders>
            <w:noWrap/>
            <w:hideMark/>
          </w:tcPr>
          <w:p w14:paraId="69808C19"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8.586</w:t>
            </w:r>
          </w:p>
        </w:tc>
        <w:tc>
          <w:tcPr>
            <w:tcW w:w="0" w:type="auto"/>
            <w:tcBorders>
              <w:top w:val="nil"/>
              <w:left w:val="nil"/>
              <w:bottom w:val="nil"/>
              <w:right w:val="nil"/>
            </w:tcBorders>
            <w:noWrap/>
            <w:hideMark/>
          </w:tcPr>
          <w:p w14:paraId="038B815D"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2.305</w:t>
            </w:r>
          </w:p>
        </w:tc>
        <w:tc>
          <w:tcPr>
            <w:tcW w:w="0" w:type="auto"/>
            <w:tcBorders>
              <w:top w:val="nil"/>
              <w:left w:val="nil"/>
              <w:bottom w:val="nil"/>
              <w:right w:val="nil"/>
            </w:tcBorders>
            <w:noWrap/>
            <w:hideMark/>
          </w:tcPr>
          <w:p w14:paraId="19EE7DF1"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6.281</w:t>
            </w:r>
          </w:p>
        </w:tc>
      </w:tr>
      <w:tr w:rsidR="00F531E9" w:rsidRPr="00F531E9" w14:paraId="09E623E5" w14:textId="77777777" w:rsidTr="00F531E9">
        <w:trPr>
          <w:cantSplit/>
          <w:jc w:val="center"/>
        </w:trPr>
        <w:tc>
          <w:tcPr>
            <w:tcW w:w="0" w:type="auto"/>
            <w:tcBorders>
              <w:top w:val="nil"/>
              <w:left w:val="nil"/>
              <w:bottom w:val="nil"/>
              <w:right w:val="nil"/>
            </w:tcBorders>
            <w:noWrap/>
            <w:hideMark/>
          </w:tcPr>
          <w:p w14:paraId="6D3EE5DE" w14:textId="77777777" w:rsidR="00F531E9" w:rsidRPr="00F531E9" w:rsidRDefault="00F531E9" w:rsidP="00061854">
            <w:pPr>
              <w:keepNext/>
              <w:rPr>
                <w:rFonts w:ascii="Aptos Narrow" w:hAnsi="Aptos Narrow"/>
                <w:color w:val="000000"/>
                <w:sz w:val="18"/>
                <w:szCs w:val="18"/>
              </w:rPr>
            </w:pPr>
            <w:r w:rsidRPr="00F531E9">
              <w:rPr>
                <w:rFonts w:ascii="Aptos Narrow" w:hAnsi="Aptos Narrow"/>
                <w:color w:val="000000"/>
                <w:sz w:val="18"/>
                <w:szCs w:val="18"/>
              </w:rPr>
              <w:t>Arraial do Cabo</w:t>
            </w:r>
          </w:p>
        </w:tc>
        <w:tc>
          <w:tcPr>
            <w:tcW w:w="0" w:type="auto"/>
            <w:tcBorders>
              <w:top w:val="nil"/>
              <w:left w:val="nil"/>
              <w:bottom w:val="nil"/>
              <w:right w:val="nil"/>
            </w:tcBorders>
            <w:noWrap/>
            <w:hideMark/>
          </w:tcPr>
          <w:p w14:paraId="21055EA0"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3.164</w:t>
            </w:r>
          </w:p>
        </w:tc>
        <w:tc>
          <w:tcPr>
            <w:tcW w:w="0" w:type="auto"/>
            <w:tcBorders>
              <w:top w:val="nil"/>
              <w:left w:val="nil"/>
              <w:bottom w:val="nil"/>
              <w:right w:val="nil"/>
            </w:tcBorders>
            <w:noWrap/>
            <w:hideMark/>
          </w:tcPr>
          <w:p w14:paraId="660BE608"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273</w:t>
            </w:r>
          </w:p>
        </w:tc>
        <w:tc>
          <w:tcPr>
            <w:tcW w:w="0" w:type="auto"/>
            <w:tcBorders>
              <w:top w:val="nil"/>
              <w:left w:val="nil"/>
              <w:bottom w:val="nil"/>
              <w:right w:val="nil"/>
            </w:tcBorders>
            <w:noWrap/>
            <w:hideMark/>
          </w:tcPr>
          <w:p w14:paraId="7184ACCD"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2.891</w:t>
            </w:r>
          </w:p>
        </w:tc>
      </w:tr>
      <w:tr w:rsidR="00F531E9" w:rsidRPr="00F531E9" w14:paraId="7DE6117D" w14:textId="77777777" w:rsidTr="00F531E9">
        <w:trPr>
          <w:cantSplit/>
          <w:jc w:val="center"/>
        </w:trPr>
        <w:tc>
          <w:tcPr>
            <w:tcW w:w="0" w:type="auto"/>
            <w:tcBorders>
              <w:top w:val="nil"/>
              <w:left w:val="nil"/>
              <w:bottom w:val="nil"/>
              <w:right w:val="nil"/>
            </w:tcBorders>
            <w:noWrap/>
            <w:hideMark/>
          </w:tcPr>
          <w:p w14:paraId="5CFBBF90" w14:textId="77777777" w:rsidR="00F531E9" w:rsidRPr="00F531E9" w:rsidRDefault="00F531E9" w:rsidP="00061854">
            <w:pPr>
              <w:keepNext/>
              <w:rPr>
                <w:rFonts w:ascii="Aptos Narrow" w:hAnsi="Aptos Narrow"/>
                <w:color w:val="000000"/>
                <w:sz w:val="18"/>
                <w:szCs w:val="18"/>
              </w:rPr>
            </w:pPr>
            <w:r w:rsidRPr="00F531E9">
              <w:rPr>
                <w:rFonts w:ascii="Aptos Narrow" w:hAnsi="Aptos Narrow"/>
                <w:color w:val="000000"/>
                <w:sz w:val="18"/>
                <w:szCs w:val="18"/>
              </w:rPr>
              <w:t>Cabo Frio</w:t>
            </w:r>
          </w:p>
        </w:tc>
        <w:tc>
          <w:tcPr>
            <w:tcW w:w="0" w:type="auto"/>
            <w:tcBorders>
              <w:top w:val="nil"/>
              <w:left w:val="nil"/>
              <w:bottom w:val="nil"/>
              <w:right w:val="nil"/>
            </w:tcBorders>
            <w:noWrap/>
            <w:hideMark/>
          </w:tcPr>
          <w:p w14:paraId="40F0DA11"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26.032</w:t>
            </w:r>
          </w:p>
        </w:tc>
        <w:tc>
          <w:tcPr>
            <w:tcW w:w="0" w:type="auto"/>
            <w:tcBorders>
              <w:top w:val="nil"/>
              <w:left w:val="nil"/>
              <w:bottom w:val="nil"/>
              <w:right w:val="nil"/>
            </w:tcBorders>
            <w:noWrap/>
            <w:hideMark/>
          </w:tcPr>
          <w:p w14:paraId="72EAA772"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11.114</w:t>
            </w:r>
          </w:p>
        </w:tc>
        <w:tc>
          <w:tcPr>
            <w:tcW w:w="0" w:type="auto"/>
            <w:tcBorders>
              <w:top w:val="nil"/>
              <w:left w:val="nil"/>
              <w:bottom w:val="nil"/>
              <w:right w:val="nil"/>
            </w:tcBorders>
            <w:noWrap/>
            <w:hideMark/>
          </w:tcPr>
          <w:p w14:paraId="2F26C87C"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14.918</w:t>
            </w:r>
          </w:p>
        </w:tc>
      </w:tr>
      <w:tr w:rsidR="00F531E9" w:rsidRPr="00F531E9" w14:paraId="26FB71C9" w14:textId="77777777" w:rsidTr="00F531E9">
        <w:trPr>
          <w:cantSplit/>
          <w:jc w:val="center"/>
        </w:trPr>
        <w:tc>
          <w:tcPr>
            <w:tcW w:w="0" w:type="auto"/>
            <w:tcBorders>
              <w:top w:val="nil"/>
              <w:left w:val="nil"/>
              <w:bottom w:val="nil"/>
              <w:right w:val="nil"/>
            </w:tcBorders>
            <w:noWrap/>
            <w:hideMark/>
          </w:tcPr>
          <w:p w14:paraId="7E39DD72" w14:textId="77777777" w:rsidR="00F531E9" w:rsidRPr="00F531E9" w:rsidRDefault="00F531E9" w:rsidP="00061854">
            <w:pPr>
              <w:keepNext/>
              <w:rPr>
                <w:rFonts w:ascii="Aptos Narrow" w:hAnsi="Aptos Narrow"/>
                <w:color w:val="000000"/>
                <w:sz w:val="18"/>
                <w:szCs w:val="18"/>
              </w:rPr>
            </w:pPr>
            <w:r w:rsidRPr="00F531E9">
              <w:rPr>
                <w:rFonts w:ascii="Aptos Narrow" w:hAnsi="Aptos Narrow"/>
                <w:color w:val="000000"/>
                <w:sz w:val="18"/>
                <w:szCs w:val="18"/>
              </w:rPr>
              <w:t>Iguaba Grande</w:t>
            </w:r>
          </w:p>
        </w:tc>
        <w:tc>
          <w:tcPr>
            <w:tcW w:w="0" w:type="auto"/>
            <w:tcBorders>
              <w:top w:val="nil"/>
              <w:left w:val="nil"/>
              <w:bottom w:val="nil"/>
              <w:right w:val="nil"/>
            </w:tcBorders>
            <w:noWrap/>
            <w:hideMark/>
          </w:tcPr>
          <w:p w14:paraId="0CF153FB"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1.062</w:t>
            </w:r>
          </w:p>
        </w:tc>
        <w:tc>
          <w:tcPr>
            <w:tcW w:w="0" w:type="auto"/>
            <w:tcBorders>
              <w:top w:val="nil"/>
              <w:left w:val="nil"/>
              <w:bottom w:val="nil"/>
              <w:right w:val="nil"/>
            </w:tcBorders>
            <w:noWrap/>
            <w:hideMark/>
          </w:tcPr>
          <w:p w14:paraId="212F7783"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358</w:t>
            </w:r>
          </w:p>
        </w:tc>
        <w:tc>
          <w:tcPr>
            <w:tcW w:w="0" w:type="auto"/>
            <w:tcBorders>
              <w:top w:val="nil"/>
              <w:left w:val="nil"/>
              <w:bottom w:val="nil"/>
              <w:right w:val="nil"/>
            </w:tcBorders>
            <w:noWrap/>
            <w:hideMark/>
          </w:tcPr>
          <w:p w14:paraId="3508A053"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704</w:t>
            </w:r>
          </w:p>
        </w:tc>
      </w:tr>
      <w:tr w:rsidR="00F531E9" w:rsidRPr="00F531E9" w14:paraId="0822CB6D" w14:textId="77777777" w:rsidTr="00F531E9">
        <w:trPr>
          <w:cantSplit/>
          <w:jc w:val="center"/>
        </w:trPr>
        <w:tc>
          <w:tcPr>
            <w:tcW w:w="0" w:type="auto"/>
            <w:tcBorders>
              <w:top w:val="nil"/>
              <w:left w:val="nil"/>
              <w:bottom w:val="nil"/>
              <w:right w:val="nil"/>
            </w:tcBorders>
            <w:noWrap/>
            <w:hideMark/>
          </w:tcPr>
          <w:p w14:paraId="1748F980" w14:textId="77777777" w:rsidR="00F531E9" w:rsidRPr="00F531E9" w:rsidRDefault="00F531E9" w:rsidP="00061854">
            <w:pPr>
              <w:keepNext/>
              <w:rPr>
                <w:rFonts w:ascii="Aptos Narrow" w:hAnsi="Aptos Narrow"/>
                <w:color w:val="000000"/>
                <w:sz w:val="18"/>
                <w:szCs w:val="18"/>
              </w:rPr>
            </w:pPr>
            <w:r w:rsidRPr="00F531E9">
              <w:rPr>
                <w:rFonts w:ascii="Aptos Narrow" w:hAnsi="Aptos Narrow"/>
                <w:color w:val="000000"/>
                <w:sz w:val="18"/>
                <w:szCs w:val="18"/>
              </w:rPr>
              <w:t>São Pedro da Aldeia</w:t>
            </w:r>
          </w:p>
        </w:tc>
        <w:tc>
          <w:tcPr>
            <w:tcW w:w="0" w:type="auto"/>
            <w:tcBorders>
              <w:top w:val="nil"/>
              <w:left w:val="nil"/>
              <w:bottom w:val="nil"/>
              <w:right w:val="nil"/>
            </w:tcBorders>
            <w:noWrap/>
            <w:hideMark/>
          </w:tcPr>
          <w:p w14:paraId="65984FEE"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11.853</w:t>
            </w:r>
          </w:p>
        </w:tc>
        <w:tc>
          <w:tcPr>
            <w:tcW w:w="0" w:type="auto"/>
            <w:tcBorders>
              <w:top w:val="nil"/>
              <w:left w:val="nil"/>
              <w:bottom w:val="nil"/>
              <w:right w:val="nil"/>
            </w:tcBorders>
            <w:noWrap/>
            <w:hideMark/>
          </w:tcPr>
          <w:p w14:paraId="1F3F52A7"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1.663</w:t>
            </w:r>
          </w:p>
        </w:tc>
        <w:tc>
          <w:tcPr>
            <w:tcW w:w="0" w:type="auto"/>
            <w:tcBorders>
              <w:top w:val="nil"/>
              <w:left w:val="nil"/>
              <w:bottom w:val="nil"/>
              <w:right w:val="nil"/>
            </w:tcBorders>
            <w:noWrap/>
            <w:hideMark/>
          </w:tcPr>
          <w:p w14:paraId="5B528770"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10.190</w:t>
            </w:r>
          </w:p>
        </w:tc>
      </w:tr>
      <w:tr w:rsidR="00F531E9" w:rsidRPr="00F531E9" w14:paraId="6D0A06A7" w14:textId="77777777" w:rsidTr="00F531E9">
        <w:trPr>
          <w:cantSplit/>
          <w:jc w:val="center"/>
        </w:trPr>
        <w:tc>
          <w:tcPr>
            <w:tcW w:w="0" w:type="auto"/>
            <w:tcBorders>
              <w:top w:val="nil"/>
              <w:left w:val="nil"/>
              <w:bottom w:val="nil"/>
              <w:right w:val="nil"/>
            </w:tcBorders>
            <w:shd w:val="clear" w:color="000000" w:fill="FBE2D5"/>
            <w:noWrap/>
            <w:hideMark/>
          </w:tcPr>
          <w:p w14:paraId="39E2D21D" w14:textId="77777777" w:rsidR="00F531E9" w:rsidRPr="00F531E9" w:rsidRDefault="00F531E9" w:rsidP="00061854">
            <w:pPr>
              <w:keepNext/>
              <w:rPr>
                <w:rFonts w:ascii="Aptos Narrow" w:hAnsi="Aptos Narrow"/>
                <w:color w:val="3F3F76"/>
                <w:sz w:val="18"/>
                <w:szCs w:val="18"/>
              </w:rPr>
            </w:pPr>
            <w:r w:rsidRPr="00F531E9">
              <w:rPr>
                <w:rFonts w:ascii="Aptos Narrow" w:hAnsi="Aptos Narrow"/>
                <w:color w:val="3F3F76"/>
                <w:sz w:val="18"/>
                <w:szCs w:val="18"/>
              </w:rPr>
              <w:t>Região Geográfica Imediata Macaé-Rio das Ostras</w:t>
            </w:r>
          </w:p>
        </w:tc>
        <w:tc>
          <w:tcPr>
            <w:tcW w:w="0" w:type="auto"/>
            <w:tcBorders>
              <w:top w:val="nil"/>
              <w:left w:val="nil"/>
              <w:bottom w:val="nil"/>
              <w:right w:val="nil"/>
            </w:tcBorders>
            <w:shd w:val="clear" w:color="000000" w:fill="FBE2D5"/>
            <w:noWrap/>
            <w:hideMark/>
          </w:tcPr>
          <w:p w14:paraId="4DA3813E"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95.648</w:t>
            </w:r>
          </w:p>
        </w:tc>
        <w:tc>
          <w:tcPr>
            <w:tcW w:w="0" w:type="auto"/>
            <w:tcBorders>
              <w:top w:val="nil"/>
              <w:left w:val="nil"/>
              <w:bottom w:val="nil"/>
              <w:right w:val="nil"/>
            </w:tcBorders>
            <w:shd w:val="clear" w:color="000000" w:fill="FBE2D5"/>
            <w:noWrap/>
            <w:hideMark/>
          </w:tcPr>
          <w:p w14:paraId="14A21825"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26.067</w:t>
            </w:r>
          </w:p>
        </w:tc>
        <w:tc>
          <w:tcPr>
            <w:tcW w:w="0" w:type="auto"/>
            <w:tcBorders>
              <w:top w:val="nil"/>
              <w:left w:val="nil"/>
              <w:bottom w:val="nil"/>
              <w:right w:val="nil"/>
            </w:tcBorders>
            <w:shd w:val="clear" w:color="000000" w:fill="FBE2D5"/>
            <w:noWrap/>
            <w:hideMark/>
          </w:tcPr>
          <w:p w14:paraId="2984F725"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69.581</w:t>
            </w:r>
          </w:p>
        </w:tc>
      </w:tr>
      <w:tr w:rsidR="00F531E9" w:rsidRPr="00F531E9" w14:paraId="3FC355BC" w14:textId="77777777" w:rsidTr="00F531E9">
        <w:trPr>
          <w:cantSplit/>
          <w:jc w:val="center"/>
        </w:trPr>
        <w:tc>
          <w:tcPr>
            <w:tcW w:w="0" w:type="auto"/>
            <w:tcBorders>
              <w:top w:val="nil"/>
              <w:left w:val="nil"/>
              <w:bottom w:val="nil"/>
              <w:right w:val="nil"/>
            </w:tcBorders>
            <w:noWrap/>
            <w:hideMark/>
          </w:tcPr>
          <w:p w14:paraId="34AE280F" w14:textId="77777777" w:rsidR="00F531E9" w:rsidRPr="00F531E9" w:rsidRDefault="00F531E9" w:rsidP="00061854">
            <w:pPr>
              <w:keepNext/>
              <w:rPr>
                <w:rFonts w:ascii="Aptos Narrow" w:hAnsi="Aptos Narrow"/>
                <w:color w:val="000000"/>
                <w:sz w:val="18"/>
                <w:szCs w:val="18"/>
              </w:rPr>
            </w:pPr>
            <w:r w:rsidRPr="00F531E9">
              <w:rPr>
                <w:rFonts w:ascii="Aptos Narrow" w:hAnsi="Aptos Narrow"/>
                <w:color w:val="000000"/>
                <w:sz w:val="18"/>
                <w:szCs w:val="18"/>
              </w:rPr>
              <w:t>Carapebus</w:t>
            </w:r>
          </w:p>
        </w:tc>
        <w:tc>
          <w:tcPr>
            <w:tcW w:w="0" w:type="auto"/>
            <w:tcBorders>
              <w:top w:val="nil"/>
              <w:left w:val="nil"/>
              <w:bottom w:val="nil"/>
              <w:right w:val="nil"/>
            </w:tcBorders>
            <w:noWrap/>
            <w:hideMark/>
          </w:tcPr>
          <w:p w14:paraId="184396CD"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623</w:t>
            </w:r>
          </w:p>
        </w:tc>
        <w:tc>
          <w:tcPr>
            <w:tcW w:w="0" w:type="auto"/>
            <w:tcBorders>
              <w:top w:val="nil"/>
              <w:left w:val="nil"/>
              <w:bottom w:val="nil"/>
              <w:right w:val="nil"/>
            </w:tcBorders>
            <w:noWrap/>
            <w:hideMark/>
          </w:tcPr>
          <w:p w14:paraId="73FCF7A8"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-1.029</w:t>
            </w:r>
          </w:p>
        </w:tc>
        <w:tc>
          <w:tcPr>
            <w:tcW w:w="0" w:type="auto"/>
            <w:tcBorders>
              <w:top w:val="nil"/>
              <w:left w:val="nil"/>
              <w:bottom w:val="nil"/>
              <w:right w:val="nil"/>
            </w:tcBorders>
            <w:noWrap/>
            <w:hideMark/>
          </w:tcPr>
          <w:p w14:paraId="4AB5E948"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1.652</w:t>
            </w:r>
          </w:p>
        </w:tc>
      </w:tr>
      <w:tr w:rsidR="00F531E9" w:rsidRPr="00F531E9" w14:paraId="3EFC3B40" w14:textId="77777777" w:rsidTr="00F531E9">
        <w:trPr>
          <w:cantSplit/>
          <w:jc w:val="center"/>
        </w:trPr>
        <w:tc>
          <w:tcPr>
            <w:tcW w:w="0" w:type="auto"/>
            <w:tcBorders>
              <w:top w:val="nil"/>
              <w:left w:val="nil"/>
              <w:bottom w:val="nil"/>
              <w:right w:val="nil"/>
            </w:tcBorders>
            <w:noWrap/>
            <w:hideMark/>
          </w:tcPr>
          <w:p w14:paraId="43BCDA53" w14:textId="77777777" w:rsidR="00F531E9" w:rsidRPr="00F531E9" w:rsidRDefault="00F531E9" w:rsidP="00061854">
            <w:pPr>
              <w:keepNext/>
              <w:rPr>
                <w:rFonts w:ascii="Aptos Narrow" w:hAnsi="Aptos Narrow"/>
                <w:color w:val="000000"/>
                <w:sz w:val="18"/>
                <w:szCs w:val="18"/>
              </w:rPr>
            </w:pPr>
            <w:r w:rsidRPr="00F531E9">
              <w:rPr>
                <w:rFonts w:ascii="Aptos Narrow" w:hAnsi="Aptos Narrow"/>
                <w:color w:val="000000"/>
                <w:sz w:val="18"/>
                <w:szCs w:val="18"/>
              </w:rPr>
              <w:t>Casimiro de Abreu</w:t>
            </w:r>
          </w:p>
        </w:tc>
        <w:tc>
          <w:tcPr>
            <w:tcW w:w="0" w:type="auto"/>
            <w:tcBorders>
              <w:top w:val="nil"/>
              <w:left w:val="nil"/>
              <w:bottom w:val="nil"/>
              <w:right w:val="nil"/>
            </w:tcBorders>
            <w:noWrap/>
            <w:hideMark/>
          </w:tcPr>
          <w:p w14:paraId="3F107180"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3.408</w:t>
            </w:r>
          </w:p>
        </w:tc>
        <w:tc>
          <w:tcPr>
            <w:tcW w:w="0" w:type="auto"/>
            <w:tcBorders>
              <w:top w:val="nil"/>
              <w:left w:val="nil"/>
              <w:bottom w:val="nil"/>
              <w:right w:val="nil"/>
            </w:tcBorders>
            <w:noWrap/>
            <w:hideMark/>
          </w:tcPr>
          <w:p w14:paraId="74DF230C"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1.072</w:t>
            </w:r>
          </w:p>
        </w:tc>
        <w:tc>
          <w:tcPr>
            <w:tcW w:w="0" w:type="auto"/>
            <w:tcBorders>
              <w:top w:val="nil"/>
              <w:left w:val="nil"/>
              <w:bottom w:val="nil"/>
              <w:right w:val="nil"/>
            </w:tcBorders>
            <w:noWrap/>
            <w:hideMark/>
          </w:tcPr>
          <w:p w14:paraId="2F50849D"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2.336</w:t>
            </w:r>
          </w:p>
        </w:tc>
      </w:tr>
      <w:tr w:rsidR="00F531E9" w:rsidRPr="00F531E9" w14:paraId="4136F023" w14:textId="77777777" w:rsidTr="00F531E9">
        <w:trPr>
          <w:cantSplit/>
          <w:jc w:val="center"/>
        </w:trPr>
        <w:tc>
          <w:tcPr>
            <w:tcW w:w="0" w:type="auto"/>
            <w:tcBorders>
              <w:top w:val="nil"/>
              <w:left w:val="nil"/>
              <w:bottom w:val="nil"/>
              <w:right w:val="nil"/>
            </w:tcBorders>
            <w:noWrap/>
            <w:hideMark/>
          </w:tcPr>
          <w:p w14:paraId="6D79D346" w14:textId="77777777" w:rsidR="00F531E9" w:rsidRPr="00F531E9" w:rsidRDefault="00F531E9" w:rsidP="00061854">
            <w:pPr>
              <w:keepNext/>
              <w:rPr>
                <w:rFonts w:ascii="Aptos Narrow" w:hAnsi="Aptos Narrow"/>
                <w:color w:val="000000"/>
                <w:sz w:val="18"/>
                <w:szCs w:val="18"/>
              </w:rPr>
            </w:pPr>
            <w:r w:rsidRPr="00F531E9">
              <w:rPr>
                <w:rFonts w:ascii="Aptos Narrow" w:hAnsi="Aptos Narrow"/>
                <w:color w:val="000000"/>
                <w:sz w:val="18"/>
                <w:szCs w:val="18"/>
              </w:rPr>
              <w:t>Conceição de Macabu</w:t>
            </w:r>
          </w:p>
        </w:tc>
        <w:tc>
          <w:tcPr>
            <w:tcW w:w="0" w:type="auto"/>
            <w:tcBorders>
              <w:top w:val="nil"/>
              <w:left w:val="nil"/>
              <w:bottom w:val="nil"/>
              <w:right w:val="nil"/>
            </w:tcBorders>
            <w:noWrap/>
            <w:hideMark/>
          </w:tcPr>
          <w:p w14:paraId="75AB1A24"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1.007</w:t>
            </w:r>
          </w:p>
        </w:tc>
        <w:tc>
          <w:tcPr>
            <w:tcW w:w="0" w:type="auto"/>
            <w:tcBorders>
              <w:top w:val="nil"/>
              <w:left w:val="nil"/>
              <w:bottom w:val="nil"/>
              <w:right w:val="nil"/>
            </w:tcBorders>
            <w:noWrap/>
            <w:hideMark/>
          </w:tcPr>
          <w:p w14:paraId="4016BEB4"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1.146</w:t>
            </w:r>
          </w:p>
        </w:tc>
        <w:tc>
          <w:tcPr>
            <w:tcW w:w="0" w:type="auto"/>
            <w:tcBorders>
              <w:top w:val="nil"/>
              <w:left w:val="nil"/>
              <w:bottom w:val="nil"/>
              <w:right w:val="nil"/>
            </w:tcBorders>
            <w:noWrap/>
            <w:hideMark/>
          </w:tcPr>
          <w:p w14:paraId="439EE152"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-139</w:t>
            </w:r>
          </w:p>
        </w:tc>
      </w:tr>
      <w:tr w:rsidR="00F531E9" w:rsidRPr="00F531E9" w14:paraId="23411F90" w14:textId="77777777" w:rsidTr="00F531E9">
        <w:trPr>
          <w:cantSplit/>
          <w:jc w:val="center"/>
        </w:trPr>
        <w:tc>
          <w:tcPr>
            <w:tcW w:w="0" w:type="auto"/>
            <w:tcBorders>
              <w:top w:val="nil"/>
              <w:left w:val="nil"/>
              <w:bottom w:val="nil"/>
              <w:right w:val="nil"/>
            </w:tcBorders>
            <w:noWrap/>
            <w:hideMark/>
          </w:tcPr>
          <w:p w14:paraId="73A75763" w14:textId="77777777" w:rsidR="00F531E9" w:rsidRPr="00F531E9" w:rsidRDefault="00F531E9" w:rsidP="00061854">
            <w:pPr>
              <w:keepNext/>
              <w:rPr>
                <w:rFonts w:ascii="Aptos Narrow" w:hAnsi="Aptos Narrow"/>
                <w:color w:val="000000"/>
                <w:sz w:val="18"/>
                <w:szCs w:val="18"/>
              </w:rPr>
            </w:pPr>
            <w:r w:rsidRPr="00F531E9">
              <w:rPr>
                <w:rFonts w:ascii="Aptos Narrow" w:hAnsi="Aptos Narrow"/>
                <w:color w:val="000000"/>
                <w:sz w:val="18"/>
                <w:szCs w:val="18"/>
              </w:rPr>
              <w:t>Macaé</w:t>
            </w:r>
          </w:p>
        </w:tc>
        <w:tc>
          <w:tcPr>
            <w:tcW w:w="0" w:type="auto"/>
            <w:tcBorders>
              <w:top w:val="nil"/>
              <w:left w:val="nil"/>
              <w:bottom w:val="nil"/>
              <w:right w:val="nil"/>
            </w:tcBorders>
            <w:noWrap/>
            <w:hideMark/>
          </w:tcPr>
          <w:p w14:paraId="75D067A6"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65.899</w:t>
            </w:r>
          </w:p>
        </w:tc>
        <w:tc>
          <w:tcPr>
            <w:tcW w:w="0" w:type="auto"/>
            <w:tcBorders>
              <w:top w:val="nil"/>
              <w:left w:val="nil"/>
              <w:bottom w:val="nil"/>
              <w:right w:val="nil"/>
            </w:tcBorders>
            <w:noWrap/>
            <w:hideMark/>
          </w:tcPr>
          <w:p w14:paraId="572540B7"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26.663</w:t>
            </w:r>
          </w:p>
        </w:tc>
        <w:tc>
          <w:tcPr>
            <w:tcW w:w="0" w:type="auto"/>
            <w:tcBorders>
              <w:top w:val="nil"/>
              <w:left w:val="nil"/>
              <w:bottom w:val="nil"/>
              <w:right w:val="nil"/>
            </w:tcBorders>
            <w:noWrap/>
            <w:hideMark/>
          </w:tcPr>
          <w:p w14:paraId="4B309E99"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39.236</w:t>
            </w:r>
          </w:p>
        </w:tc>
      </w:tr>
      <w:tr w:rsidR="00F531E9" w:rsidRPr="00F531E9" w14:paraId="5792D82B" w14:textId="77777777" w:rsidTr="00F531E9">
        <w:trPr>
          <w:cantSplit/>
          <w:jc w:val="center"/>
        </w:trPr>
        <w:tc>
          <w:tcPr>
            <w:tcW w:w="0" w:type="auto"/>
            <w:tcBorders>
              <w:top w:val="nil"/>
              <w:left w:val="nil"/>
              <w:bottom w:val="nil"/>
              <w:right w:val="nil"/>
            </w:tcBorders>
            <w:noWrap/>
            <w:hideMark/>
          </w:tcPr>
          <w:p w14:paraId="146491D6" w14:textId="77777777" w:rsidR="00F531E9" w:rsidRPr="00F531E9" w:rsidRDefault="00F531E9" w:rsidP="00061854">
            <w:pPr>
              <w:keepNext/>
              <w:rPr>
                <w:rFonts w:ascii="Aptos Narrow" w:hAnsi="Aptos Narrow"/>
                <w:color w:val="000000"/>
                <w:sz w:val="18"/>
                <w:szCs w:val="18"/>
              </w:rPr>
            </w:pPr>
            <w:r w:rsidRPr="00F531E9">
              <w:rPr>
                <w:rFonts w:ascii="Aptos Narrow" w:hAnsi="Aptos Narrow"/>
                <w:color w:val="000000"/>
                <w:sz w:val="18"/>
                <w:szCs w:val="18"/>
              </w:rPr>
              <w:t>Quissamã</w:t>
            </w:r>
          </w:p>
        </w:tc>
        <w:tc>
          <w:tcPr>
            <w:tcW w:w="0" w:type="auto"/>
            <w:tcBorders>
              <w:top w:val="nil"/>
              <w:left w:val="nil"/>
              <w:bottom w:val="nil"/>
              <w:right w:val="nil"/>
            </w:tcBorders>
            <w:noWrap/>
            <w:hideMark/>
          </w:tcPr>
          <w:p w14:paraId="713B6CE5"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1.029</w:t>
            </w:r>
          </w:p>
        </w:tc>
        <w:tc>
          <w:tcPr>
            <w:tcW w:w="0" w:type="auto"/>
            <w:tcBorders>
              <w:top w:val="nil"/>
              <w:left w:val="nil"/>
              <w:bottom w:val="nil"/>
              <w:right w:val="nil"/>
            </w:tcBorders>
            <w:noWrap/>
            <w:hideMark/>
          </w:tcPr>
          <w:p w14:paraId="0FCD8933"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-1.134</w:t>
            </w:r>
          </w:p>
        </w:tc>
        <w:tc>
          <w:tcPr>
            <w:tcW w:w="0" w:type="auto"/>
            <w:tcBorders>
              <w:top w:val="nil"/>
              <w:left w:val="nil"/>
              <w:bottom w:val="nil"/>
              <w:right w:val="nil"/>
            </w:tcBorders>
            <w:noWrap/>
            <w:hideMark/>
          </w:tcPr>
          <w:p w14:paraId="5B1534AE"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2.163</w:t>
            </w:r>
          </w:p>
        </w:tc>
      </w:tr>
      <w:tr w:rsidR="00F531E9" w:rsidRPr="00F531E9" w14:paraId="0395DE28" w14:textId="77777777" w:rsidTr="00F531E9">
        <w:trPr>
          <w:cantSplit/>
          <w:jc w:val="center"/>
        </w:trPr>
        <w:tc>
          <w:tcPr>
            <w:tcW w:w="0" w:type="auto"/>
            <w:tcBorders>
              <w:top w:val="nil"/>
              <w:left w:val="nil"/>
              <w:bottom w:val="single" w:sz="8" w:space="0" w:color="auto"/>
              <w:right w:val="nil"/>
            </w:tcBorders>
            <w:noWrap/>
            <w:hideMark/>
          </w:tcPr>
          <w:p w14:paraId="377BC51C" w14:textId="77777777" w:rsidR="00F531E9" w:rsidRPr="00F531E9" w:rsidRDefault="00F531E9" w:rsidP="00061854">
            <w:pPr>
              <w:keepNext/>
              <w:rPr>
                <w:rFonts w:ascii="Aptos Narrow" w:hAnsi="Aptos Narrow"/>
                <w:color w:val="000000"/>
                <w:sz w:val="18"/>
                <w:szCs w:val="18"/>
              </w:rPr>
            </w:pPr>
            <w:r w:rsidRPr="00F531E9">
              <w:rPr>
                <w:rFonts w:ascii="Aptos Narrow" w:hAnsi="Aptos Narrow"/>
                <w:color w:val="000000"/>
                <w:sz w:val="18"/>
                <w:szCs w:val="18"/>
              </w:rPr>
              <w:t>Rio das Ostras</w:t>
            </w:r>
          </w:p>
        </w:tc>
        <w:tc>
          <w:tcPr>
            <w:tcW w:w="0" w:type="auto"/>
            <w:tcBorders>
              <w:top w:val="nil"/>
              <w:left w:val="nil"/>
              <w:bottom w:val="single" w:sz="8" w:space="0" w:color="auto"/>
              <w:right w:val="nil"/>
            </w:tcBorders>
            <w:noWrap/>
            <w:hideMark/>
          </w:tcPr>
          <w:p w14:paraId="224594B2"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23.682</w:t>
            </w:r>
          </w:p>
        </w:tc>
        <w:tc>
          <w:tcPr>
            <w:tcW w:w="0" w:type="auto"/>
            <w:tcBorders>
              <w:top w:val="nil"/>
              <w:left w:val="nil"/>
              <w:bottom w:val="single" w:sz="8" w:space="0" w:color="auto"/>
              <w:right w:val="nil"/>
            </w:tcBorders>
            <w:noWrap/>
            <w:hideMark/>
          </w:tcPr>
          <w:p w14:paraId="62663C1D"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5.080</w:t>
            </w:r>
          </w:p>
        </w:tc>
        <w:tc>
          <w:tcPr>
            <w:tcW w:w="0" w:type="auto"/>
            <w:tcBorders>
              <w:top w:val="nil"/>
              <w:left w:val="nil"/>
              <w:bottom w:val="single" w:sz="8" w:space="0" w:color="auto"/>
              <w:right w:val="nil"/>
            </w:tcBorders>
            <w:noWrap/>
            <w:hideMark/>
          </w:tcPr>
          <w:p w14:paraId="071D215F" w14:textId="77777777" w:rsidR="00F531E9" w:rsidRPr="00F531E9" w:rsidRDefault="00F531E9" w:rsidP="00061854">
            <w:pPr>
              <w:keepNext/>
              <w:jc w:val="right"/>
              <w:rPr>
                <w:rFonts w:ascii="Aptos Narrow" w:hAnsi="Aptos Narrow"/>
                <w:color w:val="000000"/>
                <w:sz w:val="18"/>
                <w:szCs w:val="18"/>
              </w:rPr>
            </w:pPr>
            <w:r w:rsidRPr="00F531E9">
              <w:rPr>
                <w:rFonts w:ascii="Aptos Narrow" w:hAnsi="Aptos Narrow"/>
                <w:color w:val="000000"/>
                <w:sz w:val="18"/>
                <w:szCs w:val="18"/>
              </w:rPr>
              <w:t>18.602</w:t>
            </w:r>
          </w:p>
        </w:tc>
      </w:tr>
    </w:tbl>
    <w:p w14:paraId="48A227D0" w14:textId="05258CA7" w:rsidR="00EE6BC6" w:rsidRPr="000528D2" w:rsidRDefault="000528D2" w:rsidP="000528D2">
      <w:pPr>
        <w:pStyle w:val="Fonte"/>
      </w:pPr>
      <w:bookmarkStart w:id="20" w:name="_Hlk211950911"/>
      <w:r>
        <w:t xml:space="preserve">Fonte: Relação Anual de Informações Sociais </w:t>
      </w:r>
      <w:r w:rsidR="007E09F5">
        <w:t>(</w:t>
      </w:r>
      <w:r>
        <w:t>2002-202</w:t>
      </w:r>
      <w:r w:rsidR="004068EF">
        <w:t>1</w:t>
      </w:r>
      <w:r>
        <w:t>)</w:t>
      </w:r>
      <w:r w:rsidR="007E09F5">
        <w:t xml:space="preserve"> </w:t>
      </w:r>
    </w:p>
    <w:bookmarkEnd w:id="20"/>
    <w:p w14:paraId="32F15D46" w14:textId="4DABB2A9" w:rsidR="00554527" w:rsidRDefault="0028294B" w:rsidP="00554527">
      <w:pPr>
        <w:pStyle w:val="Corpodetexto"/>
        <w:rPr>
          <w:b/>
          <w:bCs/>
        </w:rPr>
      </w:pPr>
      <w:r>
        <w:t xml:space="preserve">O tamanho médio, </w:t>
      </w:r>
      <w:r w:rsidRPr="00554527">
        <w:t>por</w:t>
      </w:r>
      <w:r>
        <w:t xml:space="preserve"> sua vez, pode ser decomposto em </w:t>
      </w:r>
      <w:r w:rsidR="002B3DF1">
        <w:t>efeito escala e efeito composição</w:t>
      </w:r>
      <w:r w:rsidR="00554527">
        <w:t xml:space="preserve">. Essa </w:t>
      </w:r>
      <w:r w:rsidR="00554527" w:rsidRPr="00554527">
        <w:t>decomposição</w:t>
      </w:r>
      <w:r w:rsidR="00554527">
        <w:t xml:space="preserve"> de segunda ordem permite separar se o crescimento do </w:t>
      </w:r>
      <w:r w:rsidR="00554527" w:rsidRPr="00554527">
        <w:t>tamanho médio dos estabelecimentos</w:t>
      </w:r>
      <w:r w:rsidR="00554527">
        <w:t xml:space="preserve"> </w:t>
      </w:r>
      <w:r w:rsidR="03D45559">
        <w:t>decorrente</w:t>
      </w:r>
      <w:r w:rsidR="00554527">
        <w:t xml:space="preserve"> de mudanças </w:t>
      </w:r>
      <w:r w:rsidR="00554527" w:rsidRPr="00554527">
        <w:t>dentro dos setores (efeito escala)</w:t>
      </w:r>
      <w:r w:rsidR="00554527">
        <w:t xml:space="preserve"> ou </w:t>
      </w:r>
      <w:r w:rsidR="00554527" w:rsidRPr="00554527">
        <w:t>entre setores (efeito composição)</w:t>
      </w:r>
      <w:r w:rsidR="00554527">
        <w:t xml:space="preserve">. </w:t>
      </w:r>
      <w:r w:rsidR="00554527" w:rsidRPr="00554527">
        <w:t>O</w:t>
      </w:r>
      <w:r w:rsidR="00B21170" w:rsidRPr="00554527">
        <w:t xml:space="preserve"> tamanho de um estabelecimento tem relação com o setor de atividade</w:t>
      </w:r>
      <w:r w:rsidR="00554527">
        <w:t>, pois,</w:t>
      </w:r>
      <w:r w:rsidR="00B21170" w:rsidRPr="00554527">
        <w:t xml:space="preserve"> alguns setores </w:t>
      </w:r>
      <w:r w:rsidR="00790658">
        <w:t xml:space="preserve">são tradicionalmente maiores do que outros, a exemplo </w:t>
      </w:r>
      <w:r w:rsidR="00790658">
        <w:lastRenderedPageBreak/>
        <w:t xml:space="preserve">do industrial e </w:t>
      </w:r>
      <w:r w:rsidR="00554527">
        <w:t xml:space="preserve">de </w:t>
      </w:r>
      <w:r w:rsidR="00790658">
        <w:t xml:space="preserve">comércio. Assim, uma redistribuição dos estabelecimentos com concentração de </w:t>
      </w:r>
      <w:r w:rsidR="00F25202">
        <w:t>estabelecimentos de setores que tendam a ser maiores, pode induzir um aumento do tamanho dos estabelecimentos, sem que este aumento seja generalizado em todos os setores (</w:t>
      </w:r>
      <w:r w:rsidR="00174EC2">
        <w:t>Corseuil, Moura e Ramos, 2011)</w:t>
      </w:r>
      <w:r w:rsidR="00F76F96">
        <w:t>.</w:t>
      </w:r>
      <w:r w:rsidR="00554527" w:rsidRPr="00554527">
        <w:rPr>
          <w:b/>
          <w:bCs/>
        </w:rPr>
        <w:t xml:space="preserve"> </w:t>
      </w:r>
    </w:p>
    <w:p w14:paraId="7BDA14C2" w14:textId="30B171E2" w:rsidR="03D45559" w:rsidRDefault="03D45559" w:rsidP="03D45559">
      <w:pPr>
        <w:pStyle w:val="Corpodetexto"/>
      </w:pPr>
      <w:r>
        <w:t xml:space="preserve">Então, se G: </w:t>
      </w:r>
      <m:oMath>
        <m:d>
          <m:dPr>
            <m:begChr m:val="{"/>
            <m:endChr m:val="}"/>
            <m:ctrlPr>
              <w:rPr>
                <w:rFonts w:ascii="Cambria Math" w:hAnsi="Cambria Math"/>
              </w:rPr>
            </m:ctrlPr>
          </m:dPr>
          <m:e>
            <m:r>
              <w:rPr>
                <w:rFonts w:ascii="Cambria Math" w:hAnsi="Cambria Math"/>
              </w:rPr>
              <m:t>g=1, 2, …,n</m:t>
            </m:r>
          </m:e>
        </m:d>
      </m:oMath>
      <w:r>
        <w:t xml:space="preserve"> uma parte do universo estabelecimentos em diversos setores de atividade no segmento formal da economia; o tamanho médio desses estabelecimentos em um instante t do tempo, pode ser representado pela média ponderada entre os tamanhos médios em diversos setores: </w:t>
      </w:r>
      <m:oMath>
        <m:r>
          <w:rPr>
            <w:rFonts w:ascii="Cambria Math" w:hAnsi="Cambria Math"/>
          </w:rPr>
          <m:t>T</m:t>
        </m:r>
        <m:sSub>
          <m:sSubPr>
            <m:ctrlPr>
              <w:rPr>
                <w:rFonts w:ascii="Cambria Math" w:hAnsi="Cambria Math"/>
              </w:rPr>
            </m:ctrlPr>
          </m:sSubPr>
          <m:e>
            <m:r>
              <w:rPr>
                <w:rFonts w:ascii="Cambria Math" w:hAnsi="Cambria Math"/>
              </w:rPr>
              <m:t>M</m:t>
            </m:r>
          </m:e>
          <m:sub>
            <m:r>
              <w:rPr>
                <w:rFonts w:ascii="Cambria Math" w:hAnsi="Cambria Math"/>
              </w:rPr>
              <m:t>t</m:t>
            </m:r>
          </m:sub>
        </m:sSub>
        <m:r>
          <w:rPr>
            <w:rFonts w:ascii="Cambria Math" w:hAnsi="Cambria Math"/>
          </w:rPr>
          <m:t>=</m:t>
        </m:r>
        <m:nary>
          <m:naryPr>
            <m:chr m:val="∑"/>
            <m:supHide m:val="1"/>
            <m:ctrlPr>
              <w:rPr>
                <w:rFonts w:ascii="Cambria Math" w:hAnsi="Cambria Math"/>
              </w:rPr>
            </m:ctrlPr>
          </m:naryPr>
          <m:sub>
            <m:sSubSup>
              <m:sSubSupPr>
                <m:ctrlPr>
                  <w:rPr>
                    <w:rFonts w:ascii="Cambria Math" w:hAnsi="Cambria Math"/>
                  </w:rPr>
                </m:ctrlPr>
              </m:sSubSupPr>
              <m:e>
                <m:r>
                  <w:rPr>
                    <w:rFonts w:ascii="Cambria Math" w:hAnsi="Cambria Math"/>
                  </w:rPr>
                  <m:t> </m:t>
                </m:r>
              </m:e>
              <m:sub>
                <m:r>
                  <w:rPr>
                    <w:rFonts w:ascii="Cambria Math" w:hAnsi="Cambria Math"/>
                  </w:rPr>
                  <m:t>g</m:t>
                </m:r>
              </m:sub>
              <m:sup>
                <m:r>
                  <w:rPr>
                    <w:rFonts w:ascii="Cambria Math" w:hAnsi="Cambria Math"/>
                  </w:rPr>
                  <m:t> </m:t>
                </m:r>
              </m:sup>
            </m:sSubSup>
          </m:sub>
          <m:sup/>
          <m:e>
            <m:r>
              <w:rPr>
                <w:rFonts w:ascii="Cambria Math" w:hAnsi="Cambria Math"/>
              </w:rPr>
              <m:t>w</m:t>
            </m:r>
            <m:sSub>
              <m:sSubPr>
                <m:ctrlPr>
                  <w:rPr>
                    <w:rFonts w:ascii="Cambria Math" w:hAnsi="Cambria Math"/>
                  </w:rPr>
                </m:ctrlPr>
              </m:sSubPr>
              <m:e>
                <m:r>
                  <w:rPr>
                    <w:rFonts w:ascii="Cambria Math" w:hAnsi="Cambria Math"/>
                  </w:rPr>
                  <m:t>g</m:t>
                </m:r>
              </m:e>
              <m:sub>
                <m:r>
                  <w:rPr>
                    <w:rFonts w:ascii="Cambria Math" w:hAnsi="Cambria Math"/>
                  </w:rPr>
                  <m:t>t</m:t>
                </m:r>
              </m:sub>
            </m:sSub>
          </m:e>
        </m:nary>
        <m:r>
          <w:rPr>
            <w:rFonts w:ascii="Cambria Math" w:hAnsi="Cambria Math"/>
          </w:rPr>
          <m:t>.TM</m:t>
        </m:r>
        <m:sSub>
          <m:sSubPr>
            <m:ctrlPr>
              <w:rPr>
                <w:rFonts w:ascii="Cambria Math" w:hAnsi="Cambria Math"/>
              </w:rPr>
            </m:ctrlPr>
          </m:sSubPr>
          <m:e>
            <m:r>
              <w:rPr>
                <w:rFonts w:ascii="Cambria Math" w:hAnsi="Cambria Math"/>
              </w:rPr>
              <m:t>g</m:t>
            </m:r>
          </m:e>
          <m:sub>
            <m:r>
              <w:rPr>
                <w:rFonts w:ascii="Cambria Math" w:hAnsi="Cambria Math"/>
              </w:rPr>
              <m:t>t</m:t>
            </m:r>
          </m:sub>
        </m:sSub>
      </m:oMath>
      <w:r w:rsidR="71F9A0E4">
        <w:t>.</w:t>
      </w:r>
    </w:p>
    <w:p w14:paraId="4AAF23AE" w14:textId="6DDC402F" w:rsidR="38499080" w:rsidRDefault="5D14F32B" w:rsidP="38499080">
      <w:pPr>
        <w:pStyle w:val="Corpodetexto"/>
      </w:pPr>
      <w:r>
        <w:t xml:space="preserve">Sendo </w:t>
      </w:r>
      <w:proofErr w:type="spellStart"/>
      <w:proofErr w:type="gramStart"/>
      <w:r>
        <w:t>TMg</w:t>
      </w:r>
      <w:r w:rsidRPr="5D14F32B">
        <w:rPr>
          <w:vertAlign w:val="subscript"/>
        </w:rPr>
        <w:t>t</w:t>
      </w:r>
      <w:proofErr w:type="spellEnd"/>
      <w:r w:rsidRPr="5D14F32B">
        <w:rPr>
          <w:vertAlign w:val="subscript"/>
        </w:rPr>
        <w:t xml:space="preserve"> </w:t>
      </w:r>
      <w:r w:rsidRPr="5D14F32B">
        <w:t xml:space="preserve"> o</w:t>
      </w:r>
      <w:proofErr w:type="gramEnd"/>
      <w:r w:rsidRPr="5D14F32B">
        <w:t xml:space="preserve"> tamanho médio dos estabelecimentos no g-ésimo grupo no instante t e wg</w:t>
      </w:r>
      <w:r w:rsidRPr="5D14F32B">
        <w:rPr>
          <w:vertAlign w:val="subscript"/>
        </w:rPr>
        <w:t>t</w:t>
      </w:r>
      <w:r w:rsidRPr="5D14F32B">
        <w:t xml:space="preserve"> é a proporção dos estabelecimentos naquele grupo no tempo t. </w:t>
      </w:r>
    </w:p>
    <w:p w14:paraId="1CC483F5" w14:textId="1EC62F97" w:rsidR="5D14F32B" w:rsidRDefault="5D14F32B" w:rsidP="5D14F32B">
      <w:pPr>
        <w:pStyle w:val="Citao"/>
      </w:pPr>
      <w:r w:rsidRPr="5D14F32B">
        <w:t xml:space="preserve">Dessa forma, podemos investigar em que medida a variação observada no tamanho médio dos estabelecimentos formais foi induzida por uma mudança na composição desse universo, no que tange ao setor de atividade </w:t>
      </w:r>
      <w:r>
        <w:t>(Corseuil, Moura e Ramos, 201; p. 51)</w:t>
      </w:r>
      <w:r w:rsidRPr="5D14F32B">
        <w:t>.</w:t>
      </w:r>
    </w:p>
    <w:p w14:paraId="1BCDE4D7" w14:textId="4233DA10" w:rsidR="70639163" w:rsidRDefault="001F13B5" w:rsidP="1631CDC1">
      <w:pPr>
        <w:jc w:val="both"/>
      </w:pPr>
      <m:oMathPara>
        <m:oMath>
          <m:r>
            <w:rPr>
              <w:rFonts w:ascii="Cambria Math" w:hAnsi="Cambria Math"/>
            </w:rPr>
            <m:t>T</m:t>
          </m:r>
          <m:sSub>
            <m:sSubPr>
              <m:ctrlPr>
                <w:rPr>
                  <w:rFonts w:ascii="Cambria Math" w:hAnsi="Cambria Math"/>
                </w:rPr>
              </m:ctrlPr>
            </m:sSubPr>
            <m:e>
              <m:r>
                <w:rPr>
                  <w:rFonts w:ascii="Cambria Math" w:hAnsi="Cambria Math"/>
                </w:rPr>
                <m:t>M</m:t>
              </m:r>
            </m:e>
            <m:sub>
              <m:r>
                <w:rPr>
                  <w:rFonts w:ascii="Cambria Math" w:hAnsi="Cambria Math"/>
                </w:rPr>
                <m:t>1</m:t>
              </m:r>
            </m:sub>
          </m:sSub>
          <m:r>
            <w:rPr>
              <w:rFonts w:ascii="Cambria Math" w:hAnsi="Cambria Math"/>
            </w:rPr>
            <m:t>-T</m:t>
          </m:r>
          <m:sSub>
            <m:sSubPr>
              <m:ctrlPr>
                <w:rPr>
                  <w:rFonts w:ascii="Cambria Math" w:hAnsi="Cambria Math"/>
                </w:rPr>
              </m:ctrlPr>
            </m:sSubPr>
            <m:e>
              <m:r>
                <w:rPr>
                  <w:rFonts w:ascii="Cambria Math" w:hAnsi="Cambria Math"/>
                </w:rPr>
                <m:t>M</m:t>
              </m:r>
            </m:e>
            <m:sub>
              <m:r>
                <w:rPr>
                  <w:rFonts w:ascii="Cambria Math" w:hAnsi="Cambria Math"/>
                </w:rPr>
                <m:t>0</m:t>
              </m:r>
            </m:sub>
          </m:sSub>
          <m:r>
            <w:rPr>
              <w:rFonts w:ascii="Cambria Math" w:hAnsi="Cambria Math"/>
            </w:rPr>
            <m:t>=</m:t>
          </m:r>
          <m:nary>
            <m:naryPr>
              <m:chr m:val="∑"/>
              <m:ctrlPr>
                <w:rPr>
                  <w:rFonts w:ascii="Cambria Math" w:hAnsi="Cambria Math"/>
                </w:rPr>
              </m:ctrlPr>
            </m:naryPr>
            <m:sub>
              <m:r>
                <w:rPr>
                  <w:rFonts w:ascii="Cambria Math" w:hAnsi="Cambria Math"/>
                </w:rPr>
                <m:t> g</m:t>
              </m:r>
            </m:sub>
            <m:sup>
              <m:r>
                <w:rPr>
                  <w:rFonts w:ascii="Cambria Math" w:hAnsi="Cambria Math"/>
                </w:rPr>
                <m:t> </m:t>
              </m:r>
            </m:sup>
            <m:e>
              <m:r>
                <w:rPr>
                  <w:rFonts w:ascii="Cambria Math" w:hAnsi="Cambria Math"/>
                </w:rPr>
                <m:t>w</m:t>
              </m:r>
              <m:sSub>
                <m:sSubPr>
                  <m:ctrlPr>
                    <w:rPr>
                      <w:rFonts w:ascii="Cambria Math" w:hAnsi="Cambria Math"/>
                    </w:rPr>
                  </m:ctrlPr>
                </m:sSubPr>
                <m:e>
                  <m:r>
                    <w:rPr>
                      <w:rFonts w:ascii="Cambria Math" w:hAnsi="Cambria Math"/>
                    </w:rPr>
                    <m:t>g</m:t>
                  </m:r>
                </m:e>
                <m:sub>
                  <m:r>
                    <w:rPr>
                      <w:rFonts w:ascii="Cambria Math" w:hAnsi="Cambria Math"/>
                    </w:rPr>
                    <m:t>1</m:t>
                  </m:r>
                </m:sub>
              </m:sSub>
            </m:e>
          </m:nary>
          <m:r>
            <w:rPr>
              <w:rFonts w:ascii="Cambria Math" w:hAnsi="Cambria Math"/>
            </w:rPr>
            <m:t>TM</m:t>
          </m:r>
          <m:sSub>
            <m:sSubPr>
              <m:ctrlPr>
                <w:rPr>
                  <w:rFonts w:ascii="Cambria Math" w:hAnsi="Cambria Math"/>
                </w:rPr>
              </m:ctrlPr>
            </m:sSubPr>
            <m:e>
              <m:r>
                <w:rPr>
                  <w:rFonts w:ascii="Cambria Math" w:hAnsi="Cambria Math"/>
                </w:rPr>
                <m:t>g</m:t>
              </m:r>
            </m:e>
            <m:sub>
              <m:r>
                <w:rPr>
                  <w:rFonts w:ascii="Cambria Math" w:hAnsi="Cambria Math"/>
                </w:rPr>
                <m:t>1</m:t>
              </m:r>
            </m:sub>
          </m:sSub>
          <m:r>
            <w:rPr>
              <w:rFonts w:ascii="Cambria Math" w:hAnsi="Cambria Math"/>
            </w:rPr>
            <m:t>-</m:t>
          </m:r>
          <m:nary>
            <m:naryPr>
              <m:chr m:val="∑"/>
              <m:ctrlPr>
                <w:rPr>
                  <w:rFonts w:ascii="Cambria Math" w:hAnsi="Cambria Math"/>
                </w:rPr>
              </m:ctrlPr>
            </m:naryPr>
            <m:sub>
              <m:r>
                <w:rPr>
                  <w:rFonts w:ascii="Cambria Math" w:hAnsi="Cambria Math"/>
                </w:rPr>
                <m:t> g</m:t>
              </m:r>
            </m:sub>
            <m:sup>
              <m:r>
                <w:rPr>
                  <w:rFonts w:ascii="Cambria Math" w:hAnsi="Cambria Math"/>
                </w:rPr>
                <m:t> </m:t>
              </m:r>
            </m:sup>
            <m:e>
              <m:r>
                <w:rPr>
                  <w:rFonts w:ascii="Cambria Math" w:hAnsi="Cambria Math"/>
                </w:rPr>
                <m:t>w</m:t>
              </m:r>
              <m:sSub>
                <m:sSubPr>
                  <m:ctrlPr>
                    <w:rPr>
                      <w:rFonts w:ascii="Cambria Math" w:hAnsi="Cambria Math"/>
                    </w:rPr>
                  </m:ctrlPr>
                </m:sSubPr>
                <m:e>
                  <m:r>
                    <w:rPr>
                      <w:rFonts w:ascii="Cambria Math" w:hAnsi="Cambria Math"/>
                    </w:rPr>
                    <m:t>g</m:t>
                  </m:r>
                </m:e>
                <m:sub>
                  <m:r>
                    <w:rPr>
                      <w:rFonts w:ascii="Cambria Math" w:hAnsi="Cambria Math"/>
                    </w:rPr>
                    <m:t>0</m:t>
                  </m:r>
                </m:sub>
              </m:sSub>
            </m:e>
          </m:nary>
          <m:r>
            <w:rPr>
              <w:rFonts w:ascii="Cambria Math" w:hAnsi="Cambria Math"/>
            </w:rPr>
            <m:t>TM</m:t>
          </m:r>
          <m:sSub>
            <m:sSubPr>
              <m:ctrlPr>
                <w:rPr>
                  <w:rFonts w:ascii="Cambria Math" w:hAnsi="Cambria Math"/>
                </w:rPr>
              </m:ctrlPr>
            </m:sSubPr>
            <m:e>
              <m:r>
                <w:rPr>
                  <w:rFonts w:ascii="Cambria Math" w:hAnsi="Cambria Math"/>
                </w:rPr>
                <m:t>g</m:t>
              </m:r>
            </m:e>
            <m:sub>
              <m:r>
                <w:rPr>
                  <w:rFonts w:ascii="Cambria Math" w:hAnsi="Cambria Math"/>
                </w:rPr>
                <m:t>0</m:t>
              </m:r>
            </m:sub>
          </m:sSub>
        </m:oMath>
      </m:oMathPara>
    </w:p>
    <w:p w14:paraId="57282570" w14:textId="366DEE45" w:rsidR="313B9C23" w:rsidRDefault="313B9C23" w:rsidP="313B9C23">
      <w:pPr>
        <w:jc w:val="both"/>
      </w:pPr>
    </w:p>
    <w:p w14:paraId="7AC5F22F" w14:textId="32BBFF46" w:rsidR="0902BD13" w:rsidRDefault="00C51C4E" w:rsidP="0902BD13">
      <w:pPr>
        <w:jc w:val="both"/>
      </w:pPr>
      <m:oMathPara>
        <m:oMath>
          <m:r>
            <w:rPr>
              <w:rFonts w:ascii="Cambria Math" w:hAnsi="Cambria Math"/>
            </w:rPr>
            <m:t>T</m:t>
          </m:r>
          <m:sSub>
            <m:sSubPr>
              <m:ctrlPr>
                <w:rPr>
                  <w:rFonts w:ascii="Cambria Math" w:hAnsi="Cambria Math"/>
                </w:rPr>
              </m:ctrlPr>
            </m:sSubPr>
            <m:e>
              <m:r>
                <w:rPr>
                  <w:rFonts w:ascii="Cambria Math" w:hAnsi="Cambria Math"/>
                </w:rPr>
                <m:t>M</m:t>
              </m:r>
            </m:e>
            <m:sub>
              <m:r>
                <w:rPr>
                  <w:rFonts w:ascii="Cambria Math" w:hAnsi="Cambria Math"/>
                </w:rPr>
                <m:t>1</m:t>
              </m:r>
            </m:sub>
          </m:sSub>
          <m:r>
            <w:rPr>
              <w:rFonts w:ascii="Cambria Math" w:hAnsi="Cambria Math"/>
            </w:rPr>
            <m:t>-T</m:t>
          </m:r>
          <m:sSub>
            <m:sSubPr>
              <m:ctrlPr>
                <w:rPr>
                  <w:rFonts w:ascii="Cambria Math" w:hAnsi="Cambria Math"/>
                </w:rPr>
              </m:ctrlPr>
            </m:sSubPr>
            <m:e>
              <m:r>
                <w:rPr>
                  <w:rFonts w:ascii="Cambria Math" w:hAnsi="Cambria Math"/>
                </w:rPr>
                <m:t>M</m:t>
              </m:r>
            </m:e>
            <m:sub>
              <m:r>
                <w:rPr>
                  <w:rFonts w:ascii="Cambria Math" w:hAnsi="Cambria Math"/>
                </w:rPr>
                <m:t>0</m:t>
              </m:r>
            </m:sub>
          </m:sSub>
          <m:r>
            <w:rPr>
              <w:rFonts w:ascii="Cambria Math" w:hAnsi="Cambria Math"/>
            </w:rPr>
            <m:t>=</m:t>
          </m:r>
          <m:nary>
            <m:naryPr>
              <m:chr m:val="∑"/>
              <m:ctrlPr>
                <w:rPr>
                  <w:rFonts w:ascii="Cambria Math" w:hAnsi="Cambria Math"/>
                </w:rPr>
              </m:ctrlPr>
            </m:naryPr>
            <m:sub>
              <m:r>
                <w:rPr>
                  <w:rFonts w:ascii="Cambria Math" w:hAnsi="Cambria Math"/>
                </w:rPr>
                <m:t> g</m:t>
              </m:r>
            </m:sub>
            <m:sup>
              <m:r>
                <w:rPr>
                  <w:rFonts w:ascii="Cambria Math" w:hAnsi="Cambria Math"/>
                </w:rPr>
                <m:t> </m:t>
              </m:r>
            </m:sup>
            <m:e>
              <m:r>
                <w:rPr>
                  <w:rFonts w:ascii="Cambria Math" w:hAnsi="Cambria Math"/>
                </w:rPr>
                <m:t>w</m:t>
              </m:r>
              <m:bar>
                <m:barPr>
                  <m:pos m:val="top"/>
                  <m:ctrlPr>
                    <w:rPr>
                      <w:rFonts w:ascii="Cambria Math" w:hAnsi="Cambria Math"/>
                    </w:rPr>
                  </m:ctrlPr>
                </m:barPr>
                <m:e>
                  <m:r>
                    <w:rPr>
                      <w:rFonts w:ascii="Cambria Math" w:hAnsi="Cambria Math"/>
                    </w:rPr>
                    <m:t>g</m:t>
                  </m:r>
                </m:e>
              </m:bar>
              <m:d>
                <m:dPr>
                  <m:ctrlPr>
                    <w:rPr>
                      <w:rFonts w:ascii="Cambria Math" w:hAnsi="Cambria Math"/>
                    </w:rPr>
                  </m:ctrlPr>
                </m:dPr>
                <m:e>
                  <m:r>
                    <w:rPr>
                      <w:rFonts w:ascii="Cambria Math" w:hAnsi="Cambria Math"/>
                    </w:rPr>
                    <m:t>T</m:t>
                  </m:r>
                  <m:sSub>
                    <m:sSubPr>
                      <m:ctrlPr>
                        <w:rPr>
                          <w:rFonts w:ascii="Cambria Math" w:hAnsi="Cambria Math"/>
                        </w:rPr>
                      </m:ctrlPr>
                    </m:sSubPr>
                    <m:e>
                      <m:r>
                        <w:rPr>
                          <w:rFonts w:ascii="Cambria Math" w:hAnsi="Cambria Math"/>
                        </w:rPr>
                        <m:t>M</m:t>
                      </m:r>
                    </m:e>
                    <m:sub>
                      <m:r>
                        <w:rPr>
                          <w:rFonts w:ascii="Cambria Math" w:hAnsi="Cambria Math"/>
                        </w:rPr>
                        <m:t>g1</m:t>
                      </m:r>
                    </m:sub>
                  </m:sSub>
                  <m:r>
                    <w:rPr>
                      <w:rFonts w:ascii="Cambria Math" w:hAnsi="Cambria Math"/>
                    </w:rPr>
                    <m:t>-T</m:t>
                  </m:r>
                  <m:sSub>
                    <m:sSubPr>
                      <m:ctrlPr>
                        <w:rPr>
                          <w:rFonts w:ascii="Cambria Math" w:hAnsi="Cambria Math"/>
                        </w:rPr>
                      </m:ctrlPr>
                    </m:sSubPr>
                    <m:e>
                      <m:r>
                        <w:rPr>
                          <w:rFonts w:ascii="Cambria Math" w:hAnsi="Cambria Math"/>
                        </w:rPr>
                        <m:t>M</m:t>
                      </m:r>
                    </m:e>
                    <m:sub>
                      <m:r>
                        <w:rPr>
                          <w:rFonts w:ascii="Cambria Math" w:hAnsi="Cambria Math"/>
                        </w:rPr>
                        <m:t>g0</m:t>
                      </m:r>
                    </m:sub>
                  </m:sSub>
                </m:e>
              </m:d>
            </m:e>
          </m:nary>
          <m:r>
            <w:rPr>
              <w:rFonts w:ascii="Cambria Math" w:hAnsi="Cambria Math"/>
            </w:rPr>
            <m:t>+</m:t>
          </m:r>
          <m:nary>
            <m:naryPr>
              <m:chr m:val="∑"/>
              <m:ctrlPr>
                <w:rPr>
                  <w:rFonts w:ascii="Cambria Math" w:hAnsi="Cambria Math"/>
                </w:rPr>
              </m:ctrlPr>
            </m:naryPr>
            <m:sub>
              <m:r>
                <w:rPr>
                  <w:rFonts w:ascii="Cambria Math" w:hAnsi="Cambria Math"/>
                </w:rPr>
                <m:t> g</m:t>
              </m:r>
            </m:sub>
            <m:sup>
              <m:r>
                <w:rPr>
                  <w:rFonts w:ascii="Cambria Math" w:hAnsi="Cambria Math"/>
                </w:rPr>
                <m:t> </m:t>
              </m:r>
            </m:sup>
            <m:e>
              <m:r>
                <w:rPr>
                  <w:rFonts w:ascii="Cambria Math" w:hAnsi="Cambria Math"/>
                </w:rPr>
                <m:t>TM</m:t>
              </m:r>
              <m:bar>
                <m:barPr>
                  <m:pos m:val="top"/>
                  <m:ctrlPr>
                    <w:rPr>
                      <w:rFonts w:ascii="Cambria Math" w:hAnsi="Cambria Math"/>
                    </w:rPr>
                  </m:ctrlPr>
                </m:barPr>
                <m:e>
                  <m:r>
                    <w:rPr>
                      <w:rFonts w:ascii="Cambria Math" w:hAnsi="Cambria Math"/>
                    </w:rPr>
                    <m:t>g</m:t>
                  </m:r>
                </m:e>
              </m:bar>
            </m:e>
          </m:nary>
          <m:r>
            <w:rPr>
              <w:rFonts w:ascii="Cambria Math" w:hAnsi="Cambria Math"/>
            </w:rPr>
            <m:t> </m:t>
          </m:r>
          <m:d>
            <m:dPr>
              <m:ctrlPr>
                <w:rPr>
                  <w:rFonts w:ascii="Cambria Math" w:hAnsi="Cambria Math"/>
                </w:rPr>
              </m:ctrlPr>
            </m:dPr>
            <m:e>
              <m:r>
                <w:rPr>
                  <w:rFonts w:ascii="Cambria Math" w:hAnsi="Cambria Math"/>
                </w:rPr>
                <m:t>w</m:t>
              </m:r>
              <m:sSub>
                <m:sSubPr>
                  <m:ctrlPr>
                    <w:rPr>
                      <w:rFonts w:ascii="Cambria Math" w:hAnsi="Cambria Math"/>
                    </w:rPr>
                  </m:ctrlPr>
                </m:sSubPr>
                <m:e>
                  <m:r>
                    <w:rPr>
                      <w:rFonts w:ascii="Cambria Math" w:hAnsi="Cambria Math"/>
                    </w:rPr>
                    <m:t>g</m:t>
                  </m:r>
                </m:e>
                <m:sub>
                  <m:r>
                    <w:rPr>
                      <w:rFonts w:ascii="Cambria Math" w:hAnsi="Cambria Math"/>
                    </w:rPr>
                    <m:t>1-</m:t>
                  </m:r>
                </m:sub>
              </m:sSub>
              <m:r>
                <w:rPr>
                  <w:rFonts w:ascii="Cambria Math" w:hAnsi="Cambria Math"/>
                </w:rPr>
                <m:t>w</m:t>
              </m:r>
              <m:sSub>
                <m:sSubPr>
                  <m:ctrlPr>
                    <w:rPr>
                      <w:rFonts w:ascii="Cambria Math" w:hAnsi="Cambria Math"/>
                    </w:rPr>
                  </m:ctrlPr>
                </m:sSubPr>
                <m:e>
                  <m:r>
                    <w:rPr>
                      <w:rFonts w:ascii="Cambria Math" w:hAnsi="Cambria Math"/>
                    </w:rPr>
                    <m:t>g</m:t>
                  </m:r>
                </m:e>
                <m:sub>
                  <m:r>
                    <w:rPr>
                      <w:rFonts w:ascii="Cambria Math" w:hAnsi="Cambria Math"/>
                    </w:rPr>
                    <m:t>0</m:t>
                  </m:r>
                </m:sub>
              </m:sSub>
            </m:e>
          </m:d>
        </m:oMath>
      </m:oMathPara>
    </w:p>
    <w:p w14:paraId="5B7E516D" w14:textId="33EB68AA" w:rsidR="5F14AB41" w:rsidRDefault="1C6CDA75" w:rsidP="5F14AB41">
      <w:pPr>
        <w:pStyle w:val="Corpodetexto"/>
      </w:pPr>
      <w:r>
        <w:t xml:space="preserve">O primeiro termo do lado direito da equação reflete o efeito de variações no tamanho médio dos estabelecimentos no interior dos grupos - </w:t>
      </w:r>
      <w:r w:rsidRPr="0C5557BE">
        <w:rPr>
          <w:i/>
        </w:rPr>
        <w:t>efeito escala</w:t>
      </w:r>
      <w:r>
        <w:t xml:space="preserve"> (setorial)</w:t>
      </w:r>
      <w:r w:rsidR="388744ED">
        <w:t xml:space="preserve"> </w:t>
      </w:r>
      <w:r w:rsidR="25207610">
        <w:t>que informa a contribuição da variação do emprego médio de cada setor “g” (mantido fixo a participação</w:t>
      </w:r>
      <w:r w:rsidR="3B9A1267">
        <w:t xml:space="preserve"> </w:t>
      </w:r>
      <w:r w:rsidR="25207610">
        <w:t xml:space="preserve">relativa média entre os dois </w:t>
      </w:r>
      <w:r w:rsidR="53A794A2">
        <w:t>períodos</w:t>
      </w:r>
      <w:r w:rsidR="0C5557BE">
        <w:t xml:space="preserve">). O </w:t>
      </w:r>
      <w:r>
        <w:t xml:space="preserve">segundo é o </w:t>
      </w:r>
      <w:r w:rsidRPr="0C5557BE">
        <w:rPr>
          <w:i/>
        </w:rPr>
        <w:t>efeito composição</w:t>
      </w:r>
      <w:r w:rsidR="0C5557BE">
        <w:t xml:space="preserve"> que</w:t>
      </w:r>
      <w:r w:rsidR="5F14AB41" w:rsidRPr="5F14AB41">
        <w:t xml:space="preserve"> informa a contribuição da variação da participação relativa de cada setor no total de</w:t>
      </w:r>
      <w:r w:rsidR="0C5557BE">
        <w:t xml:space="preserve"> </w:t>
      </w:r>
      <w:r w:rsidR="5F14AB41" w:rsidRPr="5F14AB41">
        <w:t>estabelecimentos (mantido fixo o emprego médio do setor).</w:t>
      </w:r>
    </w:p>
    <w:p w14:paraId="26A67ACD" w14:textId="606EC7BB" w:rsidR="009C2D40" w:rsidRDefault="2A553105" w:rsidP="2A553105">
      <w:pPr>
        <w:pStyle w:val="Corpodetexto"/>
      </w:pPr>
      <w:r>
        <w:t xml:space="preserve">A Tabela 3 apresenta a decomposição do efeito tamanho médio em efeito escala e composição para todas as escalas em análise. </w:t>
      </w:r>
      <w:r w:rsidR="2C9D6905">
        <w:t>Em todas as unidades territoriais e escalas analisadas houve a predominância do efeito escala, menos em São João da Barra que o efeito composição foi significativamente maior,</w:t>
      </w:r>
      <w:r w:rsidR="43C484C8">
        <w:t xml:space="preserve"> indicando que a variação do tamanho médio foi em </w:t>
      </w:r>
      <w:r w:rsidR="000170B8">
        <w:t xml:space="preserve">maior parte decorrente da variação da participação relativa de cada setor no total de estabelecimentos. </w:t>
      </w:r>
    </w:p>
    <w:p w14:paraId="70D9232F" w14:textId="73CE3F7C" w:rsidR="009C2D40" w:rsidRDefault="009C2D40" w:rsidP="0077745A">
      <w:pPr>
        <w:pStyle w:val="TTabela"/>
      </w:pPr>
      <w:r>
        <w:lastRenderedPageBreak/>
        <w:t>Tabela 3</w:t>
      </w:r>
      <w:r w:rsidR="00B50C3C">
        <w:t xml:space="preserve"> – </w:t>
      </w:r>
      <w:r>
        <w:t xml:space="preserve">Decomposição da variação do efeito tamanho médio em efeito escala e composição sobre a variação do tamanho médio </w:t>
      </w:r>
      <w:r w:rsidR="00766442">
        <w:t>dos estabelecimentos</w:t>
      </w:r>
      <w:r>
        <w:t xml:space="preserve"> por Regiões Imediatas do Estado do Rio de janeiro – 2002-202</w:t>
      </w:r>
      <w:r w:rsidR="00F46E3B">
        <w:t>1</w:t>
      </w:r>
    </w:p>
    <w:tbl>
      <w:tblPr>
        <w:tblW w:w="0" w:type="auto"/>
        <w:jc w:val="center"/>
        <w:tblCellMar>
          <w:left w:w="70" w:type="dxa"/>
          <w:right w:w="70" w:type="dxa"/>
        </w:tblCellMar>
        <w:tblLook w:val="04A0" w:firstRow="1" w:lastRow="0" w:firstColumn="1" w:lastColumn="0" w:noHBand="0" w:noVBand="1"/>
      </w:tblPr>
      <w:tblGrid>
        <w:gridCol w:w="5337"/>
        <w:gridCol w:w="1176"/>
        <w:gridCol w:w="1082"/>
        <w:gridCol w:w="1336"/>
      </w:tblGrid>
      <w:tr w:rsidR="000B544D" w:rsidRPr="008D506D" w14:paraId="744FD678" w14:textId="77777777" w:rsidTr="008D506D">
        <w:trPr>
          <w:cantSplit/>
          <w:jc w:val="center"/>
        </w:trPr>
        <w:tc>
          <w:tcPr>
            <w:tcW w:w="5337" w:type="dxa"/>
            <w:vMerge w:val="restart"/>
            <w:tcBorders>
              <w:top w:val="single" w:sz="4" w:space="0" w:color="auto"/>
              <w:left w:val="nil"/>
              <w:bottom w:val="single" w:sz="4" w:space="0" w:color="auto"/>
              <w:right w:val="single" w:sz="4" w:space="0" w:color="auto"/>
            </w:tcBorders>
            <w:shd w:val="clear" w:color="000000" w:fill="BE5014"/>
            <w:noWrap/>
            <w:vAlign w:val="center"/>
            <w:hideMark/>
          </w:tcPr>
          <w:p w14:paraId="2AEF6088" w14:textId="77777777" w:rsidR="000B544D" w:rsidRPr="008D506D" w:rsidRDefault="000B544D" w:rsidP="00061854">
            <w:pPr>
              <w:keepNext/>
              <w:jc w:val="center"/>
              <w:rPr>
                <w:rFonts w:ascii="Arial" w:hAnsi="Arial" w:cs="Arial"/>
                <w:b/>
                <w:bCs/>
                <w:color w:val="FFFFFF"/>
                <w:sz w:val="16"/>
                <w:szCs w:val="16"/>
              </w:rPr>
            </w:pPr>
            <w:r w:rsidRPr="008D506D">
              <w:rPr>
                <w:rFonts w:ascii="Arial" w:hAnsi="Arial" w:cs="Arial"/>
                <w:b/>
                <w:bCs/>
                <w:color w:val="FFFFFF"/>
                <w:sz w:val="16"/>
                <w:szCs w:val="16"/>
              </w:rPr>
              <w:t>UNIDADES TERRITORIAIS</w:t>
            </w:r>
          </w:p>
        </w:tc>
        <w:tc>
          <w:tcPr>
            <w:tcW w:w="3594" w:type="dxa"/>
            <w:gridSpan w:val="3"/>
            <w:tcBorders>
              <w:top w:val="single" w:sz="4" w:space="0" w:color="auto"/>
              <w:left w:val="nil"/>
              <w:bottom w:val="single" w:sz="4" w:space="0" w:color="auto"/>
              <w:right w:val="single" w:sz="4" w:space="0" w:color="auto"/>
            </w:tcBorders>
            <w:shd w:val="clear" w:color="000000" w:fill="BE5014"/>
            <w:noWrap/>
            <w:hideMark/>
          </w:tcPr>
          <w:p w14:paraId="3C571866" w14:textId="77777777" w:rsidR="000B544D" w:rsidRPr="008D506D" w:rsidRDefault="000B544D" w:rsidP="00061854">
            <w:pPr>
              <w:keepNext/>
              <w:jc w:val="center"/>
              <w:rPr>
                <w:rFonts w:ascii="Aptos Narrow" w:hAnsi="Aptos Narrow"/>
                <w:b/>
                <w:bCs/>
                <w:color w:val="FFFFFF"/>
                <w:sz w:val="16"/>
                <w:szCs w:val="16"/>
              </w:rPr>
            </w:pPr>
            <w:r w:rsidRPr="008D506D">
              <w:rPr>
                <w:rFonts w:ascii="Aptos Narrow" w:hAnsi="Aptos Narrow"/>
                <w:b/>
                <w:bCs/>
                <w:color w:val="FFFFFF"/>
                <w:sz w:val="16"/>
                <w:szCs w:val="16"/>
              </w:rPr>
              <w:t>ENTRE  2002 e 2021</w:t>
            </w:r>
          </w:p>
        </w:tc>
      </w:tr>
      <w:tr w:rsidR="000B544D" w:rsidRPr="008D506D" w14:paraId="706AABBB" w14:textId="77777777" w:rsidTr="008D506D">
        <w:trPr>
          <w:cantSplit/>
          <w:jc w:val="center"/>
        </w:trPr>
        <w:tc>
          <w:tcPr>
            <w:tcW w:w="5337" w:type="dxa"/>
            <w:vMerge/>
            <w:tcBorders>
              <w:top w:val="single" w:sz="4" w:space="0" w:color="auto"/>
              <w:left w:val="nil"/>
              <w:bottom w:val="single" w:sz="4" w:space="0" w:color="auto"/>
              <w:right w:val="single" w:sz="4" w:space="0" w:color="auto"/>
            </w:tcBorders>
            <w:hideMark/>
          </w:tcPr>
          <w:p w14:paraId="35E3BC7F" w14:textId="77777777" w:rsidR="000B544D" w:rsidRPr="008D506D" w:rsidRDefault="000B544D" w:rsidP="00061854">
            <w:pPr>
              <w:keepNext/>
              <w:rPr>
                <w:rFonts w:ascii="Arial" w:hAnsi="Arial" w:cs="Arial"/>
                <w:b/>
                <w:bCs/>
                <w:color w:val="FFFFFF"/>
                <w:sz w:val="16"/>
                <w:szCs w:val="16"/>
              </w:rPr>
            </w:pPr>
          </w:p>
        </w:tc>
        <w:tc>
          <w:tcPr>
            <w:tcW w:w="1176" w:type="dxa"/>
            <w:tcBorders>
              <w:top w:val="nil"/>
              <w:left w:val="nil"/>
              <w:bottom w:val="single" w:sz="4" w:space="0" w:color="auto"/>
              <w:right w:val="single" w:sz="4" w:space="0" w:color="auto"/>
            </w:tcBorders>
            <w:shd w:val="clear" w:color="000000" w:fill="BE5014"/>
            <w:vAlign w:val="center"/>
            <w:hideMark/>
          </w:tcPr>
          <w:p w14:paraId="7CC31432" w14:textId="387201FB" w:rsidR="000B544D" w:rsidRPr="008D506D" w:rsidRDefault="000B544D" w:rsidP="00061854">
            <w:pPr>
              <w:keepNext/>
              <w:jc w:val="center"/>
              <w:rPr>
                <w:rFonts w:ascii="Aptos Narrow" w:hAnsi="Aptos Narrow"/>
                <w:b/>
                <w:bCs/>
                <w:color w:val="FFFFFF"/>
                <w:sz w:val="16"/>
                <w:szCs w:val="16"/>
              </w:rPr>
            </w:pPr>
            <w:r w:rsidRPr="008D506D">
              <w:rPr>
                <w:rFonts w:ascii="Aptos Narrow" w:hAnsi="Aptos Narrow"/>
                <w:b/>
                <w:bCs/>
                <w:color w:val="FFFFFF"/>
                <w:sz w:val="16"/>
                <w:szCs w:val="16"/>
              </w:rPr>
              <w:t>ESCALA</w:t>
            </w:r>
          </w:p>
        </w:tc>
        <w:tc>
          <w:tcPr>
            <w:tcW w:w="1082" w:type="dxa"/>
            <w:tcBorders>
              <w:top w:val="nil"/>
              <w:left w:val="nil"/>
              <w:bottom w:val="single" w:sz="4" w:space="0" w:color="auto"/>
              <w:right w:val="single" w:sz="4" w:space="0" w:color="auto"/>
            </w:tcBorders>
            <w:shd w:val="clear" w:color="000000" w:fill="BE5014"/>
            <w:vAlign w:val="center"/>
            <w:hideMark/>
          </w:tcPr>
          <w:p w14:paraId="62EACDFA" w14:textId="77777777" w:rsidR="000B544D" w:rsidRPr="008D506D" w:rsidRDefault="000B544D" w:rsidP="00061854">
            <w:pPr>
              <w:keepNext/>
              <w:jc w:val="center"/>
              <w:rPr>
                <w:rFonts w:ascii="Aptos Narrow" w:hAnsi="Aptos Narrow"/>
                <w:b/>
                <w:bCs/>
                <w:color w:val="FFFFFF"/>
                <w:sz w:val="16"/>
                <w:szCs w:val="16"/>
              </w:rPr>
            </w:pPr>
            <w:r w:rsidRPr="008D506D">
              <w:rPr>
                <w:rFonts w:ascii="Aptos Narrow" w:hAnsi="Aptos Narrow"/>
                <w:b/>
                <w:bCs/>
                <w:color w:val="FFFFFF"/>
                <w:sz w:val="16"/>
                <w:szCs w:val="16"/>
              </w:rPr>
              <w:t>COMPOSIÇÃO</w:t>
            </w:r>
          </w:p>
        </w:tc>
        <w:tc>
          <w:tcPr>
            <w:tcW w:w="1336" w:type="dxa"/>
            <w:tcBorders>
              <w:top w:val="nil"/>
              <w:left w:val="nil"/>
              <w:bottom w:val="single" w:sz="4" w:space="0" w:color="auto"/>
              <w:right w:val="nil"/>
            </w:tcBorders>
            <w:shd w:val="clear" w:color="000000" w:fill="BE5014"/>
            <w:vAlign w:val="center"/>
            <w:hideMark/>
          </w:tcPr>
          <w:p w14:paraId="64ECEDC6" w14:textId="77777777" w:rsidR="000B544D" w:rsidRPr="008D506D" w:rsidRDefault="000B544D" w:rsidP="00061854">
            <w:pPr>
              <w:keepNext/>
              <w:jc w:val="center"/>
              <w:rPr>
                <w:rFonts w:ascii="Aptos Narrow" w:hAnsi="Aptos Narrow"/>
                <w:b/>
                <w:bCs/>
                <w:color w:val="FFFFFF"/>
                <w:sz w:val="16"/>
                <w:szCs w:val="16"/>
              </w:rPr>
            </w:pPr>
            <w:r w:rsidRPr="008D506D">
              <w:rPr>
                <w:rFonts w:ascii="Aptos Narrow" w:hAnsi="Aptos Narrow"/>
                <w:b/>
                <w:bCs/>
                <w:color w:val="FFFFFF"/>
                <w:sz w:val="16"/>
                <w:szCs w:val="16"/>
              </w:rPr>
              <w:t>TAMANHO MÉDIO</w:t>
            </w:r>
          </w:p>
        </w:tc>
      </w:tr>
      <w:tr w:rsidR="000B544D" w:rsidRPr="008D506D" w14:paraId="1BF72467" w14:textId="77777777" w:rsidTr="008D506D">
        <w:trPr>
          <w:cantSplit/>
          <w:jc w:val="center"/>
        </w:trPr>
        <w:tc>
          <w:tcPr>
            <w:tcW w:w="5337" w:type="dxa"/>
            <w:tcBorders>
              <w:top w:val="nil"/>
              <w:left w:val="nil"/>
              <w:bottom w:val="nil"/>
              <w:right w:val="nil"/>
            </w:tcBorders>
            <w:shd w:val="clear" w:color="000000" w:fill="F1A983"/>
            <w:noWrap/>
            <w:hideMark/>
          </w:tcPr>
          <w:p w14:paraId="474B06DD" w14:textId="77777777" w:rsidR="000B544D" w:rsidRPr="008D506D" w:rsidRDefault="000B544D" w:rsidP="00061854">
            <w:pPr>
              <w:keepNext/>
              <w:rPr>
                <w:rFonts w:ascii="Aptos Narrow" w:hAnsi="Aptos Narrow"/>
                <w:b/>
                <w:bCs/>
                <w:color w:val="000000"/>
                <w:sz w:val="16"/>
                <w:szCs w:val="16"/>
              </w:rPr>
            </w:pPr>
            <w:r w:rsidRPr="008D506D">
              <w:rPr>
                <w:rFonts w:ascii="Aptos Narrow" w:hAnsi="Aptos Narrow"/>
                <w:b/>
                <w:bCs/>
                <w:color w:val="000000"/>
                <w:sz w:val="16"/>
                <w:szCs w:val="16"/>
              </w:rPr>
              <w:t>Total na área de Estudos</w:t>
            </w:r>
          </w:p>
        </w:tc>
        <w:tc>
          <w:tcPr>
            <w:tcW w:w="1176" w:type="dxa"/>
            <w:tcBorders>
              <w:top w:val="nil"/>
              <w:left w:val="nil"/>
              <w:bottom w:val="single" w:sz="8" w:space="0" w:color="auto"/>
              <w:right w:val="nil"/>
            </w:tcBorders>
            <w:shd w:val="clear" w:color="000000" w:fill="F1A983"/>
            <w:noWrap/>
            <w:hideMark/>
          </w:tcPr>
          <w:p w14:paraId="245335B6" w14:textId="77777777" w:rsidR="000B544D" w:rsidRPr="008D506D" w:rsidRDefault="000B544D" w:rsidP="00061854">
            <w:pPr>
              <w:keepNext/>
              <w:jc w:val="right"/>
              <w:rPr>
                <w:rFonts w:ascii="Aptos Narrow" w:hAnsi="Aptos Narrow"/>
                <w:b/>
                <w:bCs/>
                <w:color w:val="000000"/>
                <w:sz w:val="16"/>
                <w:szCs w:val="16"/>
              </w:rPr>
            </w:pPr>
            <w:r w:rsidRPr="008D506D">
              <w:rPr>
                <w:rFonts w:ascii="Aptos Narrow" w:hAnsi="Aptos Narrow"/>
                <w:b/>
                <w:bCs/>
                <w:color w:val="000000"/>
                <w:sz w:val="16"/>
                <w:szCs w:val="16"/>
              </w:rPr>
              <w:t>91.862</w:t>
            </w:r>
          </w:p>
        </w:tc>
        <w:tc>
          <w:tcPr>
            <w:tcW w:w="1082" w:type="dxa"/>
            <w:tcBorders>
              <w:top w:val="nil"/>
              <w:left w:val="nil"/>
              <w:bottom w:val="single" w:sz="8" w:space="0" w:color="auto"/>
              <w:right w:val="nil"/>
            </w:tcBorders>
            <w:shd w:val="clear" w:color="000000" w:fill="F1A983"/>
            <w:noWrap/>
            <w:hideMark/>
          </w:tcPr>
          <w:p w14:paraId="27405066" w14:textId="77777777" w:rsidR="000B544D" w:rsidRPr="008D506D" w:rsidRDefault="000B544D" w:rsidP="00061854">
            <w:pPr>
              <w:keepNext/>
              <w:jc w:val="right"/>
              <w:rPr>
                <w:rFonts w:ascii="Aptos Narrow" w:hAnsi="Aptos Narrow"/>
                <w:b/>
                <w:bCs/>
                <w:color w:val="000000"/>
                <w:sz w:val="16"/>
                <w:szCs w:val="16"/>
              </w:rPr>
            </w:pPr>
            <w:r w:rsidRPr="008D506D">
              <w:rPr>
                <w:rFonts w:ascii="Aptos Narrow" w:hAnsi="Aptos Narrow"/>
                <w:b/>
                <w:bCs/>
                <w:color w:val="000000"/>
                <w:sz w:val="16"/>
                <w:szCs w:val="16"/>
              </w:rPr>
              <w:t>-9.680</w:t>
            </w:r>
          </w:p>
        </w:tc>
        <w:tc>
          <w:tcPr>
            <w:tcW w:w="1336" w:type="dxa"/>
            <w:tcBorders>
              <w:top w:val="nil"/>
              <w:left w:val="nil"/>
              <w:bottom w:val="single" w:sz="8" w:space="0" w:color="auto"/>
              <w:right w:val="nil"/>
            </w:tcBorders>
            <w:shd w:val="clear" w:color="000000" w:fill="F1A983"/>
            <w:noWrap/>
            <w:hideMark/>
          </w:tcPr>
          <w:p w14:paraId="69592541" w14:textId="77777777" w:rsidR="000B544D" w:rsidRPr="008D506D" w:rsidRDefault="000B544D" w:rsidP="00061854">
            <w:pPr>
              <w:keepNext/>
              <w:jc w:val="right"/>
              <w:rPr>
                <w:rFonts w:ascii="Aptos Narrow" w:hAnsi="Aptos Narrow"/>
                <w:b/>
                <w:bCs/>
                <w:color w:val="000000"/>
                <w:sz w:val="16"/>
                <w:szCs w:val="16"/>
              </w:rPr>
            </w:pPr>
            <w:r w:rsidRPr="008D506D">
              <w:rPr>
                <w:rFonts w:ascii="Aptos Narrow" w:hAnsi="Aptos Narrow"/>
                <w:b/>
                <w:bCs/>
                <w:color w:val="000000"/>
                <w:sz w:val="16"/>
                <w:szCs w:val="16"/>
              </w:rPr>
              <w:t>82.182</w:t>
            </w:r>
          </w:p>
        </w:tc>
      </w:tr>
      <w:tr w:rsidR="000B544D" w:rsidRPr="008D506D" w14:paraId="5B1E545E" w14:textId="77777777" w:rsidTr="008D506D">
        <w:trPr>
          <w:cantSplit/>
          <w:jc w:val="center"/>
        </w:trPr>
        <w:tc>
          <w:tcPr>
            <w:tcW w:w="5337" w:type="dxa"/>
            <w:tcBorders>
              <w:top w:val="single" w:sz="8" w:space="0" w:color="156082"/>
              <w:left w:val="nil"/>
              <w:bottom w:val="single" w:sz="8" w:space="0" w:color="auto"/>
              <w:right w:val="nil"/>
            </w:tcBorders>
            <w:shd w:val="clear" w:color="000000" w:fill="F7C7AC"/>
            <w:noWrap/>
            <w:hideMark/>
          </w:tcPr>
          <w:p w14:paraId="733C4B92" w14:textId="77777777" w:rsidR="000B544D" w:rsidRPr="008D506D" w:rsidRDefault="000B544D" w:rsidP="00061854">
            <w:pPr>
              <w:keepNext/>
              <w:rPr>
                <w:rFonts w:ascii="Aptos Narrow" w:hAnsi="Aptos Narrow"/>
                <w:b/>
                <w:bCs/>
                <w:color w:val="000000"/>
                <w:sz w:val="16"/>
                <w:szCs w:val="16"/>
              </w:rPr>
            </w:pPr>
            <w:r w:rsidRPr="008D506D">
              <w:rPr>
                <w:rFonts w:ascii="Aptos Narrow" w:hAnsi="Aptos Narrow"/>
                <w:b/>
                <w:bCs/>
                <w:color w:val="000000"/>
                <w:sz w:val="16"/>
                <w:szCs w:val="16"/>
              </w:rPr>
              <w:t>Região Geográfica Intermediária Campos dos Goytacazes</w:t>
            </w:r>
          </w:p>
        </w:tc>
        <w:tc>
          <w:tcPr>
            <w:tcW w:w="1176" w:type="dxa"/>
            <w:tcBorders>
              <w:top w:val="nil"/>
              <w:left w:val="nil"/>
              <w:bottom w:val="single" w:sz="8" w:space="0" w:color="auto"/>
              <w:right w:val="nil"/>
            </w:tcBorders>
            <w:shd w:val="clear" w:color="000000" w:fill="F7C7AC"/>
            <w:noWrap/>
            <w:hideMark/>
          </w:tcPr>
          <w:p w14:paraId="6B2C1D2B" w14:textId="77777777" w:rsidR="000B544D" w:rsidRPr="008D506D" w:rsidRDefault="000B544D" w:rsidP="00061854">
            <w:pPr>
              <w:keepNext/>
              <w:jc w:val="right"/>
              <w:rPr>
                <w:rFonts w:ascii="Aptos Narrow" w:hAnsi="Aptos Narrow"/>
                <w:b/>
                <w:bCs/>
                <w:color w:val="000000"/>
                <w:sz w:val="16"/>
                <w:szCs w:val="16"/>
              </w:rPr>
            </w:pPr>
            <w:r w:rsidRPr="008D506D">
              <w:rPr>
                <w:rFonts w:ascii="Aptos Narrow" w:hAnsi="Aptos Narrow"/>
                <w:b/>
                <w:bCs/>
                <w:color w:val="000000"/>
                <w:sz w:val="16"/>
                <w:szCs w:val="16"/>
              </w:rPr>
              <w:t>21.990</w:t>
            </w:r>
          </w:p>
        </w:tc>
        <w:tc>
          <w:tcPr>
            <w:tcW w:w="1082" w:type="dxa"/>
            <w:tcBorders>
              <w:top w:val="nil"/>
              <w:left w:val="nil"/>
              <w:bottom w:val="single" w:sz="8" w:space="0" w:color="auto"/>
              <w:right w:val="nil"/>
            </w:tcBorders>
            <w:shd w:val="clear" w:color="000000" w:fill="F7C7AC"/>
            <w:noWrap/>
            <w:hideMark/>
          </w:tcPr>
          <w:p w14:paraId="1667E180" w14:textId="77777777" w:rsidR="000B544D" w:rsidRPr="008D506D" w:rsidRDefault="000B544D" w:rsidP="00061854">
            <w:pPr>
              <w:keepNext/>
              <w:jc w:val="right"/>
              <w:rPr>
                <w:rFonts w:ascii="Aptos Narrow" w:hAnsi="Aptos Narrow"/>
                <w:b/>
                <w:bCs/>
                <w:color w:val="000000"/>
                <w:sz w:val="16"/>
                <w:szCs w:val="16"/>
              </w:rPr>
            </w:pPr>
            <w:r w:rsidRPr="008D506D">
              <w:rPr>
                <w:rFonts w:ascii="Aptos Narrow" w:hAnsi="Aptos Narrow"/>
                <w:b/>
                <w:bCs/>
                <w:color w:val="000000"/>
                <w:sz w:val="16"/>
                <w:szCs w:val="16"/>
              </w:rPr>
              <w:t>2.139</w:t>
            </w:r>
          </w:p>
        </w:tc>
        <w:tc>
          <w:tcPr>
            <w:tcW w:w="1336" w:type="dxa"/>
            <w:tcBorders>
              <w:top w:val="nil"/>
              <w:left w:val="nil"/>
              <w:bottom w:val="single" w:sz="8" w:space="0" w:color="auto"/>
              <w:right w:val="nil"/>
            </w:tcBorders>
            <w:shd w:val="clear" w:color="000000" w:fill="F7C7AC"/>
            <w:noWrap/>
            <w:hideMark/>
          </w:tcPr>
          <w:p w14:paraId="2A42AE1D" w14:textId="77777777" w:rsidR="000B544D" w:rsidRPr="008D506D" w:rsidRDefault="000B544D" w:rsidP="00061854">
            <w:pPr>
              <w:keepNext/>
              <w:jc w:val="right"/>
              <w:rPr>
                <w:rFonts w:ascii="Aptos Narrow" w:hAnsi="Aptos Narrow"/>
                <w:b/>
                <w:bCs/>
                <w:color w:val="000000"/>
                <w:sz w:val="16"/>
                <w:szCs w:val="16"/>
              </w:rPr>
            </w:pPr>
            <w:r w:rsidRPr="008D506D">
              <w:rPr>
                <w:rFonts w:ascii="Aptos Narrow" w:hAnsi="Aptos Narrow"/>
                <w:b/>
                <w:bCs/>
                <w:color w:val="000000"/>
                <w:sz w:val="16"/>
                <w:szCs w:val="16"/>
              </w:rPr>
              <w:t>24.130</w:t>
            </w:r>
          </w:p>
        </w:tc>
      </w:tr>
      <w:tr w:rsidR="000B544D" w:rsidRPr="008D506D" w14:paraId="5BC14DDC" w14:textId="77777777" w:rsidTr="008D506D">
        <w:trPr>
          <w:cantSplit/>
          <w:jc w:val="center"/>
        </w:trPr>
        <w:tc>
          <w:tcPr>
            <w:tcW w:w="5337" w:type="dxa"/>
            <w:tcBorders>
              <w:top w:val="nil"/>
              <w:left w:val="nil"/>
              <w:bottom w:val="nil"/>
              <w:right w:val="nil"/>
            </w:tcBorders>
            <w:shd w:val="clear" w:color="000000" w:fill="FBE2D5"/>
            <w:noWrap/>
            <w:hideMark/>
          </w:tcPr>
          <w:p w14:paraId="35977F14" w14:textId="77777777" w:rsidR="000B544D" w:rsidRPr="008D506D" w:rsidRDefault="000B544D" w:rsidP="00061854">
            <w:pPr>
              <w:keepNext/>
              <w:rPr>
                <w:rFonts w:ascii="Aptos Narrow" w:hAnsi="Aptos Narrow"/>
                <w:color w:val="3F3F76"/>
                <w:sz w:val="16"/>
                <w:szCs w:val="16"/>
              </w:rPr>
            </w:pPr>
            <w:r w:rsidRPr="008D506D">
              <w:rPr>
                <w:rFonts w:ascii="Aptos Narrow" w:hAnsi="Aptos Narrow"/>
                <w:color w:val="3F3F76"/>
                <w:sz w:val="16"/>
                <w:szCs w:val="16"/>
              </w:rPr>
              <w:t>Região Geográfica Imediata Campos dos Goytacazes</w:t>
            </w:r>
          </w:p>
        </w:tc>
        <w:tc>
          <w:tcPr>
            <w:tcW w:w="1176" w:type="dxa"/>
            <w:tcBorders>
              <w:top w:val="nil"/>
              <w:left w:val="nil"/>
              <w:bottom w:val="nil"/>
              <w:right w:val="nil"/>
            </w:tcBorders>
            <w:shd w:val="clear" w:color="000000" w:fill="FBE2D5"/>
            <w:noWrap/>
            <w:hideMark/>
          </w:tcPr>
          <w:p w14:paraId="0FF2EF72"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11.776</w:t>
            </w:r>
          </w:p>
        </w:tc>
        <w:tc>
          <w:tcPr>
            <w:tcW w:w="1082" w:type="dxa"/>
            <w:tcBorders>
              <w:top w:val="nil"/>
              <w:left w:val="nil"/>
              <w:bottom w:val="nil"/>
              <w:right w:val="nil"/>
            </w:tcBorders>
            <w:shd w:val="clear" w:color="000000" w:fill="FBE2D5"/>
            <w:noWrap/>
            <w:hideMark/>
          </w:tcPr>
          <w:p w14:paraId="75D89F55"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2.701</w:t>
            </w:r>
          </w:p>
        </w:tc>
        <w:tc>
          <w:tcPr>
            <w:tcW w:w="1336" w:type="dxa"/>
            <w:tcBorders>
              <w:top w:val="nil"/>
              <w:left w:val="nil"/>
              <w:bottom w:val="nil"/>
              <w:right w:val="nil"/>
            </w:tcBorders>
            <w:shd w:val="clear" w:color="000000" w:fill="FBE2D5"/>
            <w:noWrap/>
            <w:hideMark/>
          </w:tcPr>
          <w:p w14:paraId="1265858E"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14.476</w:t>
            </w:r>
          </w:p>
        </w:tc>
      </w:tr>
      <w:tr w:rsidR="000B544D" w:rsidRPr="008D506D" w14:paraId="4FA16592" w14:textId="77777777" w:rsidTr="008D506D">
        <w:trPr>
          <w:cantSplit/>
          <w:jc w:val="center"/>
        </w:trPr>
        <w:tc>
          <w:tcPr>
            <w:tcW w:w="5337" w:type="dxa"/>
            <w:tcBorders>
              <w:top w:val="nil"/>
              <w:left w:val="nil"/>
              <w:bottom w:val="nil"/>
              <w:right w:val="nil"/>
            </w:tcBorders>
            <w:noWrap/>
            <w:hideMark/>
          </w:tcPr>
          <w:p w14:paraId="21D4D062" w14:textId="77777777" w:rsidR="000B544D" w:rsidRPr="008D506D" w:rsidRDefault="000B544D" w:rsidP="00061854">
            <w:pPr>
              <w:keepNext/>
              <w:rPr>
                <w:rFonts w:ascii="Aptos Narrow" w:hAnsi="Aptos Narrow"/>
                <w:color w:val="000000"/>
                <w:sz w:val="16"/>
                <w:szCs w:val="16"/>
              </w:rPr>
            </w:pPr>
            <w:r w:rsidRPr="008D506D">
              <w:rPr>
                <w:rFonts w:ascii="Aptos Narrow" w:hAnsi="Aptos Narrow"/>
                <w:color w:val="000000"/>
                <w:sz w:val="16"/>
                <w:szCs w:val="16"/>
              </w:rPr>
              <w:t>Campos dos Goytacazes</w:t>
            </w:r>
          </w:p>
        </w:tc>
        <w:tc>
          <w:tcPr>
            <w:tcW w:w="1176" w:type="dxa"/>
            <w:tcBorders>
              <w:top w:val="nil"/>
              <w:left w:val="nil"/>
              <w:bottom w:val="nil"/>
              <w:right w:val="nil"/>
            </w:tcBorders>
            <w:noWrap/>
            <w:hideMark/>
          </w:tcPr>
          <w:p w14:paraId="7C4B02CF"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6.306</w:t>
            </w:r>
          </w:p>
        </w:tc>
        <w:tc>
          <w:tcPr>
            <w:tcW w:w="1082" w:type="dxa"/>
            <w:tcBorders>
              <w:top w:val="nil"/>
              <w:left w:val="nil"/>
              <w:bottom w:val="nil"/>
              <w:right w:val="nil"/>
            </w:tcBorders>
            <w:noWrap/>
            <w:hideMark/>
          </w:tcPr>
          <w:p w14:paraId="64B7BCC7"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3.544</w:t>
            </w:r>
          </w:p>
        </w:tc>
        <w:tc>
          <w:tcPr>
            <w:tcW w:w="1336" w:type="dxa"/>
            <w:tcBorders>
              <w:top w:val="nil"/>
              <w:left w:val="nil"/>
              <w:bottom w:val="nil"/>
              <w:right w:val="nil"/>
            </w:tcBorders>
            <w:noWrap/>
            <w:hideMark/>
          </w:tcPr>
          <w:p w14:paraId="77D2089D"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9.850</w:t>
            </w:r>
          </w:p>
        </w:tc>
      </w:tr>
      <w:tr w:rsidR="000B544D" w:rsidRPr="008D506D" w14:paraId="406F058C" w14:textId="77777777" w:rsidTr="008D506D">
        <w:trPr>
          <w:cantSplit/>
          <w:jc w:val="center"/>
        </w:trPr>
        <w:tc>
          <w:tcPr>
            <w:tcW w:w="5337" w:type="dxa"/>
            <w:tcBorders>
              <w:top w:val="nil"/>
              <w:left w:val="nil"/>
              <w:bottom w:val="nil"/>
              <w:right w:val="nil"/>
            </w:tcBorders>
            <w:noWrap/>
            <w:hideMark/>
          </w:tcPr>
          <w:p w14:paraId="7DC27983" w14:textId="77777777" w:rsidR="000B544D" w:rsidRPr="008D506D" w:rsidRDefault="000B544D" w:rsidP="00061854">
            <w:pPr>
              <w:keepNext/>
              <w:rPr>
                <w:rFonts w:ascii="Aptos Narrow" w:hAnsi="Aptos Narrow"/>
                <w:color w:val="000000"/>
                <w:sz w:val="16"/>
                <w:szCs w:val="16"/>
              </w:rPr>
            </w:pPr>
            <w:r w:rsidRPr="008D506D">
              <w:rPr>
                <w:rFonts w:ascii="Aptos Narrow" w:hAnsi="Aptos Narrow"/>
                <w:color w:val="000000"/>
                <w:sz w:val="16"/>
                <w:szCs w:val="16"/>
              </w:rPr>
              <w:t>Cardoso Moreira</w:t>
            </w:r>
          </w:p>
        </w:tc>
        <w:tc>
          <w:tcPr>
            <w:tcW w:w="1176" w:type="dxa"/>
            <w:tcBorders>
              <w:top w:val="nil"/>
              <w:left w:val="nil"/>
              <w:bottom w:val="nil"/>
              <w:right w:val="nil"/>
            </w:tcBorders>
            <w:noWrap/>
            <w:hideMark/>
          </w:tcPr>
          <w:p w14:paraId="28BC90E0"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367</w:t>
            </w:r>
          </w:p>
        </w:tc>
        <w:tc>
          <w:tcPr>
            <w:tcW w:w="1082" w:type="dxa"/>
            <w:tcBorders>
              <w:top w:val="nil"/>
              <w:left w:val="nil"/>
              <w:bottom w:val="nil"/>
              <w:right w:val="nil"/>
            </w:tcBorders>
            <w:noWrap/>
            <w:hideMark/>
          </w:tcPr>
          <w:p w14:paraId="650EA5A2"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-457</w:t>
            </w:r>
          </w:p>
        </w:tc>
        <w:tc>
          <w:tcPr>
            <w:tcW w:w="1336" w:type="dxa"/>
            <w:tcBorders>
              <w:top w:val="nil"/>
              <w:left w:val="nil"/>
              <w:bottom w:val="nil"/>
              <w:right w:val="nil"/>
            </w:tcBorders>
            <w:noWrap/>
            <w:hideMark/>
          </w:tcPr>
          <w:p w14:paraId="7DF523E5"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-90</w:t>
            </w:r>
          </w:p>
        </w:tc>
      </w:tr>
      <w:tr w:rsidR="000B544D" w:rsidRPr="008D506D" w14:paraId="2F69CF6F" w14:textId="77777777" w:rsidTr="008D506D">
        <w:trPr>
          <w:cantSplit/>
          <w:jc w:val="center"/>
        </w:trPr>
        <w:tc>
          <w:tcPr>
            <w:tcW w:w="5337" w:type="dxa"/>
            <w:tcBorders>
              <w:top w:val="nil"/>
              <w:left w:val="nil"/>
              <w:bottom w:val="nil"/>
              <w:right w:val="nil"/>
            </w:tcBorders>
            <w:noWrap/>
            <w:hideMark/>
          </w:tcPr>
          <w:p w14:paraId="7E34A159" w14:textId="77777777" w:rsidR="000B544D" w:rsidRPr="008D506D" w:rsidRDefault="000B544D" w:rsidP="00061854">
            <w:pPr>
              <w:keepNext/>
              <w:rPr>
                <w:rFonts w:ascii="Aptos Narrow" w:hAnsi="Aptos Narrow"/>
                <w:color w:val="000000"/>
                <w:sz w:val="16"/>
                <w:szCs w:val="16"/>
              </w:rPr>
            </w:pPr>
            <w:r w:rsidRPr="008D506D">
              <w:rPr>
                <w:rFonts w:ascii="Aptos Narrow" w:hAnsi="Aptos Narrow"/>
                <w:color w:val="000000"/>
                <w:sz w:val="16"/>
                <w:szCs w:val="16"/>
              </w:rPr>
              <w:t>Italva</w:t>
            </w:r>
          </w:p>
        </w:tc>
        <w:tc>
          <w:tcPr>
            <w:tcW w:w="1176" w:type="dxa"/>
            <w:tcBorders>
              <w:top w:val="nil"/>
              <w:left w:val="nil"/>
              <w:bottom w:val="nil"/>
              <w:right w:val="nil"/>
            </w:tcBorders>
            <w:noWrap/>
            <w:hideMark/>
          </w:tcPr>
          <w:p w14:paraId="441EDD33"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394</w:t>
            </w:r>
          </w:p>
        </w:tc>
        <w:tc>
          <w:tcPr>
            <w:tcW w:w="1082" w:type="dxa"/>
            <w:tcBorders>
              <w:top w:val="nil"/>
              <w:left w:val="nil"/>
              <w:bottom w:val="nil"/>
              <w:right w:val="nil"/>
            </w:tcBorders>
            <w:noWrap/>
            <w:hideMark/>
          </w:tcPr>
          <w:p w14:paraId="6F18CFC1"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-42</w:t>
            </w:r>
          </w:p>
        </w:tc>
        <w:tc>
          <w:tcPr>
            <w:tcW w:w="1336" w:type="dxa"/>
            <w:tcBorders>
              <w:top w:val="nil"/>
              <w:left w:val="nil"/>
              <w:bottom w:val="nil"/>
              <w:right w:val="nil"/>
            </w:tcBorders>
            <w:noWrap/>
            <w:hideMark/>
          </w:tcPr>
          <w:p w14:paraId="25E72456"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352</w:t>
            </w:r>
          </w:p>
        </w:tc>
      </w:tr>
      <w:tr w:rsidR="000B544D" w:rsidRPr="008D506D" w14:paraId="305A3195" w14:textId="77777777" w:rsidTr="008D506D">
        <w:trPr>
          <w:cantSplit/>
          <w:jc w:val="center"/>
        </w:trPr>
        <w:tc>
          <w:tcPr>
            <w:tcW w:w="5337" w:type="dxa"/>
            <w:tcBorders>
              <w:top w:val="nil"/>
              <w:left w:val="nil"/>
              <w:bottom w:val="nil"/>
              <w:right w:val="nil"/>
            </w:tcBorders>
            <w:noWrap/>
            <w:hideMark/>
          </w:tcPr>
          <w:p w14:paraId="0947A726" w14:textId="77777777" w:rsidR="000B544D" w:rsidRPr="008D506D" w:rsidRDefault="000B544D" w:rsidP="00061854">
            <w:pPr>
              <w:keepNext/>
              <w:rPr>
                <w:rFonts w:ascii="Aptos Narrow" w:hAnsi="Aptos Narrow"/>
                <w:color w:val="000000"/>
                <w:sz w:val="16"/>
                <w:szCs w:val="16"/>
              </w:rPr>
            </w:pPr>
            <w:r w:rsidRPr="008D506D">
              <w:rPr>
                <w:rFonts w:ascii="Aptos Narrow" w:hAnsi="Aptos Narrow"/>
                <w:color w:val="000000"/>
                <w:sz w:val="16"/>
                <w:szCs w:val="16"/>
              </w:rPr>
              <w:t>São Fidélis</w:t>
            </w:r>
          </w:p>
        </w:tc>
        <w:tc>
          <w:tcPr>
            <w:tcW w:w="1176" w:type="dxa"/>
            <w:tcBorders>
              <w:top w:val="nil"/>
              <w:left w:val="nil"/>
              <w:bottom w:val="nil"/>
              <w:right w:val="nil"/>
            </w:tcBorders>
            <w:noWrap/>
            <w:hideMark/>
          </w:tcPr>
          <w:p w14:paraId="1CE41DC5"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1.384</w:t>
            </w:r>
          </w:p>
        </w:tc>
        <w:tc>
          <w:tcPr>
            <w:tcW w:w="1082" w:type="dxa"/>
            <w:tcBorders>
              <w:top w:val="nil"/>
              <w:left w:val="nil"/>
              <w:bottom w:val="nil"/>
              <w:right w:val="nil"/>
            </w:tcBorders>
            <w:noWrap/>
            <w:hideMark/>
          </w:tcPr>
          <w:p w14:paraId="7656D48C"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-2.146</w:t>
            </w:r>
          </w:p>
        </w:tc>
        <w:tc>
          <w:tcPr>
            <w:tcW w:w="1336" w:type="dxa"/>
            <w:tcBorders>
              <w:top w:val="nil"/>
              <w:left w:val="nil"/>
              <w:bottom w:val="nil"/>
              <w:right w:val="nil"/>
            </w:tcBorders>
            <w:noWrap/>
            <w:hideMark/>
          </w:tcPr>
          <w:p w14:paraId="7C24F1B9"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-762</w:t>
            </w:r>
          </w:p>
        </w:tc>
      </w:tr>
      <w:tr w:rsidR="000B544D" w:rsidRPr="008D506D" w14:paraId="58966F97" w14:textId="77777777" w:rsidTr="008D506D">
        <w:trPr>
          <w:cantSplit/>
          <w:jc w:val="center"/>
        </w:trPr>
        <w:tc>
          <w:tcPr>
            <w:tcW w:w="5337" w:type="dxa"/>
            <w:tcBorders>
              <w:top w:val="nil"/>
              <w:left w:val="nil"/>
              <w:bottom w:val="nil"/>
              <w:right w:val="nil"/>
            </w:tcBorders>
            <w:noWrap/>
            <w:hideMark/>
          </w:tcPr>
          <w:p w14:paraId="0F2CDFD9" w14:textId="77777777" w:rsidR="000B544D" w:rsidRPr="008D506D" w:rsidRDefault="000B544D" w:rsidP="00061854">
            <w:pPr>
              <w:keepNext/>
              <w:rPr>
                <w:rFonts w:ascii="Aptos Narrow" w:hAnsi="Aptos Narrow"/>
                <w:color w:val="000000"/>
                <w:sz w:val="16"/>
                <w:szCs w:val="16"/>
              </w:rPr>
            </w:pPr>
            <w:r w:rsidRPr="008D506D">
              <w:rPr>
                <w:rFonts w:ascii="Aptos Narrow" w:hAnsi="Aptos Narrow"/>
                <w:color w:val="000000"/>
                <w:sz w:val="16"/>
                <w:szCs w:val="16"/>
              </w:rPr>
              <w:t>São Francisco de Itabapoana</w:t>
            </w:r>
          </w:p>
        </w:tc>
        <w:tc>
          <w:tcPr>
            <w:tcW w:w="1176" w:type="dxa"/>
            <w:tcBorders>
              <w:top w:val="nil"/>
              <w:left w:val="nil"/>
              <w:bottom w:val="nil"/>
              <w:right w:val="nil"/>
            </w:tcBorders>
            <w:noWrap/>
            <w:hideMark/>
          </w:tcPr>
          <w:p w14:paraId="47943C95"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1.417</w:t>
            </w:r>
          </w:p>
        </w:tc>
        <w:tc>
          <w:tcPr>
            <w:tcW w:w="1082" w:type="dxa"/>
            <w:tcBorders>
              <w:top w:val="nil"/>
              <w:left w:val="nil"/>
              <w:bottom w:val="nil"/>
              <w:right w:val="nil"/>
            </w:tcBorders>
            <w:noWrap/>
            <w:hideMark/>
          </w:tcPr>
          <w:p w14:paraId="1CE4F52D"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-1.027</w:t>
            </w:r>
          </w:p>
        </w:tc>
        <w:tc>
          <w:tcPr>
            <w:tcW w:w="1336" w:type="dxa"/>
            <w:tcBorders>
              <w:top w:val="nil"/>
              <w:left w:val="nil"/>
              <w:bottom w:val="nil"/>
              <w:right w:val="nil"/>
            </w:tcBorders>
            <w:noWrap/>
            <w:hideMark/>
          </w:tcPr>
          <w:p w14:paraId="169E790C"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390</w:t>
            </w:r>
          </w:p>
        </w:tc>
      </w:tr>
      <w:tr w:rsidR="000B544D" w:rsidRPr="008D506D" w14:paraId="51F0FBAC" w14:textId="77777777" w:rsidTr="008D506D">
        <w:trPr>
          <w:cantSplit/>
          <w:jc w:val="center"/>
        </w:trPr>
        <w:tc>
          <w:tcPr>
            <w:tcW w:w="5337" w:type="dxa"/>
            <w:tcBorders>
              <w:top w:val="nil"/>
              <w:left w:val="nil"/>
              <w:bottom w:val="nil"/>
              <w:right w:val="nil"/>
            </w:tcBorders>
            <w:noWrap/>
            <w:hideMark/>
          </w:tcPr>
          <w:p w14:paraId="1E43D078" w14:textId="77777777" w:rsidR="000B544D" w:rsidRPr="008D506D" w:rsidRDefault="000B544D" w:rsidP="00061854">
            <w:pPr>
              <w:keepNext/>
              <w:rPr>
                <w:rFonts w:ascii="Aptos Narrow" w:hAnsi="Aptos Narrow"/>
                <w:color w:val="000000"/>
                <w:sz w:val="16"/>
                <w:szCs w:val="16"/>
              </w:rPr>
            </w:pPr>
            <w:r w:rsidRPr="008D506D">
              <w:rPr>
                <w:rFonts w:ascii="Aptos Narrow" w:hAnsi="Aptos Narrow"/>
                <w:color w:val="000000"/>
                <w:sz w:val="16"/>
                <w:szCs w:val="16"/>
              </w:rPr>
              <w:t>São João da Barra</w:t>
            </w:r>
          </w:p>
        </w:tc>
        <w:tc>
          <w:tcPr>
            <w:tcW w:w="1176" w:type="dxa"/>
            <w:tcBorders>
              <w:top w:val="nil"/>
              <w:left w:val="nil"/>
              <w:bottom w:val="nil"/>
              <w:right w:val="nil"/>
            </w:tcBorders>
            <w:noWrap/>
            <w:hideMark/>
          </w:tcPr>
          <w:p w14:paraId="2AA1528D"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666</w:t>
            </w:r>
          </w:p>
        </w:tc>
        <w:tc>
          <w:tcPr>
            <w:tcW w:w="1082" w:type="dxa"/>
            <w:tcBorders>
              <w:top w:val="nil"/>
              <w:left w:val="nil"/>
              <w:bottom w:val="nil"/>
              <w:right w:val="nil"/>
            </w:tcBorders>
            <w:noWrap/>
            <w:hideMark/>
          </w:tcPr>
          <w:p w14:paraId="09E8C597"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3.814</w:t>
            </w:r>
          </w:p>
        </w:tc>
        <w:tc>
          <w:tcPr>
            <w:tcW w:w="1336" w:type="dxa"/>
            <w:tcBorders>
              <w:top w:val="nil"/>
              <w:left w:val="nil"/>
              <w:bottom w:val="nil"/>
              <w:right w:val="nil"/>
            </w:tcBorders>
            <w:noWrap/>
            <w:hideMark/>
          </w:tcPr>
          <w:p w14:paraId="41F0E794"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4.480</w:t>
            </w:r>
          </w:p>
        </w:tc>
      </w:tr>
      <w:tr w:rsidR="000B544D" w:rsidRPr="008D506D" w14:paraId="2446022F" w14:textId="77777777" w:rsidTr="008D506D">
        <w:trPr>
          <w:cantSplit/>
          <w:jc w:val="center"/>
        </w:trPr>
        <w:tc>
          <w:tcPr>
            <w:tcW w:w="5337" w:type="dxa"/>
            <w:tcBorders>
              <w:top w:val="nil"/>
              <w:left w:val="nil"/>
              <w:bottom w:val="nil"/>
              <w:right w:val="nil"/>
            </w:tcBorders>
            <w:shd w:val="clear" w:color="000000" w:fill="FBE2D5"/>
            <w:noWrap/>
            <w:hideMark/>
          </w:tcPr>
          <w:p w14:paraId="24F3C655" w14:textId="77777777" w:rsidR="000B544D" w:rsidRPr="008D506D" w:rsidRDefault="000B544D" w:rsidP="00061854">
            <w:pPr>
              <w:keepNext/>
              <w:rPr>
                <w:rFonts w:ascii="Aptos Narrow" w:hAnsi="Aptos Narrow"/>
                <w:color w:val="3F3F76"/>
                <w:sz w:val="16"/>
                <w:szCs w:val="16"/>
              </w:rPr>
            </w:pPr>
            <w:r w:rsidRPr="008D506D">
              <w:rPr>
                <w:rFonts w:ascii="Aptos Narrow" w:hAnsi="Aptos Narrow"/>
                <w:color w:val="3F3F76"/>
                <w:sz w:val="16"/>
                <w:szCs w:val="16"/>
              </w:rPr>
              <w:t>Região Geográfica Imediata Itaperuna</w:t>
            </w:r>
          </w:p>
        </w:tc>
        <w:tc>
          <w:tcPr>
            <w:tcW w:w="1176" w:type="dxa"/>
            <w:tcBorders>
              <w:top w:val="nil"/>
              <w:left w:val="nil"/>
              <w:bottom w:val="nil"/>
              <w:right w:val="nil"/>
            </w:tcBorders>
            <w:shd w:val="clear" w:color="000000" w:fill="FBE2D5"/>
            <w:noWrap/>
            <w:hideMark/>
          </w:tcPr>
          <w:p w14:paraId="370C8458"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5.642</w:t>
            </w:r>
          </w:p>
        </w:tc>
        <w:tc>
          <w:tcPr>
            <w:tcW w:w="1082" w:type="dxa"/>
            <w:tcBorders>
              <w:top w:val="nil"/>
              <w:left w:val="nil"/>
              <w:bottom w:val="nil"/>
              <w:right w:val="nil"/>
            </w:tcBorders>
            <w:shd w:val="clear" w:color="000000" w:fill="FBE2D5"/>
            <w:noWrap/>
            <w:hideMark/>
          </w:tcPr>
          <w:p w14:paraId="763DF929"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330</w:t>
            </w:r>
          </w:p>
        </w:tc>
        <w:tc>
          <w:tcPr>
            <w:tcW w:w="1336" w:type="dxa"/>
            <w:tcBorders>
              <w:top w:val="nil"/>
              <w:left w:val="nil"/>
              <w:bottom w:val="nil"/>
              <w:right w:val="nil"/>
            </w:tcBorders>
            <w:shd w:val="clear" w:color="000000" w:fill="FBE2D5"/>
            <w:noWrap/>
            <w:hideMark/>
          </w:tcPr>
          <w:p w14:paraId="428C87E4"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5.973</w:t>
            </w:r>
          </w:p>
        </w:tc>
      </w:tr>
      <w:tr w:rsidR="000B544D" w:rsidRPr="008D506D" w14:paraId="0F0CFF28" w14:textId="77777777" w:rsidTr="008D506D">
        <w:trPr>
          <w:cantSplit/>
          <w:jc w:val="center"/>
        </w:trPr>
        <w:tc>
          <w:tcPr>
            <w:tcW w:w="5337" w:type="dxa"/>
            <w:tcBorders>
              <w:top w:val="nil"/>
              <w:left w:val="nil"/>
              <w:bottom w:val="nil"/>
              <w:right w:val="nil"/>
            </w:tcBorders>
            <w:noWrap/>
            <w:hideMark/>
          </w:tcPr>
          <w:p w14:paraId="2CCE7C13" w14:textId="77777777" w:rsidR="000B544D" w:rsidRPr="008D506D" w:rsidRDefault="000B544D" w:rsidP="00061854">
            <w:pPr>
              <w:keepNext/>
              <w:rPr>
                <w:rFonts w:ascii="Aptos Narrow" w:hAnsi="Aptos Narrow"/>
                <w:color w:val="000000"/>
                <w:sz w:val="16"/>
                <w:szCs w:val="16"/>
              </w:rPr>
            </w:pPr>
            <w:r w:rsidRPr="008D506D">
              <w:rPr>
                <w:rFonts w:ascii="Aptos Narrow" w:hAnsi="Aptos Narrow"/>
                <w:color w:val="000000"/>
                <w:sz w:val="16"/>
                <w:szCs w:val="16"/>
              </w:rPr>
              <w:t>Bom Jesus do Itabapoana</w:t>
            </w:r>
          </w:p>
        </w:tc>
        <w:tc>
          <w:tcPr>
            <w:tcW w:w="1176" w:type="dxa"/>
            <w:tcBorders>
              <w:top w:val="nil"/>
              <w:left w:val="nil"/>
              <w:bottom w:val="nil"/>
              <w:right w:val="nil"/>
            </w:tcBorders>
            <w:noWrap/>
            <w:hideMark/>
          </w:tcPr>
          <w:p w14:paraId="087AA4D2"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151</w:t>
            </w:r>
          </w:p>
        </w:tc>
        <w:tc>
          <w:tcPr>
            <w:tcW w:w="1082" w:type="dxa"/>
            <w:tcBorders>
              <w:top w:val="nil"/>
              <w:left w:val="nil"/>
              <w:bottom w:val="nil"/>
              <w:right w:val="nil"/>
            </w:tcBorders>
            <w:noWrap/>
            <w:hideMark/>
          </w:tcPr>
          <w:p w14:paraId="6411BD71"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84</w:t>
            </w:r>
          </w:p>
        </w:tc>
        <w:tc>
          <w:tcPr>
            <w:tcW w:w="1336" w:type="dxa"/>
            <w:tcBorders>
              <w:top w:val="nil"/>
              <w:left w:val="nil"/>
              <w:bottom w:val="nil"/>
              <w:right w:val="nil"/>
            </w:tcBorders>
            <w:noWrap/>
            <w:hideMark/>
          </w:tcPr>
          <w:p w14:paraId="179D77E3"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235</w:t>
            </w:r>
          </w:p>
        </w:tc>
      </w:tr>
      <w:tr w:rsidR="000B544D" w:rsidRPr="008D506D" w14:paraId="3A644015" w14:textId="77777777" w:rsidTr="008D506D">
        <w:trPr>
          <w:cantSplit/>
          <w:jc w:val="center"/>
        </w:trPr>
        <w:tc>
          <w:tcPr>
            <w:tcW w:w="5337" w:type="dxa"/>
            <w:tcBorders>
              <w:top w:val="nil"/>
              <w:left w:val="nil"/>
              <w:bottom w:val="nil"/>
              <w:right w:val="nil"/>
            </w:tcBorders>
            <w:noWrap/>
            <w:hideMark/>
          </w:tcPr>
          <w:p w14:paraId="00A56426" w14:textId="77777777" w:rsidR="000B544D" w:rsidRPr="008D506D" w:rsidRDefault="000B544D" w:rsidP="00061854">
            <w:pPr>
              <w:keepNext/>
              <w:rPr>
                <w:rFonts w:ascii="Aptos Narrow" w:hAnsi="Aptos Narrow"/>
                <w:color w:val="000000"/>
                <w:sz w:val="16"/>
                <w:szCs w:val="16"/>
              </w:rPr>
            </w:pPr>
            <w:r w:rsidRPr="008D506D">
              <w:rPr>
                <w:rFonts w:ascii="Aptos Narrow" w:hAnsi="Aptos Narrow"/>
                <w:color w:val="000000"/>
                <w:sz w:val="16"/>
                <w:szCs w:val="16"/>
              </w:rPr>
              <w:t>Itaperuna</w:t>
            </w:r>
          </w:p>
        </w:tc>
        <w:tc>
          <w:tcPr>
            <w:tcW w:w="1176" w:type="dxa"/>
            <w:tcBorders>
              <w:top w:val="nil"/>
              <w:left w:val="nil"/>
              <w:bottom w:val="nil"/>
              <w:right w:val="nil"/>
            </w:tcBorders>
            <w:noWrap/>
            <w:hideMark/>
          </w:tcPr>
          <w:p w14:paraId="63FFA546"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4.097</w:t>
            </w:r>
          </w:p>
        </w:tc>
        <w:tc>
          <w:tcPr>
            <w:tcW w:w="1082" w:type="dxa"/>
            <w:tcBorders>
              <w:top w:val="nil"/>
              <w:left w:val="nil"/>
              <w:bottom w:val="nil"/>
              <w:right w:val="nil"/>
            </w:tcBorders>
            <w:noWrap/>
            <w:hideMark/>
          </w:tcPr>
          <w:p w14:paraId="6174535C"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367</w:t>
            </w:r>
          </w:p>
        </w:tc>
        <w:tc>
          <w:tcPr>
            <w:tcW w:w="1336" w:type="dxa"/>
            <w:tcBorders>
              <w:top w:val="nil"/>
              <w:left w:val="nil"/>
              <w:bottom w:val="nil"/>
              <w:right w:val="nil"/>
            </w:tcBorders>
            <w:noWrap/>
            <w:hideMark/>
          </w:tcPr>
          <w:p w14:paraId="46AEC910"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4.464</w:t>
            </w:r>
          </w:p>
        </w:tc>
      </w:tr>
      <w:tr w:rsidR="000B544D" w:rsidRPr="008D506D" w14:paraId="5EBE3651" w14:textId="77777777" w:rsidTr="008D506D">
        <w:trPr>
          <w:cantSplit/>
          <w:jc w:val="center"/>
        </w:trPr>
        <w:tc>
          <w:tcPr>
            <w:tcW w:w="5337" w:type="dxa"/>
            <w:tcBorders>
              <w:top w:val="nil"/>
              <w:left w:val="nil"/>
              <w:bottom w:val="nil"/>
              <w:right w:val="nil"/>
            </w:tcBorders>
            <w:noWrap/>
            <w:hideMark/>
          </w:tcPr>
          <w:p w14:paraId="32FB343B" w14:textId="77777777" w:rsidR="000B544D" w:rsidRPr="008D506D" w:rsidRDefault="000B544D" w:rsidP="00061854">
            <w:pPr>
              <w:keepNext/>
              <w:rPr>
                <w:rFonts w:ascii="Aptos Narrow" w:hAnsi="Aptos Narrow"/>
                <w:color w:val="000000"/>
                <w:sz w:val="16"/>
                <w:szCs w:val="16"/>
              </w:rPr>
            </w:pPr>
            <w:r w:rsidRPr="008D506D">
              <w:rPr>
                <w:rFonts w:ascii="Aptos Narrow" w:hAnsi="Aptos Narrow"/>
                <w:color w:val="000000"/>
                <w:sz w:val="16"/>
                <w:szCs w:val="16"/>
              </w:rPr>
              <w:t>Laje do Muriaé</w:t>
            </w:r>
          </w:p>
        </w:tc>
        <w:tc>
          <w:tcPr>
            <w:tcW w:w="1176" w:type="dxa"/>
            <w:tcBorders>
              <w:top w:val="nil"/>
              <w:left w:val="nil"/>
              <w:bottom w:val="nil"/>
              <w:right w:val="nil"/>
            </w:tcBorders>
            <w:noWrap/>
            <w:hideMark/>
          </w:tcPr>
          <w:p w14:paraId="6A0F83AA"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333</w:t>
            </w:r>
          </w:p>
        </w:tc>
        <w:tc>
          <w:tcPr>
            <w:tcW w:w="1082" w:type="dxa"/>
            <w:tcBorders>
              <w:top w:val="nil"/>
              <w:left w:val="nil"/>
              <w:bottom w:val="nil"/>
              <w:right w:val="nil"/>
            </w:tcBorders>
            <w:noWrap/>
            <w:hideMark/>
          </w:tcPr>
          <w:p w14:paraId="703AEE7E"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33</w:t>
            </w:r>
          </w:p>
        </w:tc>
        <w:tc>
          <w:tcPr>
            <w:tcW w:w="1336" w:type="dxa"/>
            <w:tcBorders>
              <w:top w:val="nil"/>
              <w:left w:val="nil"/>
              <w:bottom w:val="nil"/>
              <w:right w:val="nil"/>
            </w:tcBorders>
            <w:noWrap/>
            <w:hideMark/>
          </w:tcPr>
          <w:p w14:paraId="1FDC3A88"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365</w:t>
            </w:r>
          </w:p>
        </w:tc>
      </w:tr>
      <w:tr w:rsidR="000B544D" w:rsidRPr="008D506D" w14:paraId="49D9C2F5" w14:textId="77777777" w:rsidTr="008D506D">
        <w:trPr>
          <w:cantSplit/>
          <w:jc w:val="center"/>
        </w:trPr>
        <w:tc>
          <w:tcPr>
            <w:tcW w:w="5337" w:type="dxa"/>
            <w:tcBorders>
              <w:top w:val="nil"/>
              <w:left w:val="nil"/>
              <w:bottom w:val="nil"/>
              <w:right w:val="nil"/>
            </w:tcBorders>
            <w:noWrap/>
            <w:hideMark/>
          </w:tcPr>
          <w:p w14:paraId="4236A322" w14:textId="77777777" w:rsidR="000B544D" w:rsidRPr="008D506D" w:rsidRDefault="000B544D" w:rsidP="00061854">
            <w:pPr>
              <w:keepNext/>
              <w:rPr>
                <w:rFonts w:ascii="Aptos Narrow" w:hAnsi="Aptos Narrow"/>
                <w:color w:val="000000"/>
                <w:sz w:val="16"/>
                <w:szCs w:val="16"/>
              </w:rPr>
            </w:pPr>
            <w:r w:rsidRPr="008D506D">
              <w:rPr>
                <w:rFonts w:ascii="Aptos Narrow" w:hAnsi="Aptos Narrow"/>
                <w:color w:val="000000"/>
                <w:sz w:val="16"/>
                <w:szCs w:val="16"/>
              </w:rPr>
              <w:t>Natividade</w:t>
            </w:r>
          </w:p>
        </w:tc>
        <w:tc>
          <w:tcPr>
            <w:tcW w:w="1176" w:type="dxa"/>
            <w:tcBorders>
              <w:top w:val="nil"/>
              <w:left w:val="nil"/>
              <w:bottom w:val="nil"/>
              <w:right w:val="nil"/>
            </w:tcBorders>
            <w:noWrap/>
            <w:hideMark/>
          </w:tcPr>
          <w:p w14:paraId="451D23CC"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54</w:t>
            </w:r>
          </w:p>
        </w:tc>
        <w:tc>
          <w:tcPr>
            <w:tcW w:w="1082" w:type="dxa"/>
            <w:tcBorders>
              <w:top w:val="nil"/>
              <w:left w:val="nil"/>
              <w:bottom w:val="nil"/>
              <w:right w:val="nil"/>
            </w:tcBorders>
            <w:noWrap/>
            <w:hideMark/>
          </w:tcPr>
          <w:p w14:paraId="09F317CA"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251</w:t>
            </w:r>
          </w:p>
        </w:tc>
        <w:tc>
          <w:tcPr>
            <w:tcW w:w="1336" w:type="dxa"/>
            <w:tcBorders>
              <w:top w:val="nil"/>
              <w:left w:val="nil"/>
              <w:bottom w:val="nil"/>
              <w:right w:val="nil"/>
            </w:tcBorders>
            <w:noWrap/>
            <w:hideMark/>
          </w:tcPr>
          <w:p w14:paraId="4DE44938"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305</w:t>
            </w:r>
          </w:p>
        </w:tc>
      </w:tr>
      <w:tr w:rsidR="000B544D" w:rsidRPr="008D506D" w14:paraId="670B62CC" w14:textId="77777777" w:rsidTr="008D506D">
        <w:trPr>
          <w:cantSplit/>
          <w:jc w:val="center"/>
        </w:trPr>
        <w:tc>
          <w:tcPr>
            <w:tcW w:w="5337" w:type="dxa"/>
            <w:tcBorders>
              <w:top w:val="nil"/>
              <w:left w:val="nil"/>
              <w:bottom w:val="nil"/>
              <w:right w:val="nil"/>
            </w:tcBorders>
            <w:noWrap/>
            <w:hideMark/>
          </w:tcPr>
          <w:p w14:paraId="42191422" w14:textId="77777777" w:rsidR="000B544D" w:rsidRPr="008D506D" w:rsidRDefault="000B544D" w:rsidP="00061854">
            <w:pPr>
              <w:keepNext/>
              <w:rPr>
                <w:rFonts w:ascii="Aptos Narrow" w:hAnsi="Aptos Narrow"/>
                <w:color w:val="000000"/>
                <w:sz w:val="16"/>
                <w:szCs w:val="16"/>
              </w:rPr>
            </w:pPr>
            <w:r w:rsidRPr="008D506D">
              <w:rPr>
                <w:rFonts w:ascii="Aptos Narrow" w:hAnsi="Aptos Narrow"/>
                <w:color w:val="000000"/>
                <w:sz w:val="16"/>
                <w:szCs w:val="16"/>
              </w:rPr>
              <w:t>Porciúncula</w:t>
            </w:r>
          </w:p>
        </w:tc>
        <w:tc>
          <w:tcPr>
            <w:tcW w:w="1176" w:type="dxa"/>
            <w:tcBorders>
              <w:top w:val="nil"/>
              <w:left w:val="nil"/>
              <w:bottom w:val="nil"/>
              <w:right w:val="nil"/>
            </w:tcBorders>
            <w:noWrap/>
            <w:hideMark/>
          </w:tcPr>
          <w:p w14:paraId="5726421A"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629</w:t>
            </w:r>
          </w:p>
        </w:tc>
        <w:tc>
          <w:tcPr>
            <w:tcW w:w="1082" w:type="dxa"/>
            <w:tcBorders>
              <w:top w:val="nil"/>
              <w:left w:val="nil"/>
              <w:bottom w:val="nil"/>
              <w:right w:val="nil"/>
            </w:tcBorders>
            <w:noWrap/>
            <w:hideMark/>
          </w:tcPr>
          <w:p w14:paraId="71C2D2E8"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-114</w:t>
            </w:r>
          </w:p>
        </w:tc>
        <w:tc>
          <w:tcPr>
            <w:tcW w:w="1336" w:type="dxa"/>
            <w:tcBorders>
              <w:top w:val="nil"/>
              <w:left w:val="nil"/>
              <w:bottom w:val="nil"/>
              <w:right w:val="nil"/>
            </w:tcBorders>
            <w:noWrap/>
            <w:hideMark/>
          </w:tcPr>
          <w:p w14:paraId="5A220AF6"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515</w:t>
            </w:r>
          </w:p>
        </w:tc>
      </w:tr>
      <w:tr w:rsidR="000B544D" w:rsidRPr="008D506D" w14:paraId="6287EB18" w14:textId="77777777" w:rsidTr="008D506D">
        <w:trPr>
          <w:cantSplit/>
          <w:jc w:val="center"/>
        </w:trPr>
        <w:tc>
          <w:tcPr>
            <w:tcW w:w="5337" w:type="dxa"/>
            <w:tcBorders>
              <w:top w:val="nil"/>
              <w:left w:val="nil"/>
              <w:bottom w:val="nil"/>
              <w:right w:val="nil"/>
            </w:tcBorders>
            <w:noWrap/>
            <w:hideMark/>
          </w:tcPr>
          <w:p w14:paraId="3ADA075F" w14:textId="77777777" w:rsidR="000B544D" w:rsidRPr="008D506D" w:rsidRDefault="000B544D" w:rsidP="00061854">
            <w:pPr>
              <w:keepNext/>
              <w:rPr>
                <w:rFonts w:ascii="Aptos Narrow" w:hAnsi="Aptos Narrow"/>
                <w:color w:val="000000"/>
                <w:sz w:val="16"/>
                <w:szCs w:val="16"/>
              </w:rPr>
            </w:pPr>
            <w:r w:rsidRPr="008D506D">
              <w:rPr>
                <w:rFonts w:ascii="Aptos Narrow" w:hAnsi="Aptos Narrow"/>
                <w:color w:val="000000"/>
                <w:sz w:val="16"/>
                <w:szCs w:val="16"/>
              </w:rPr>
              <w:t>São José de Ubá</w:t>
            </w:r>
          </w:p>
        </w:tc>
        <w:tc>
          <w:tcPr>
            <w:tcW w:w="1176" w:type="dxa"/>
            <w:tcBorders>
              <w:top w:val="nil"/>
              <w:left w:val="nil"/>
              <w:bottom w:val="nil"/>
              <w:right w:val="nil"/>
            </w:tcBorders>
            <w:noWrap/>
            <w:hideMark/>
          </w:tcPr>
          <w:p w14:paraId="5959AA7E"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453</w:t>
            </w:r>
          </w:p>
        </w:tc>
        <w:tc>
          <w:tcPr>
            <w:tcW w:w="1082" w:type="dxa"/>
            <w:tcBorders>
              <w:top w:val="nil"/>
              <w:left w:val="nil"/>
              <w:bottom w:val="nil"/>
              <w:right w:val="nil"/>
            </w:tcBorders>
            <w:noWrap/>
            <w:hideMark/>
          </w:tcPr>
          <w:p w14:paraId="5FEE7B96"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-143</w:t>
            </w:r>
          </w:p>
        </w:tc>
        <w:tc>
          <w:tcPr>
            <w:tcW w:w="1336" w:type="dxa"/>
            <w:tcBorders>
              <w:top w:val="nil"/>
              <w:left w:val="nil"/>
              <w:bottom w:val="nil"/>
              <w:right w:val="nil"/>
            </w:tcBorders>
            <w:noWrap/>
            <w:hideMark/>
          </w:tcPr>
          <w:p w14:paraId="5B082533"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310</w:t>
            </w:r>
          </w:p>
        </w:tc>
      </w:tr>
      <w:tr w:rsidR="000B544D" w:rsidRPr="008D506D" w14:paraId="5A1F914E" w14:textId="77777777" w:rsidTr="008D506D">
        <w:trPr>
          <w:cantSplit/>
          <w:jc w:val="center"/>
        </w:trPr>
        <w:tc>
          <w:tcPr>
            <w:tcW w:w="5337" w:type="dxa"/>
            <w:tcBorders>
              <w:top w:val="nil"/>
              <w:left w:val="nil"/>
              <w:bottom w:val="nil"/>
              <w:right w:val="nil"/>
            </w:tcBorders>
            <w:noWrap/>
            <w:hideMark/>
          </w:tcPr>
          <w:p w14:paraId="1352E232" w14:textId="77777777" w:rsidR="000B544D" w:rsidRPr="008D506D" w:rsidRDefault="000B544D" w:rsidP="00061854">
            <w:pPr>
              <w:keepNext/>
              <w:rPr>
                <w:rFonts w:ascii="Aptos Narrow" w:hAnsi="Aptos Narrow"/>
                <w:color w:val="000000"/>
                <w:sz w:val="16"/>
                <w:szCs w:val="16"/>
              </w:rPr>
            </w:pPr>
            <w:r w:rsidRPr="008D506D">
              <w:rPr>
                <w:rFonts w:ascii="Aptos Narrow" w:hAnsi="Aptos Narrow"/>
                <w:color w:val="000000"/>
                <w:sz w:val="16"/>
                <w:szCs w:val="16"/>
              </w:rPr>
              <w:t>Varre-Sai</w:t>
            </w:r>
          </w:p>
        </w:tc>
        <w:tc>
          <w:tcPr>
            <w:tcW w:w="1176" w:type="dxa"/>
            <w:tcBorders>
              <w:top w:val="nil"/>
              <w:left w:val="nil"/>
              <w:bottom w:val="nil"/>
              <w:right w:val="nil"/>
            </w:tcBorders>
            <w:noWrap/>
            <w:hideMark/>
          </w:tcPr>
          <w:p w14:paraId="6DBC4FE9"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-2</w:t>
            </w:r>
          </w:p>
        </w:tc>
        <w:tc>
          <w:tcPr>
            <w:tcW w:w="1082" w:type="dxa"/>
            <w:tcBorders>
              <w:top w:val="nil"/>
              <w:left w:val="nil"/>
              <w:bottom w:val="nil"/>
              <w:right w:val="nil"/>
            </w:tcBorders>
            <w:noWrap/>
            <w:hideMark/>
          </w:tcPr>
          <w:p w14:paraId="6C527CE0"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-567</w:t>
            </w:r>
          </w:p>
        </w:tc>
        <w:tc>
          <w:tcPr>
            <w:tcW w:w="1336" w:type="dxa"/>
            <w:tcBorders>
              <w:top w:val="nil"/>
              <w:left w:val="nil"/>
              <w:bottom w:val="nil"/>
              <w:right w:val="nil"/>
            </w:tcBorders>
            <w:noWrap/>
            <w:hideMark/>
          </w:tcPr>
          <w:p w14:paraId="338D987C"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-569</w:t>
            </w:r>
          </w:p>
        </w:tc>
      </w:tr>
      <w:tr w:rsidR="000B544D" w:rsidRPr="008D506D" w14:paraId="2976E41B" w14:textId="77777777" w:rsidTr="008D506D">
        <w:trPr>
          <w:cantSplit/>
          <w:jc w:val="center"/>
        </w:trPr>
        <w:tc>
          <w:tcPr>
            <w:tcW w:w="5337" w:type="dxa"/>
            <w:tcBorders>
              <w:top w:val="nil"/>
              <w:left w:val="nil"/>
              <w:bottom w:val="nil"/>
              <w:right w:val="nil"/>
            </w:tcBorders>
            <w:shd w:val="clear" w:color="000000" w:fill="FBE2D5"/>
            <w:noWrap/>
            <w:hideMark/>
          </w:tcPr>
          <w:p w14:paraId="08164963" w14:textId="77777777" w:rsidR="000B544D" w:rsidRPr="008D506D" w:rsidRDefault="000B544D" w:rsidP="00061854">
            <w:pPr>
              <w:keepNext/>
              <w:rPr>
                <w:rFonts w:ascii="Aptos Narrow" w:hAnsi="Aptos Narrow"/>
                <w:color w:val="3F3F76"/>
                <w:sz w:val="16"/>
                <w:szCs w:val="16"/>
              </w:rPr>
            </w:pPr>
            <w:r w:rsidRPr="008D506D">
              <w:rPr>
                <w:rFonts w:ascii="Aptos Narrow" w:hAnsi="Aptos Narrow"/>
                <w:color w:val="3F3F76"/>
                <w:sz w:val="16"/>
                <w:szCs w:val="16"/>
              </w:rPr>
              <w:t>Região Geográfica Imediata Santo Antônio de Pádua</w:t>
            </w:r>
          </w:p>
        </w:tc>
        <w:tc>
          <w:tcPr>
            <w:tcW w:w="1176" w:type="dxa"/>
            <w:tcBorders>
              <w:top w:val="nil"/>
              <w:left w:val="nil"/>
              <w:bottom w:val="nil"/>
              <w:right w:val="nil"/>
            </w:tcBorders>
            <w:shd w:val="clear" w:color="000000" w:fill="FBE2D5"/>
            <w:noWrap/>
            <w:hideMark/>
          </w:tcPr>
          <w:p w14:paraId="5A0A0B98"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4.053</w:t>
            </w:r>
          </w:p>
        </w:tc>
        <w:tc>
          <w:tcPr>
            <w:tcW w:w="1082" w:type="dxa"/>
            <w:tcBorders>
              <w:top w:val="nil"/>
              <w:left w:val="nil"/>
              <w:bottom w:val="nil"/>
              <w:right w:val="nil"/>
            </w:tcBorders>
            <w:shd w:val="clear" w:color="000000" w:fill="FBE2D5"/>
            <w:noWrap/>
            <w:hideMark/>
          </w:tcPr>
          <w:p w14:paraId="4E6B9BA3"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-907</w:t>
            </w:r>
          </w:p>
        </w:tc>
        <w:tc>
          <w:tcPr>
            <w:tcW w:w="1336" w:type="dxa"/>
            <w:tcBorders>
              <w:top w:val="nil"/>
              <w:left w:val="nil"/>
              <w:bottom w:val="nil"/>
              <w:right w:val="nil"/>
            </w:tcBorders>
            <w:shd w:val="clear" w:color="000000" w:fill="FBE2D5"/>
            <w:noWrap/>
            <w:hideMark/>
          </w:tcPr>
          <w:p w14:paraId="113E98C1"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3.146</w:t>
            </w:r>
          </w:p>
        </w:tc>
      </w:tr>
      <w:tr w:rsidR="000B544D" w:rsidRPr="008D506D" w14:paraId="210C152D" w14:textId="77777777" w:rsidTr="008D506D">
        <w:trPr>
          <w:cantSplit/>
          <w:jc w:val="center"/>
        </w:trPr>
        <w:tc>
          <w:tcPr>
            <w:tcW w:w="5337" w:type="dxa"/>
            <w:tcBorders>
              <w:top w:val="nil"/>
              <w:left w:val="nil"/>
              <w:bottom w:val="nil"/>
              <w:right w:val="nil"/>
            </w:tcBorders>
            <w:noWrap/>
            <w:hideMark/>
          </w:tcPr>
          <w:p w14:paraId="511997EE" w14:textId="77777777" w:rsidR="000B544D" w:rsidRPr="008D506D" w:rsidRDefault="000B544D" w:rsidP="00061854">
            <w:pPr>
              <w:keepNext/>
              <w:rPr>
                <w:rFonts w:ascii="Aptos Narrow" w:hAnsi="Aptos Narrow"/>
                <w:color w:val="000000"/>
                <w:sz w:val="16"/>
                <w:szCs w:val="16"/>
              </w:rPr>
            </w:pPr>
            <w:r w:rsidRPr="008D506D">
              <w:rPr>
                <w:rFonts w:ascii="Aptos Narrow" w:hAnsi="Aptos Narrow"/>
                <w:color w:val="000000"/>
                <w:sz w:val="16"/>
                <w:szCs w:val="16"/>
              </w:rPr>
              <w:t>Aperibé</w:t>
            </w:r>
          </w:p>
        </w:tc>
        <w:tc>
          <w:tcPr>
            <w:tcW w:w="1176" w:type="dxa"/>
            <w:tcBorders>
              <w:top w:val="nil"/>
              <w:left w:val="nil"/>
              <w:bottom w:val="nil"/>
              <w:right w:val="nil"/>
            </w:tcBorders>
            <w:noWrap/>
            <w:hideMark/>
          </w:tcPr>
          <w:p w14:paraId="5DE6612C"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403</w:t>
            </w:r>
          </w:p>
        </w:tc>
        <w:tc>
          <w:tcPr>
            <w:tcW w:w="1082" w:type="dxa"/>
            <w:tcBorders>
              <w:top w:val="nil"/>
              <w:left w:val="nil"/>
              <w:bottom w:val="nil"/>
              <w:right w:val="nil"/>
            </w:tcBorders>
            <w:noWrap/>
            <w:hideMark/>
          </w:tcPr>
          <w:p w14:paraId="6A2ABB69"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-352</w:t>
            </w:r>
          </w:p>
        </w:tc>
        <w:tc>
          <w:tcPr>
            <w:tcW w:w="1336" w:type="dxa"/>
            <w:tcBorders>
              <w:top w:val="nil"/>
              <w:left w:val="nil"/>
              <w:bottom w:val="nil"/>
              <w:right w:val="nil"/>
            </w:tcBorders>
            <w:noWrap/>
            <w:hideMark/>
          </w:tcPr>
          <w:p w14:paraId="0464909A"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51</w:t>
            </w:r>
          </w:p>
        </w:tc>
      </w:tr>
      <w:tr w:rsidR="000B544D" w:rsidRPr="008D506D" w14:paraId="322D1CCC" w14:textId="77777777" w:rsidTr="008D506D">
        <w:trPr>
          <w:cantSplit/>
          <w:jc w:val="center"/>
        </w:trPr>
        <w:tc>
          <w:tcPr>
            <w:tcW w:w="5337" w:type="dxa"/>
            <w:tcBorders>
              <w:top w:val="nil"/>
              <w:left w:val="nil"/>
              <w:bottom w:val="nil"/>
              <w:right w:val="nil"/>
            </w:tcBorders>
            <w:noWrap/>
            <w:hideMark/>
          </w:tcPr>
          <w:p w14:paraId="67951FC9" w14:textId="77777777" w:rsidR="000B544D" w:rsidRPr="008D506D" w:rsidRDefault="000B544D" w:rsidP="00061854">
            <w:pPr>
              <w:keepNext/>
              <w:rPr>
                <w:rFonts w:ascii="Aptos Narrow" w:hAnsi="Aptos Narrow"/>
                <w:color w:val="000000"/>
                <w:sz w:val="16"/>
                <w:szCs w:val="16"/>
              </w:rPr>
            </w:pPr>
            <w:r w:rsidRPr="008D506D">
              <w:rPr>
                <w:rFonts w:ascii="Aptos Narrow" w:hAnsi="Aptos Narrow"/>
                <w:color w:val="000000"/>
                <w:sz w:val="16"/>
                <w:szCs w:val="16"/>
              </w:rPr>
              <w:t>Cambuci</w:t>
            </w:r>
          </w:p>
        </w:tc>
        <w:tc>
          <w:tcPr>
            <w:tcW w:w="1176" w:type="dxa"/>
            <w:tcBorders>
              <w:top w:val="nil"/>
              <w:left w:val="nil"/>
              <w:bottom w:val="nil"/>
              <w:right w:val="nil"/>
            </w:tcBorders>
            <w:noWrap/>
            <w:hideMark/>
          </w:tcPr>
          <w:p w14:paraId="5EF143F3"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662</w:t>
            </w:r>
          </w:p>
        </w:tc>
        <w:tc>
          <w:tcPr>
            <w:tcW w:w="1082" w:type="dxa"/>
            <w:tcBorders>
              <w:top w:val="nil"/>
              <w:left w:val="nil"/>
              <w:bottom w:val="nil"/>
              <w:right w:val="nil"/>
            </w:tcBorders>
            <w:noWrap/>
            <w:hideMark/>
          </w:tcPr>
          <w:p w14:paraId="68C8AAA0"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-76</w:t>
            </w:r>
          </w:p>
        </w:tc>
        <w:tc>
          <w:tcPr>
            <w:tcW w:w="1336" w:type="dxa"/>
            <w:tcBorders>
              <w:top w:val="nil"/>
              <w:left w:val="nil"/>
              <w:bottom w:val="nil"/>
              <w:right w:val="nil"/>
            </w:tcBorders>
            <w:noWrap/>
            <w:hideMark/>
          </w:tcPr>
          <w:p w14:paraId="7546A4CC"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587</w:t>
            </w:r>
          </w:p>
        </w:tc>
      </w:tr>
      <w:tr w:rsidR="000B544D" w:rsidRPr="008D506D" w14:paraId="68F00769" w14:textId="77777777" w:rsidTr="008D506D">
        <w:trPr>
          <w:cantSplit/>
          <w:jc w:val="center"/>
        </w:trPr>
        <w:tc>
          <w:tcPr>
            <w:tcW w:w="5337" w:type="dxa"/>
            <w:tcBorders>
              <w:top w:val="nil"/>
              <w:left w:val="nil"/>
              <w:bottom w:val="nil"/>
              <w:right w:val="nil"/>
            </w:tcBorders>
            <w:noWrap/>
            <w:hideMark/>
          </w:tcPr>
          <w:p w14:paraId="07B68D2A" w14:textId="77777777" w:rsidR="000B544D" w:rsidRPr="008D506D" w:rsidRDefault="000B544D" w:rsidP="00061854">
            <w:pPr>
              <w:keepNext/>
              <w:rPr>
                <w:rFonts w:ascii="Aptos Narrow" w:hAnsi="Aptos Narrow"/>
                <w:color w:val="000000"/>
                <w:sz w:val="16"/>
                <w:szCs w:val="16"/>
              </w:rPr>
            </w:pPr>
            <w:r w:rsidRPr="008D506D">
              <w:rPr>
                <w:rFonts w:ascii="Aptos Narrow" w:hAnsi="Aptos Narrow"/>
                <w:color w:val="000000"/>
                <w:sz w:val="16"/>
                <w:szCs w:val="16"/>
              </w:rPr>
              <w:t>Itaocara</w:t>
            </w:r>
          </w:p>
        </w:tc>
        <w:tc>
          <w:tcPr>
            <w:tcW w:w="1176" w:type="dxa"/>
            <w:tcBorders>
              <w:top w:val="nil"/>
              <w:left w:val="nil"/>
              <w:bottom w:val="nil"/>
              <w:right w:val="nil"/>
            </w:tcBorders>
            <w:noWrap/>
            <w:hideMark/>
          </w:tcPr>
          <w:p w14:paraId="01522994"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167</w:t>
            </w:r>
          </w:p>
        </w:tc>
        <w:tc>
          <w:tcPr>
            <w:tcW w:w="1082" w:type="dxa"/>
            <w:tcBorders>
              <w:top w:val="nil"/>
              <w:left w:val="nil"/>
              <w:bottom w:val="nil"/>
              <w:right w:val="nil"/>
            </w:tcBorders>
            <w:noWrap/>
            <w:hideMark/>
          </w:tcPr>
          <w:p w14:paraId="4811B169"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-325</w:t>
            </w:r>
          </w:p>
        </w:tc>
        <w:tc>
          <w:tcPr>
            <w:tcW w:w="1336" w:type="dxa"/>
            <w:tcBorders>
              <w:top w:val="nil"/>
              <w:left w:val="nil"/>
              <w:bottom w:val="nil"/>
              <w:right w:val="nil"/>
            </w:tcBorders>
            <w:noWrap/>
            <w:hideMark/>
          </w:tcPr>
          <w:p w14:paraId="69CFEE26"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-158</w:t>
            </w:r>
          </w:p>
        </w:tc>
      </w:tr>
      <w:tr w:rsidR="000B544D" w:rsidRPr="008D506D" w14:paraId="0EAAC68F" w14:textId="77777777" w:rsidTr="008D506D">
        <w:trPr>
          <w:cantSplit/>
          <w:jc w:val="center"/>
        </w:trPr>
        <w:tc>
          <w:tcPr>
            <w:tcW w:w="5337" w:type="dxa"/>
            <w:tcBorders>
              <w:top w:val="nil"/>
              <w:left w:val="nil"/>
              <w:bottom w:val="nil"/>
              <w:right w:val="nil"/>
            </w:tcBorders>
            <w:noWrap/>
            <w:hideMark/>
          </w:tcPr>
          <w:p w14:paraId="5B593EA7" w14:textId="77777777" w:rsidR="000B544D" w:rsidRPr="008D506D" w:rsidRDefault="000B544D" w:rsidP="00061854">
            <w:pPr>
              <w:keepNext/>
              <w:rPr>
                <w:rFonts w:ascii="Aptos Narrow" w:hAnsi="Aptos Narrow"/>
                <w:color w:val="000000"/>
                <w:sz w:val="16"/>
                <w:szCs w:val="16"/>
              </w:rPr>
            </w:pPr>
            <w:r w:rsidRPr="008D506D">
              <w:rPr>
                <w:rFonts w:ascii="Aptos Narrow" w:hAnsi="Aptos Narrow"/>
                <w:color w:val="000000"/>
                <w:sz w:val="16"/>
                <w:szCs w:val="16"/>
              </w:rPr>
              <w:t>Miracema</w:t>
            </w:r>
          </w:p>
        </w:tc>
        <w:tc>
          <w:tcPr>
            <w:tcW w:w="1176" w:type="dxa"/>
            <w:tcBorders>
              <w:top w:val="nil"/>
              <w:left w:val="nil"/>
              <w:bottom w:val="nil"/>
              <w:right w:val="nil"/>
            </w:tcBorders>
            <w:noWrap/>
            <w:hideMark/>
          </w:tcPr>
          <w:p w14:paraId="09C58202"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1.042</w:t>
            </w:r>
          </w:p>
        </w:tc>
        <w:tc>
          <w:tcPr>
            <w:tcW w:w="1082" w:type="dxa"/>
            <w:tcBorders>
              <w:top w:val="nil"/>
              <w:left w:val="nil"/>
              <w:bottom w:val="nil"/>
              <w:right w:val="nil"/>
            </w:tcBorders>
            <w:noWrap/>
            <w:hideMark/>
          </w:tcPr>
          <w:p w14:paraId="79194B6F"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-209</w:t>
            </w:r>
          </w:p>
        </w:tc>
        <w:tc>
          <w:tcPr>
            <w:tcW w:w="1336" w:type="dxa"/>
            <w:tcBorders>
              <w:top w:val="nil"/>
              <w:left w:val="nil"/>
              <w:bottom w:val="nil"/>
              <w:right w:val="nil"/>
            </w:tcBorders>
            <w:noWrap/>
            <w:hideMark/>
          </w:tcPr>
          <w:p w14:paraId="5A6FD0D1"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833</w:t>
            </w:r>
          </w:p>
        </w:tc>
      </w:tr>
      <w:tr w:rsidR="000B544D" w:rsidRPr="008D506D" w14:paraId="700D5BFC" w14:textId="77777777" w:rsidTr="008D506D">
        <w:trPr>
          <w:cantSplit/>
          <w:jc w:val="center"/>
        </w:trPr>
        <w:tc>
          <w:tcPr>
            <w:tcW w:w="5337" w:type="dxa"/>
            <w:tcBorders>
              <w:top w:val="nil"/>
              <w:left w:val="nil"/>
              <w:bottom w:val="nil"/>
              <w:right w:val="nil"/>
            </w:tcBorders>
            <w:noWrap/>
            <w:hideMark/>
          </w:tcPr>
          <w:p w14:paraId="48900D40" w14:textId="77777777" w:rsidR="000B544D" w:rsidRPr="008D506D" w:rsidRDefault="000B544D" w:rsidP="00061854">
            <w:pPr>
              <w:keepNext/>
              <w:rPr>
                <w:rFonts w:ascii="Aptos Narrow" w:hAnsi="Aptos Narrow"/>
                <w:color w:val="000000"/>
                <w:sz w:val="16"/>
                <w:szCs w:val="16"/>
              </w:rPr>
            </w:pPr>
            <w:r w:rsidRPr="008D506D">
              <w:rPr>
                <w:rFonts w:ascii="Aptos Narrow" w:hAnsi="Aptos Narrow"/>
                <w:color w:val="000000"/>
                <w:sz w:val="16"/>
                <w:szCs w:val="16"/>
              </w:rPr>
              <w:t>Santo Antônio de Pádua</w:t>
            </w:r>
          </w:p>
        </w:tc>
        <w:tc>
          <w:tcPr>
            <w:tcW w:w="1176" w:type="dxa"/>
            <w:tcBorders>
              <w:top w:val="nil"/>
              <w:left w:val="nil"/>
              <w:bottom w:val="single" w:sz="8" w:space="0" w:color="auto"/>
              <w:right w:val="nil"/>
            </w:tcBorders>
            <w:noWrap/>
            <w:hideMark/>
          </w:tcPr>
          <w:p w14:paraId="59593E05"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1.824</w:t>
            </w:r>
          </w:p>
        </w:tc>
        <w:tc>
          <w:tcPr>
            <w:tcW w:w="1082" w:type="dxa"/>
            <w:tcBorders>
              <w:top w:val="nil"/>
              <w:left w:val="nil"/>
              <w:bottom w:val="single" w:sz="8" w:space="0" w:color="auto"/>
              <w:right w:val="nil"/>
            </w:tcBorders>
            <w:noWrap/>
            <w:hideMark/>
          </w:tcPr>
          <w:p w14:paraId="4FAD23A0"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-122</w:t>
            </w:r>
          </w:p>
        </w:tc>
        <w:tc>
          <w:tcPr>
            <w:tcW w:w="1336" w:type="dxa"/>
            <w:tcBorders>
              <w:top w:val="nil"/>
              <w:left w:val="nil"/>
              <w:bottom w:val="single" w:sz="8" w:space="0" w:color="auto"/>
              <w:right w:val="nil"/>
            </w:tcBorders>
            <w:noWrap/>
            <w:hideMark/>
          </w:tcPr>
          <w:p w14:paraId="403C9AD9"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1.702</w:t>
            </w:r>
          </w:p>
        </w:tc>
      </w:tr>
      <w:tr w:rsidR="000B544D" w:rsidRPr="008D506D" w14:paraId="1973BB64" w14:textId="77777777" w:rsidTr="008D506D">
        <w:trPr>
          <w:cantSplit/>
          <w:jc w:val="center"/>
        </w:trPr>
        <w:tc>
          <w:tcPr>
            <w:tcW w:w="5337" w:type="dxa"/>
            <w:tcBorders>
              <w:top w:val="single" w:sz="8" w:space="0" w:color="156082"/>
              <w:left w:val="nil"/>
              <w:bottom w:val="single" w:sz="8" w:space="0" w:color="auto"/>
              <w:right w:val="nil"/>
            </w:tcBorders>
            <w:shd w:val="clear" w:color="000000" w:fill="F7C7AC"/>
            <w:noWrap/>
            <w:hideMark/>
          </w:tcPr>
          <w:p w14:paraId="4B8EB4A1" w14:textId="77777777" w:rsidR="000B544D" w:rsidRPr="008D506D" w:rsidRDefault="000B544D" w:rsidP="00061854">
            <w:pPr>
              <w:keepNext/>
              <w:rPr>
                <w:rFonts w:ascii="Aptos Narrow" w:hAnsi="Aptos Narrow"/>
                <w:b/>
                <w:bCs/>
                <w:color w:val="000000"/>
                <w:sz w:val="16"/>
                <w:szCs w:val="16"/>
              </w:rPr>
            </w:pPr>
            <w:r w:rsidRPr="008D506D">
              <w:rPr>
                <w:rFonts w:ascii="Aptos Narrow" w:hAnsi="Aptos Narrow"/>
                <w:b/>
                <w:bCs/>
                <w:color w:val="000000"/>
                <w:sz w:val="16"/>
                <w:szCs w:val="16"/>
              </w:rPr>
              <w:t>Região Geográfica Intermediária Macaé - Rio das Ostras - Cabo Frio</w:t>
            </w:r>
          </w:p>
        </w:tc>
        <w:tc>
          <w:tcPr>
            <w:tcW w:w="1176" w:type="dxa"/>
            <w:tcBorders>
              <w:top w:val="nil"/>
              <w:left w:val="nil"/>
              <w:bottom w:val="single" w:sz="8" w:space="0" w:color="auto"/>
              <w:right w:val="nil"/>
            </w:tcBorders>
            <w:shd w:val="clear" w:color="000000" w:fill="F7C7AC"/>
            <w:noWrap/>
            <w:hideMark/>
          </w:tcPr>
          <w:p w14:paraId="3CB4557C" w14:textId="77777777" w:rsidR="000B544D" w:rsidRPr="008D506D" w:rsidRDefault="000B544D" w:rsidP="00061854">
            <w:pPr>
              <w:keepNext/>
              <w:jc w:val="right"/>
              <w:rPr>
                <w:rFonts w:ascii="Aptos Narrow" w:hAnsi="Aptos Narrow"/>
                <w:b/>
                <w:bCs/>
                <w:color w:val="000000"/>
                <w:sz w:val="16"/>
                <w:szCs w:val="16"/>
              </w:rPr>
            </w:pPr>
            <w:r w:rsidRPr="008D506D">
              <w:rPr>
                <w:rFonts w:ascii="Aptos Narrow" w:hAnsi="Aptos Narrow"/>
                <w:b/>
                <w:bCs/>
                <w:color w:val="000000"/>
                <w:sz w:val="16"/>
                <w:szCs w:val="16"/>
              </w:rPr>
              <w:t>69.878</w:t>
            </w:r>
          </w:p>
        </w:tc>
        <w:tc>
          <w:tcPr>
            <w:tcW w:w="1082" w:type="dxa"/>
            <w:tcBorders>
              <w:top w:val="nil"/>
              <w:left w:val="nil"/>
              <w:bottom w:val="single" w:sz="8" w:space="0" w:color="auto"/>
              <w:right w:val="nil"/>
            </w:tcBorders>
            <w:shd w:val="clear" w:color="000000" w:fill="F7C7AC"/>
            <w:noWrap/>
            <w:hideMark/>
          </w:tcPr>
          <w:p w14:paraId="6D405D72" w14:textId="77777777" w:rsidR="000B544D" w:rsidRPr="008D506D" w:rsidRDefault="000B544D" w:rsidP="00061854">
            <w:pPr>
              <w:keepNext/>
              <w:jc w:val="right"/>
              <w:rPr>
                <w:rFonts w:ascii="Aptos Narrow" w:hAnsi="Aptos Narrow"/>
                <w:b/>
                <w:bCs/>
                <w:color w:val="000000"/>
                <w:sz w:val="16"/>
                <w:szCs w:val="16"/>
              </w:rPr>
            </w:pPr>
            <w:r w:rsidRPr="008D506D">
              <w:rPr>
                <w:rFonts w:ascii="Aptos Narrow" w:hAnsi="Aptos Narrow"/>
                <w:b/>
                <w:bCs/>
                <w:color w:val="000000"/>
                <w:sz w:val="16"/>
                <w:szCs w:val="16"/>
              </w:rPr>
              <w:t>-19.406</w:t>
            </w:r>
          </w:p>
        </w:tc>
        <w:tc>
          <w:tcPr>
            <w:tcW w:w="1336" w:type="dxa"/>
            <w:tcBorders>
              <w:top w:val="nil"/>
              <w:left w:val="nil"/>
              <w:bottom w:val="single" w:sz="8" w:space="0" w:color="auto"/>
              <w:right w:val="nil"/>
            </w:tcBorders>
            <w:shd w:val="clear" w:color="000000" w:fill="F7C7AC"/>
            <w:noWrap/>
            <w:hideMark/>
          </w:tcPr>
          <w:p w14:paraId="594DD1BA" w14:textId="77777777" w:rsidR="000B544D" w:rsidRPr="008D506D" w:rsidRDefault="000B544D" w:rsidP="00061854">
            <w:pPr>
              <w:keepNext/>
              <w:jc w:val="right"/>
              <w:rPr>
                <w:rFonts w:ascii="Aptos Narrow" w:hAnsi="Aptos Narrow"/>
                <w:b/>
                <w:bCs/>
                <w:color w:val="000000"/>
                <w:sz w:val="16"/>
                <w:szCs w:val="16"/>
              </w:rPr>
            </w:pPr>
            <w:r w:rsidRPr="008D506D">
              <w:rPr>
                <w:rFonts w:ascii="Aptos Narrow" w:hAnsi="Aptos Narrow"/>
                <w:b/>
                <w:bCs/>
                <w:color w:val="000000"/>
                <w:sz w:val="16"/>
                <w:szCs w:val="16"/>
              </w:rPr>
              <w:t>50.472</w:t>
            </w:r>
          </w:p>
        </w:tc>
      </w:tr>
      <w:tr w:rsidR="000B544D" w:rsidRPr="008D506D" w14:paraId="4FD94E04" w14:textId="77777777" w:rsidTr="008D506D">
        <w:trPr>
          <w:cantSplit/>
          <w:jc w:val="center"/>
        </w:trPr>
        <w:tc>
          <w:tcPr>
            <w:tcW w:w="5337" w:type="dxa"/>
            <w:tcBorders>
              <w:top w:val="nil"/>
              <w:left w:val="nil"/>
              <w:bottom w:val="nil"/>
              <w:right w:val="nil"/>
            </w:tcBorders>
            <w:shd w:val="clear" w:color="000000" w:fill="FBE2D5"/>
            <w:noWrap/>
            <w:hideMark/>
          </w:tcPr>
          <w:p w14:paraId="07E8B79C" w14:textId="77777777" w:rsidR="000B544D" w:rsidRPr="008D506D" w:rsidRDefault="000B544D" w:rsidP="00061854">
            <w:pPr>
              <w:keepNext/>
              <w:rPr>
                <w:rFonts w:ascii="Aptos Narrow" w:hAnsi="Aptos Narrow"/>
                <w:color w:val="3F3F76"/>
                <w:sz w:val="16"/>
                <w:szCs w:val="16"/>
              </w:rPr>
            </w:pPr>
            <w:r w:rsidRPr="008D506D">
              <w:rPr>
                <w:rFonts w:ascii="Aptos Narrow" w:hAnsi="Aptos Narrow"/>
                <w:color w:val="3F3F76"/>
                <w:sz w:val="16"/>
                <w:szCs w:val="16"/>
              </w:rPr>
              <w:t>Região Geográfica Imediata Cabo Frio</w:t>
            </w:r>
          </w:p>
        </w:tc>
        <w:tc>
          <w:tcPr>
            <w:tcW w:w="1176" w:type="dxa"/>
            <w:tcBorders>
              <w:top w:val="nil"/>
              <w:left w:val="nil"/>
              <w:bottom w:val="nil"/>
              <w:right w:val="nil"/>
            </w:tcBorders>
            <w:shd w:val="clear" w:color="000000" w:fill="FBE2D5"/>
            <w:noWrap/>
            <w:hideMark/>
          </w:tcPr>
          <w:p w14:paraId="05D88BB4"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29.991</w:t>
            </w:r>
          </w:p>
        </w:tc>
        <w:tc>
          <w:tcPr>
            <w:tcW w:w="1082" w:type="dxa"/>
            <w:tcBorders>
              <w:top w:val="nil"/>
              <w:left w:val="nil"/>
              <w:bottom w:val="nil"/>
              <w:right w:val="nil"/>
            </w:tcBorders>
            <w:shd w:val="clear" w:color="000000" w:fill="FBE2D5"/>
            <w:noWrap/>
            <w:hideMark/>
          </w:tcPr>
          <w:p w14:paraId="5F743C6D"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-7.758</w:t>
            </w:r>
          </w:p>
        </w:tc>
        <w:tc>
          <w:tcPr>
            <w:tcW w:w="1336" w:type="dxa"/>
            <w:tcBorders>
              <w:top w:val="nil"/>
              <w:left w:val="nil"/>
              <w:bottom w:val="nil"/>
              <w:right w:val="nil"/>
            </w:tcBorders>
            <w:shd w:val="clear" w:color="000000" w:fill="FBE2D5"/>
            <w:noWrap/>
            <w:hideMark/>
          </w:tcPr>
          <w:p w14:paraId="093EF8BE"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22.233</w:t>
            </w:r>
          </w:p>
        </w:tc>
      </w:tr>
      <w:tr w:rsidR="000B544D" w:rsidRPr="008D506D" w14:paraId="5189909F" w14:textId="77777777" w:rsidTr="008D506D">
        <w:trPr>
          <w:cantSplit/>
          <w:jc w:val="center"/>
        </w:trPr>
        <w:tc>
          <w:tcPr>
            <w:tcW w:w="5337" w:type="dxa"/>
            <w:tcBorders>
              <w:top w:val="nil"/>
              <w:left w:val="nil"/>
              <w:bottom w:val="nil"/>
              <w:right w:val="nil"/>
            </w:tcBorders>
            <w:noWrap/>
            <w:hideMark/>
          </w:tcPr>
          <w:p w14:paraId="5E92C3BF" w14:textId="77777777" w:rsidR="000B544D" w:rsidRPr="008D506D" w:rsidRDefault="000B544D" w:rsidP="00061854">
            <w:pPr>
              <w:keepNext/>
              <w:rPr>
                <w:rFonts w:ascii="Aptos Narrow" w:hAnsi="Aptos Narrow"/>
                <w:color w:val="000000"/>
                <w:sz w:val="16"/>
                <w:szCs w:val="16"/>
              </w:rPr>
            </w:pPr>
            <w:r w:rsidRPr="008D506D">
              <w:rPr>
                <w:rFonts w:ascii="Aptos Narrow" w:hAnsi="Aptos Narrow"/>
                <w:color w:val="000000"/>
                <w:sz w:val="16"/>
                <w:szCs w:val="16"/>
              </w:rPr>
              <w:t>Araruama</w:t>
            </w:r>
          </w:p>
        </w:tc>
        <w:tc>
          <w:tcPr>
            <w:tcW w:w="1176" w:type="dxa"/>
            <w:tcBorders>
              <w:top w:val="nil"/>
              <w:left w:val="nil"/>
              <w:bottom w:val="nil"/>
              <w:right w:val="nil"/>
            </w:tcBorders>
            <w:noWrap/>
            <w:hideMark/>
          </w:tcPr>
          <w:p w14:paraId="3F6C5D7D"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3.797</w:t>
            </w:r>
          </w:p>
        </w:tc>
        <w:tc>
          <w:tcPr>
            <w:tcW w:w="1082" w:type="dxa"/>
            <w:tcBorders>
              <w:top w:val="nil"/>
              <w:left w:val="nil"/>
              <w:bottom w:val="nil"/>
              <w:right w:val="nil"/>
            </w:tcBorders>
            <w:noWrap/>
            <w:hideMark/>
          </w:tcPr>
          <w:p w14:paraId="3B4B5BDA"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1.593</w:t>
            </w:r>
          </w:p>
        </w:tc>
        <w:tc>
          <w:tcPr>
            <w:tcW w:w="1336" w:type="dxa"/>
            <w:tcBorders>
              <w:top w:val="nil"/>
              <w:left w:val="nil"/>
              <w:bottom w:val="nil"/>
              <w:right w:val="nil"/>
            </w:tcBorders>
            <w:noWrap/>
            <w:hideMark/>
          </w:tcPr>
          <w:p w14:paraId="550F930F"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5.390</w:t>
            </w:r>
          </w:p>
        </w:tc>
      </w:tr>
      <w:tr w:rsidR="000B544D" w:rsidRPr="008D506D" w14:paraId="773F0B1D" w14:textId="77777777" w:rsidTr="008D506D">
        <w:trPr>
          <w:cantSplit/>
          <w:jc w:val="center"/>
        </w:trPr>
        <w:tc>
          <w:tcPr>
            <w:tcW w:w="5337" w:type="dxa"/>
            <w:tcBorders>
              <w:top w:val="nil"/>
              <w:left w:val="nil"/>
              <w:bottom w:val="nil"/>
              <w:right w:val="nil"/>
            </w:tcBorders>
            <w:noWrap/>
            <w:hideMark/>
          </w:tcPr>
          <w:p w14:paraId="257E0C5D" w14:textId="77777777" w:rsidR="000B544D" w:rsidRPr="008D506D" w:rsidRDefault="000B544D" w:rsidP="00061854">
            <w:pPr>
              <w:keepNext/>
              <w:rPr>
                <w:rFonts w:ascii="Aptos Narrow" w:hAnsi="Aptos Narrow"/>
                <w:color w:val="000000"/>
                <w:sz w:val="16"/>
                <w:szCs w:val="16"/>
              </w:rPr>
            </w:pPr>
            <w:r w:rsidRPr="008D506D">
              <w:rPr>
                <w:rFonts w:ascii="Aptos Narrow" w:hAnsi="Aptos Narrow"/>
                <w:color w:val="000000"/>
                <w:sz w:val="16"/>
                <w:szCs w:val="16"/>
              </w:rPr>
              <w:t>Armação dos Búzios</w:t>
            </w:r>
          </w:p>
        </w:tc>
        <w:tc>
          <w:tcPr>
            <w:tcW w:w="1176" w:type="dxa"/>
            <w:tcBorders>
              <w:top w:val="nil"/>
              <w:left w:val="nil"/>
              <w:bottom w:val="nil"/>
              <w:right w:val="nil"/>
            </w:tcBorders>
            <w:noWrap/>
            <w:hideMark/>
          </w:tcPr>
          <w:p w14:paraId="6FAD1523"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4.050</w:t>
            </w:r>
          </w:p>
        </w:tc>
        <w:tc>
          <w:tcPr>
            <w:tcW w:w="1082" w:type="dxa"/>
            <w:tcBorders>
              <w:top w:val="nil"/>
              <w:left w:val="nil"/>
              <w:bottom w:val="nil"/>
              <w:right w:val="nil"/>
            </w:tcBorders>
            <w:noWrap/>
            <w:hideMark/>
          </w:tcPr>
          <w:p w14:paraId="5E10D93F"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-1.745</w:t>
            </w:r>
          </w:p>
        </w:tc>
        <w:tc>
          <w:tcPr>
            <w:tcW w:w="1336" w:type="dxa"/>
            <w:tcBorders>
              <w:top w:val="nil"/>
              <w:left w:val="nil"/>
              <w:bottom w:val="nil"/>
              <w:right w:val="nil"/>
            </w:tcBorders>
            <w:noWrap/>
            <w:hideMark/>
          </w:tcPr>
          <w:p w14:paraId="476B378E"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2.305</w:t>
            </w:r>
          </w:p>
        </w:tc>
      </w:tr>
      <w:tr w:rsidR="000B544D" w:rsidRPr="008D506D" w14:paraId="49C542BB" w14:textId="77777777" w:rsidTr="008D506D">
        <w:trPr>
          <w:cantSplit/>
          <w:jc w:val="center"/>
        </w:trPr>
        <w:tc>
          <w:tcPr>
            <w:tcW w:w="5337" w:type="dxa"/>
            <w:tcBorders>
              <w:top w:val="nil"/>
              <w:left w:val="nil"/>
              <w:bottom w:val="nil"/>
              <w:right w:val="nil"/>
            </w:tcBorders>
            <w:noWrap/>
            <w:hideMark/>
          </w:tcPr>
          <w:p w14:paraId="489A5125" w14:textId="77777777" w:rsidR="000B544D" w:rsidRPr="008D506D" w:rsidRDefault="000B544D" w:rsidP="00061854">
            <w:pPr>
              <w:keepNext/>
              <w:rPr>
                <w:rFonts w:ascii="Aptos Narrow" w:hAnsi="Aptos Narrow"/>
                <w:color w:val="000000"/>
                <w:sz w:val="16"/>
                <w:szCs w:val="16"/>
              </w:rPr>
            </w:pPr>
            <w:r w:rsidRPr="008D506D">
              <w:rPr>
                <w:rFonts w:ascii="Aptos Narrow" w:hAnsi="Aptos Narrow"/>
                <w:color w:val="000000"/>
                <w:sz w:val="16"/>
                <w:szCs w:val="16"/>
              </w:rPr>
              <w:t>Arraial do Cabo</w:t>
            </w:r>
          </w:p>
        </w:tc>
        <w:tc>
          <w:tcPr>
            <w:tcW w:w="1176" w:type="dxa"/>
            <w:tcBorders>
              <w:top w:val="nil"/>
              <w:left w:val="nil"/>
              <w:bottom w:val="nil"/>
              <w:right w:val="nil"/>
            </w:tcBorders>
            <w:noWrap/>
            <w:hideMark/>
          </w:tcPr>
          <w:p w14:paraId="6327CAC9"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2.024</w:t>
            </w:r>
          </w:p>
        </w:tc>
        <w:tc>
          <w:tcPr>
            <w:tcW w:w="1082" w:type="dxa"/>
            <w:tcBorders>
              <w:top w:val="nil"/>
              <w:left w:val="nil"/>
              <w:bottom w:val="nil"/>
              <w:right w:val="nil"/>
            </w:tcBorders>
            <w:noWrap/>
            <w:hideMark/>
          </w:tcPr>
          <w:p w14:paraId="089B72C4"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-1.751</w:t>
            </w:r>
          </w:p>
        </w:tc>
        <w:tc>
          <w:tcPr>
            <w:tcW w:w="1336" w:type="dxa"/>
            <w:tcBorders>
              <w:top w:val="nil"/>
              <w:left w:val="nil"/>
              <w:bottom w:val="nil"/>
              <w:right w:val="nil"/>
            </w:tcBorders>
            <w:noWrap/>
            <w:hideMark/>
          </w:tcPr>
          <w:p w14:paraId="4E8E7257"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273</w:t>
            </w:r>
          </w:p>
        </w:tc>
      </w:tr>
      <w:tr w:rsidR="000B544D" w:rsidRPr="008D506D" w14:paraId="3240FFED" w14:textId="77777777" w:rsidTr="008D506D">
        <w:trPr>
          <w:cantSplit/>
          <w:jc w:val="center"/>
        </w:trPr>
        <w:tc>
          <w:tcPr>
            <w:tcW w:w="5337" w:type="dxa"/>
            <w:tcBorders>
              <w:top w:val="nil"/>
              <w:left w:val="nil"/>
              <w:bottom w:val="nil"/>
              <w:right w:val="nil"/>
            </w:tcBorders>
            <w:noWrap/>
            <w:hideMark/>
          </w:tcPr>
          <w:p w14:paraId="2F9DD295" w14:textId="77777777" w:rsidR="000B544D" w:rsidRPr="008D506D" w:rsidRDefault="000B544D" w:rsidP="00061854">
            <w:pPr>
              <w:keepNext/>
              <w:rPr>
                <w:rFonts w:ascii="Aptos Narrow" w:hAnsi="Aptos Narrow"/>
                <w:color w:val="000000"/>
                <w:sz w:val="16"/>
                <w:szCs w:val="16"/>
              </w:rPr>
            </w:pPr>
            <w:r w:rsidRPr="008D506D">
              <w:rPr>
                <w:rFonts w:ascii="Aptos Narrow" w:hAnsi="Aptos Narrow"/>
                <w:color w:val="000000"/>
                <w:sz w:val="16"/>
                <w:szCs w:val="16"/>
              </w:rPr>
              <w:t>Cabo Frio</w:t>
            </w:r>
          </w:p>
        </w:tc>
        <w:tc>
          <w:tcPr>
            <w:tcW w:w="1176" w:type="dxa"/>
            <w:tcBorders>
              <w:top w:val="nil"/>
              <w:left w:val="nil"/>
              <w:bottom w:val="nil"/>
              <w:right w:val="nil"/>
            </w:tcBorders>
            <w:noWrap/>
            <w:hideMark/>
          </w:tcPr>
          <w:p w14:paraId="54A45F04"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11.759</w:t>
            </w:r>
          </w:p>
        </w:tc>
        <w:tc>
          <w:tcPr>
            <w:tcW w:w="1082" w:type="dxa"/>
            <w:tcBorders>
              <w:top w:val="nil"/>
              <w:left w:val="nil"/>
              <w:bottom w:val="nil"/>
              <w:right w:val="nil"/>
            </w:tcBorders>
            <w:noWrap/>
            <w:hideMark/>
          </w:tcPr>
          <w:p w14:paraId="40DE01D5"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-645</w:t>
            </w:r>
          </w:p>
        </w:tc>
        <w:tc>
          <w:tcPr>
            <w:tcW w:w="1336" w:type="dxa"/>
            <w:tcBorders>
              <w:top w:val="nil"/>
              <w:left w:val="nil"/>
              <w:bottom w:val="nil"/>
              <w:right w:val="nil"/>
            </w:tcBorders>
            <w:noWrap/>
            <w:hideMark/>
          </w:tcPr>
          <w:p w14:paraId="1FF91901"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11.114</w:t>
            </w:r>
          </w:p>
        </w:tc>
      </w:tr>
      <w:tr w:rsidR="000B544D" w:rsidRPr="008D506D" w14:paraId="7E870502" w14:textId="77777777" w:rsidTr="008D506D">
        <w:trPr>
          <w:cantSplit/>
          <w:jc w:val="center"/>
        </w:trPr>
        <w:tc>
          <w:tcPr>
            <w:tcW w:w="5337" w:type="dxa"/>
            <w:tcBorders>
              <w:top w:val="nil"/>
              <w:left w:val="nil"/>
              <w:bottom w:val="nil"/>
              <w:right w:val="nil"/>
            </w:tcBorders>
            <w:noWrap/>
            <w:hideMark/>
          </w:tcPr>
          <w:p w14:paraId="02A6E24C" w14:textId="77777777" w:rsidR="000B544D" w:rsidRPr="008D506D" w:rsidRDefault="000B544D" w:rsidP="00061854">
            <w:pPr>
              <w:keepNext/>
              <w:rPr>
                <w:rFonts w:ascii="Aptos Narrow" w:hAnsi="Aptos Narrow"/>
                <w:color w:val="000000"/>
                <w:sz w:val="16"/>
                <w:szCs w:val="16"/>
              </w:rPr>
            </w:pPr>
            <w:r w:rsidRPr="008D506D">
              <w:rPr>
                <w:rFonts w:ascii="Aptos Narrow" w:hAnsi="Aptos Narrow"/>
                <w:color w:val="000000"/>
                <w:sz w:val="16"/>
                <w:szCs w:val="16"/>
              </w:rPr>
              <w:t>Iguaba Grande</w:t>
            </w:r>
          </w:p>
        </w:tc>
        <w:tc>
          <w:tcPr>
            <w:tcW w:w="1176" w:type="dxa"/>
            <w:tcBorders>
              <w:top w:val="nil"/>
              <w:left w:val="nil"/>
              <w:bottom w:val="nil"/>
              <w:right w:val="nil"/>
            </w:tcBorders>
            <w:noWrap/>
            <w:hideMark/>
          </w:tcPr>
          <w:p w14:paraId="57441DC1"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638</w:t>
            </w:r>
          </w:p>
        </w:tc>
        <w:tc>
          <w:tcPr>
            <w:tcW w:w="1082" w:type="dxa"/>
            <w:tcBorders>
              <w:top w:val="nil"/>
              <w:left w:val="nil"/>
              <w:bottom w:val="nil"/>
              <w:right w:val="nil"/>
            </w:tcBorders>
            <w:noWrap/>
            <w:hideMark/>
          </w:tcPr>
          <w:p w14:paraId="6B364C08"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-280</w:t>
            </w:r>
          </w:p>
        </w:tc>
        <w:tc>
          <w:tcPr>
            <w:tcW w:w="1336" w:type="dxa"/>
            <w:tcBorders>
              <w:top w:val="nil"/>
              <w:left w:val="nil"/>
              <w:bottom w:val="nil"/>
              <w:right w:val="nil"/>
            </w:tcBorders>
            <w:noWrap/>
            <w:hideMark/>
          </w:tcPr>
          <w:p w14:paraId="1D0FB45D"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358</w:t>
            </w:r>
          </w:p>
        </w:tc>
      </w:tr>
      <w:tr w:rsidR="000B544D" w:rsidRPr="008D506D" w14:paraId="20410AD7" w14:textId="77777777" w:rsidTr="008D506D">
        <w:trPr>
          <w:cantSplit/>
          <w:jc w:val="center"/>
        </w:trPr>
        <w:tc>
          <w:tcPr>
            <w:tcW w:w="5337" w:type="dxa"/>
            <w:tcBorders>
              <w:top w:val="nil"/>
              <w:left w:val="nil"/>
              <w:bottom w:val="nil"/>
              <w:right w:val="nil"/>
            </w:tcBorders>
            <w:noWrap/>
            <w:hideMark/>
          </w:tcPr>
          <w:p w14:paraId="1CD82AE5" w14:textId="77777777" w:rsidR="000B544D" w:rsidRPr="008D506D" w:rsidRDefault="000B544D" w:rsidP="00061854">
            <w:pPr>
              <w:keepNext/>
              <w:rPr>
                <w:rFonts w:ascii="Aptos Narrow" w:hAnsi="Aptos Narrow"/>
                <w:color w:val="000000"/>
                <w:sz w:val="16"/>
                <w:szCs w:val="16"/>
              </w:rPr>
            </w:pPr>
            <w:r w:rsidRPr="008D506D">
              <w:rPr>
                <w:rFonts w:ascii="Aptos Narrow" w:hAnsi="Aptos Narrow"/>
                <w:color w:val="000000"/>
                <w:sz w:val="16"/>
                <w:szCs w:val="16"/>
              </w:rPr>
              <w:t>São Pedro da Aldeia</w:t>
            </w:r>
          </w:p>
        </w:tc>
        <w:tc>
          <w:tcPr>
            <w:tcW w:w="1176" w:type="dxa"/>
            <w:tcBorders>
              <w:top w:val="nil"/>
              <w:left w:val="nil"/>
              <w:bottom w:val="nil"/>
              <w:right w:val="nil"/>
            </w:tcBorders>
            <w:noWrap/>
            <w:hideMark/>
          </w:tcPr>
          <w:p w14:paraId="2BF24EC3"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5.638</w:t>
            </w:r>
          </w:p>
        </w:tc>
        <w:tc>
          <w:tcPr>
            <w:tcW w:w="1082" w:type="dxa"/>
            <w:tcBorders>
              <w:top w:val="nil"/>
              <w:left w:val="nil"/>
              <w:bottom w:val="nil"/>
              <w:right w:val="nil"/>
            </w:tcBorders>
            <w:noWrap/>
            <w:hideMark/>
          </w:tcPr>
          <w:p w14:paraId="09C451D4"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-3.974</w:t>
            </w:r>
          </w:p>
        </w:tc>
        <w:tc>
          <w:tcPr>
            <w:tcW w:w="1336" w:type="dxa"/>
            <w:tcBorders>
              <w:top w:val="nil"/>
              <w:left w:val="nil"/>
              <w:bottom w:val="nil"/>
              <w:right w:val="nil"/>
            </w:tcBorders>
            <w:noWrap/>
            <w:hideMark/>
          </w:tcPr>
          <w:p w14:paraId="4B83F454"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1.663</w:t>
            </w:r>
          </w:p>
        </w:tc>
      </w:tr>
      <w:tr w:rsidR="000B544D" w:rsidRPr="008D506D" w14:paraId="0AB05002" w14:textId="77777777" w:rsidTr="008D506D">
        <w:trPr>
          <w:cantSplit/>
          <w:jc w:val="center"/>
        </w:trPr>
        <w:tc>
          <w:tcPr>
            <w:tcW w:w="5337" w:type="dxa"/>
            <w:tcBorders>
              <w:top w:val="nil"/>
              <w:left w:val="nil"/>
              <w:bottom w:val="nil"/>
              <w:right w:val="nil"/>
            </w:tcBorders>
            <w:shd w:val="clear" w:color="000000" w:fill="FBE2D5"/>
            <w:noWrap/>
            <w:hideMark/>
          </w:tcPr>
          <w:p w14:paraId="7A49A927" w14:textId="77777777" w:rsidR="000B544D" w:rsidRPr="008D506D" w:rsidRDefault="000B544D" w:rsidP="00061854">
            <w:pPr>
              <w:keepNext/>
              <w:rPr>
                <w:rFonts w:ascii="Aptos Narrow" w:hAnsi="Aptos Narrow"/>
                <w:color w:val="3F3F76"/>
                <w:sz w:val="16"/>
                <w:szCs w:val="16"/>
              </w:rPr>
            </w:pPr>
            <w:r w:rsidRPr="008D506D">
              <w:rPr>
                <w:rFonts w:ascii="Aptos Narrow" w:hAnsi="Aptos Narrow"/>
                <w:color w:val="3F3F76"/>
                <w:sz w:val="16"/>
                <w:szCs w:val="16"/>
              </w:rPr>
              <w:t>Região Geográfica Imediata Macaé-Rio das Ostras</w:t>
            </w:r>
          </w:p>
        </w:tc>
        <w:tc>
          <w:tcPr>
            <w:tcW w:w="1176" w:type="dxa"/>
            <w:tcBorders>
              <w:top w:val="nil"/>
              <w:left w:val="nil"/>
              <w:bottom w:val="nil"/>
              <w:right w:val="nil"/>
            </w:tcBorders>
            <w:shd w:val="clear" w:color="000000" w:fill="FBE2D5"/>
            <w:noWrap/>
            <w:hideMark/>
          </w:tcPr>
          <w:p w14:paraId="76EB2F35"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31.156</w:t>
            </w:r>
          </w:p>
        </w:tc>
        <w:tc>
          <w:tcPr>
            <w:tcW w:w="1082" w:type="dxa"/>
            <w:tcBorders>
              <w:top w:val="nil"/>
              <w:left w:val="nil"/>
              <w:bottom w:val="nil"/>
              <w:right w:val="nil"/>
            </w:tcBorders>
            <w:shd w:val="clear" w:color="000000" w:fill="FBE2D5"/>
            <w:noWrap/>
            <w:hideMark/>
          </w:tcPr>
          <w:p w14:paraId="377EEFA1"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-5.090</w:t>
            </w:r>
          </w:p>
        </w:tc>
        <w:tc>
          <w:tcPr>
            <w:tcW w:w="1336" w:type="dxa"/>
            <w:tcBorders>
              <w:top w:val="nil"/>
              <w:left w:val="nil"/>
              <w:bottom w:val="nil"/>
              <w:right w:val="nil"/>
            </w:tcBorders>
            <w:shd w:val="clear" w:color="000000" w:fill="FBE2D5"/>
            <w:noWrap/>
            <w:hideMark/>
          </w:tcPr>
          <w:p w14:paraId="1BBBB235"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26.067</w:t>
            </w:r>
          </w:p>
        </w:tc>
      </w:tr>
      <w:tr w:rsidR="000B544D" w:rsidRPr="008D506D" w14:paraId="094A9D8A" w14:textId="77777777" w:rsidTr="008D506D">
        <w:trPr>
          <w:cantSplit/>
          <w:jc w:val="center"/>
        </w:trPr>
        <w:tc>
          <w:tcPr>
            <w:tcW w:w="5337" w:type="dxa"/>
            <w:tcBorders>
              <w:top w:val="nil"/>
              <w:left w:val="nil"/>
              <w:bottom w:val="nil"/>
              <w:right w:val="nil"/>
            </w:tcBorders>
            <w:noWrap/>
            <w:hideMark/>
          </w:tcPr>
          <w:p w14:paraId="28FA0B69" w14:textId="77777777" w:rsidR="000B544D" w:rsidRPr="008D506D" w:rsidRDefault="000B544D" w:rsidP="00061854">
            <w:pPr>
              <w:keepNext/>
              <w:rPr>
                <w:rFonts w:ascii="Aptos Narrow" w:hAnsi="Aptos Narrow"/>
                <w:color w:val="000000"/>
                <w:sz w:val="16"/>
                <w:szCs w:val="16"/>
              </w:rPr>
            </w:pPr>
            <w:r w:rsidRPr="008D506D">
              <w:rPr>
                <w:rFonts w:ascii="Aptos Narrow" w:hAnsi="Aptos Narrow"/>
                <w:color w:val="000000"/>
                <w:sz w:val="16"/>
                <w:szCs w:val="16"/>
              </w:rPr>
              <w:t>Carapebus</w:t>
            </w:r>
          </w:p>
        </w:tc>
        <w:tc>
          <w:tcPr>
            <w:tcW w:w="1176" w:type="dxa"/>
            <w:tcBorders>
              <w:top w:val="nil"/>
              <w:left w:val="nil"/>
              <w:bottom w:val="nil"/>
              <w:right w:val="nil"/>
            </w:tcBorders>
            <w:noWrap/>
            <w:hideMark/>
          </w:tcPr>
          <w:p w14:paraId="1B9474D8"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259</w:t>
            </w:r>
          </w:p>
        </w:tc>
        <w:tc>
          <w:tcPr>
            <w:tcW w:w="1082" w:type="dxa"/>
            <w:tcBorders>
              <w:top w:val="nil"/>
              <w:left w:val="nil"/>
              <w:bottom w:val="nil"/>
              <w:right w:val="nil"/>
            </w:tcBorders>
            <w:noWrap/>
            <w:hideMark/>
          </w:tcPr>
          <w:p w14:paraId="295330B4"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-1.288</w:t>
            </w:r>
          </w:p>
        </w:tc>
        <w:tc>
          <w:tcPr>
            <w:tcW w:w="1336" w:type="dxa"/>
            <w:tcBorders>
              <w:top w:val="nil"/>
              <w:left w:val="nil"/>
              <w:bottom w:val="nil"/>
              <w:right w:val="nil"/>
            </w:tcBorders>
            <w:noWrap/>
            <w:hideMark/>
          </w:tcPr>
          <w:p w14:paraId="77801FA3"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-1.029</w:t>
            </w:r>
          </w:p>
        </w:tc>
      </w:tr>
      <w:tr w:rsidR="000B544D" w:rsidRPr="008D506D" w14:paraId="26C3B6F5" w14:textId="77777777" w:rsidTr="008D506D">
        <w:trPr>
          <w:cantSplit/>
          <w:jc w:val="center"/>
        </w:trPr>
        <w:tc>
          <w:tcPr>
            <w:tcW w:w="5337" w:type="dxa"/>
            <w:tcBorders>
              <w:top w:val="nil"/>
              <w:left w:val="nil"/>
              <w:bottom w:val="nil"/>
              <w:right w:val="nil"/>
            </w:tcBorders>
            <w:noWrap/>
            <w:hideMark/>
          </w:tcPr>
          <w:p w14:paraId="0E8A6B36" w14:textId="77777777" w:rsidR="000B544D" w:rsidRPr="008D506D" w:rsidRDefault="000B544D" w:rsidP="00061854">
            <w:pPr>
              <w:keepNext/>
              <w:rPr>
                <w:rFonts w:ascii="Aptos Narrow" w:hAnsi="Aptos Narrow"/>
                <w:color w:val="000000"/>
                <w:sz w:val="16"/>
                <w:szCs w:val="16"/>
              </w:rPr>
            </w:pPr>
            <w:r w:rsidRPr="008D506D">
              <w:rPr>
                <w:rFonts w:ascii="Aptos Narrow" w:hAnsi="Aptos Narrow"/>
                <w:color w:val="000000"/>
                <w:sz w:val="16"/>
                <w:szCs w:val="16"/>
              </w:rPr>
              <w:t>Casimiro de Abreu</w:t>
            </w:r>
          </w:p>
        </w:tc>
        <w:tc>
          <w:tcPr>
            <w:tcW w:w="1176" w:type="dxa"/>
            <w:tcBorders>
              <w:top w:val="nil"/>
              <w:left w:val="nil"/>
              <w:bottom w:val="nil"/>
              <w:right w:val="nil"/>
            </w:tcBorders>
            <w:noWrap/>
            <w:hideMark/>
          </w:tcPr>
          <w:p w14:paraId="6F3FB34E"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943</w:t>
            </w:r>
          </w:p>
        </w:tc>
        <w:tc>
          <w:tcPr>
            <w:tcW w:w="1082" w:type="dxa"/>
            <w:tcBorders>
              <w:top w:val="nil"/>
              <w:left w:val="nil"/>
              <w:bottom w:val="nil"/>
              <w:right w:val="nil"/>
            </w:tcBorders>
            <w:noWrap/>
            <w:hideMark/>
          </w:tcPr>
          <w:p w14:paraId="79CEBC7B"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129</w:t>
            </w:r>
          </w:p>
        </w:tc>
        <w:tc>
          <w:tcPr>
            <w:tcW w:w="1336" w:type="dxa"/>
            <w:tcBorders>
              <w:top w:val="nil"/>
              <w:left w:val="nil"/>
              <w:bottom w:val="nil"/>
              <w:right w:val="nil"/>
            </w:tcBorders>
            <w:noWrap/>
            <w:hideMark/>
          </w:tcPr>
          <w:p w14:paraId="0B21B259"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1.072</w:t>
            </w:r>
          </w:p>
        </w:tc>
      </w:tr>
      <w:tr w:rsidR="000B544D" w:rsidRPr="008D506D" w14:paraId="1F0E69CA" w14:textId="77777777" w:rsidTr="008D506D">
        <w:trPr>
          <w:cantSplit/>
          <w:jc w:val="center"/>
        </w:trPr>
        <w:tc>
          <w:tcPr>
            <w:tcW w:w="5337" w:type="dxa"/>
            <w:tcBorders>
              <w:top w:val="nil"/>
              <w:left w:val="nil"/>
              <w:bottom w:val="nil"/>
              <w:right w:val="nil"/>
            </w:tcBorders>
            <w:noWrap/>
            <w:hideMark/>
          </w:tcPr>
          <w:p w14:paraId="3D4E9871" w14:textId="77777777" w:rsidR="000B544D" w:rsidRPr="008D506D" w:rsidRDefault="000B544D" w:rsidP="00061854">
            <w:pPr>
              <w:keepNext/>
              <w:rPr>
                <w:rFonts w:ascii="Aptos Narrow" w:hAnsi="Aptos Narrow"/>
                <w:color w:val="000000"/>
                <w:sz w:val="16"/>
                <w:szCs w:val="16"/>
              </w:rPr>
            </w:pPr>
            <w:r w:rsidRPr="008D506D">
              <w:rPr>
                <w:rFonts w:ascii="Aptos Narrow" w:hAnsi="Aptos Narrow"/>
                <w:color w:val="000000"/>
                <w:sz w:val="16"/>
                <w:szCs w:val="16"/>
              </w:rPr>
              <w:t>Conceição de Macabu</w:t>
            </w:r>
          </w:p>
        </w:tc>
        <w:tc>
          <w:tcPr>
            <w:tcW w:w="1176" w:type="dxa"/>
            <w:tcBorders>
              <w:top w:val="nil"/>
              <w:left w:val="nil"/>
              <w:bottom w:val="nil"/>
              <w:right w:val="nil"/>
            </w:tcBorders>
            <w:noWrap/>
            <w:hideMark/>
          </w:tcPr>
          <w:p w14:paraId="0B3AECD0"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850</w:t>
            </w:r>
          </w:p>
        </w:tc>
        <w:tc>
          <w:tcPr>
            <w:tcW w:w="1082" w:type="dxa"/>
            <w:tcBorders>
              <w:top w:val="nil"/>
              <w:left w:val="nil"/>
              <w:bottom w:val="nil"/>
              <w:right w:val="nil"/>
            </w:tcBorders>
            <w:noWrap/>
            <w:hideMark/>
          </w:tcPr>
          <w:p w14:paraId="6E9B9F28"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296</w:t>
            </w:r>
          </w:p>
        </w:tc>
        <w:tc>
          <w:tcPr>
            <w:tcW w:w="1336" w:type="dxa"/>
            <w:tcBorders>
              <w:top w:val="nil"/>
              <w:left w:val="nil"/>
              <w:bottom w:val="nil"/>
              <w:right w:val="nil"/>
            </w:tcBorders>
            <w:noWrap/>
            <w:hideMark/>
          </w:tcPr>
          <w:p w14:paraId="6335B931"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1.146</w:t>
            </w:r>
          </w:p>
        </w:tc>
      </w:tr>
      <w:tr w:rsidR="000B544D" w:rsidRPr="008D506D" w14:paraId="795064E6" w14:textId="77777777" w:rsidTr="008D506D">
        <w:trPr>
          <w:cantSplit/>
          <w:jc w:val="center"/>
        </w:trPr>
        <w:tc>
          <w:tcPr>
            <w:tcW w:w="5337" w:type="dxa"/>
            <w:tcBorders>
              <w:top w:val="nil"/>
              <w:left w:val="nil"/>
              <w:bottom w:val="nil"/>
              <w:right w:val="nil"/>
            </w:tcBorders>
            <w:noWrap/>
            <w:hideMark/>
          </w:tcPr>
          <w:p w14:paraId="06FD2DD2" w14:textId="77777777" w:rsidR="000B544D" w:rsidRPr="008D506D" w:rsidRDefault="000B544D" w:rsidP="00061854">
            <w:pPr>
              <w:keepNext/>
              <w:rPr>
                <w:rFonts w:ascii="Aptos Narrow" w:hAnsi="Aptos Narrow"/>
                <w:color w:val="000000"/>
                <w:sz w:val="16"/>
                <w:szCs w:val="16"/>
              </w:rPr>
            </w:pPr>
            <w:r w:rsidRPr="008D506D">
              <w:rPr>
                <w:rFonts w:ascii="Aptos Narrow" w:hAnsi="Aptos Narrow"/>
                <w:color w:val="000000"/>
                <w:sz w:val="16"/>
                <w:szCs w:val="16"/>
              </w:rPr>
              <w:t>Macaé</w:t>
            </w:r>
          </w:p>
        </w:tc>
        <w:tc>
          <w:tcPr>
            <w:tcW w:w="1176" w:type="dxa"/>
            <w:tcBorders>
              <w:top w:val="nil"/>
              <w:left w:val="nil"/>
              <w:bottom w:val="nil"/>
              <w:right w:val="nil"/>
            </w:tcBorders>
            <w:noWrap/>
            <w:hideMark/>
          </w:tcPr>
          <w:p w14:paraId="39D3970C"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25.877</w:t>
            </w:r>
          </w:p>
        </w:tc>
        <w:tc>
          <w:tcPr>
            <w:tcW w:w="1082" w:type="dxa"/>
            <w:tcBorders>
              <w:top w:val="nil"/>
              <w:left w:val="nil"/>
              <w:bottom w:val="nil"/>
              <w:right w:val="nil"/>
            </w:tcBorders>
            <w:noWrap/>
            <w:hideMark/>
          </w:tcPr>
          <w:p w14:paraId="05568553"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786</w:t>
            </w:r>
          </w:p>
        </w:tc>
        <w:tc>
          <w:tcPr>
            <w:tcW w:w="1336" w:type="dxa"/>
            <w:tcBorders>
              <w:top w:val="nil"/>
              <w:left w:val="nil"/>
              <w:bottom w:val="nil"/>
              <w:right w:val="nil"/>
            </w:tcBorders>
            <w:noWrap/>
            <w:hideMark/>
          </w:tcPr>
          <w:p w14:paraId="63456C16"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26.663</w:t>
            </w:r>
          </w:p>
        </w:tc>
      </w:tr>
      <w:tr w:rsidR="000B544D" w:rsidRPr="008D506D" w14:paraId="6411FA90" w14:textId="77777777" w:rsidTr="008D506D">
        <w:trPr>
          <w:cantSplit/>
          <w:jc w:val="center"/>
        </w:trPr>
        <w:tc>
          <w:tcPr>
            <w:tcW w:w="5337" w:type="dxa"/>
            <w:tcBorders>
              <w:top w:val="nil"/>
              <w:left w:val="nil"/>
              <w:bottom w:val="nil"/>
              <w:right w:val="nil"/>
            </w:tcBorders>
            <w:noWrap/>
            <w:hideMark/>
          </w:tcPr>
          <w:p w14:paraId="1C3BD4C0" w14:textId="77777777" w:rsidR="000B544D" w:rsidRPr="008D506D" w:rsidRDefault="000B544D" w:rsidP="00061854">
            <w:pPr>
              <w:keepNext/>
              <w:rPr>
                <w:rFonts w:ascii="Aptos Narrow" w:hAnsi="Aptos Narrow"/>
                <w:color w:val="000000"/>
                <w:sz w:val="16"/>
                <w:szCs w:val="16"/>
              </w:rPr>
            </w:pPr>
            <w:r w:rsidRPr="008D506D">
              <w:rPr>
                <w:rFonts w:ascii="Aptos Narrow" w:hAnsi="Aptos Narrow"/>
                <w:color w:val="000000"/>
                <w:sz w:val="16"/>
                <w:szCs w:val="16"/>
              </w:rPr>
              <w:t>Quissamã</w:t>
            </w:r>
          </w:p>
        </w:tc>
        <w:tc>
          <w:tcPr>
            <w:tcW w:w="1176" w:type="dxa"/>
            <w:tcBorders>
              <w:top w:val="nil"/>
              <w:left w:val="nil"/>
              <w:bottom w:val="nil"/>
              <w:right w:val="nil"/>
            </w:tcBorders>
            <w:noWrap/>
            <w:hideMark/>
          </w:tcPr>
          <w:p w14:paraId="3E5D93B4"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-579</w:t>
            </w:r>
          </w:p>
        </w:tc>
        <w:tc>
          <w:tcPr>
            <w:tcW w:w="1082" w:type="dxa"/>
            <w:tcBorders>
              <w:top w:val="nil"/>
              <w:left w:val="nil"/>
              <w:bottom w:val="nil"/>
              <w:right w:val="nil"/>
            </w:tcBorders>
            <w:noWrap/>
            <w:hideMark/>
          </w:tcPr>
          <w:p w14:paraId="26F844F2"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-555</w:t>
            </w:r>
          </w:p>
        </w:tc>
        <w:tc>
          <w:tcPr>
            <w:tcW w:w="1336" w:type="dxa"/>
            <w:tcBorders>
              <w:top w:val="nil"/>
              <w:left w:val="nil"/>
              <w:bottom w:val="nil"/>
              <w:right w:val="nil"/>
            </w:tcBorders>
            <w:noWrap/>
            <w:hideMark/>
          </w:tcPr>
          <w:p w14:paraId="1D79C89D"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-1.134</w:t>
            </w:r>
          </w:p>
        </w:tc>
      </w:tr>
      <w:tr w:rsidR="000B544D" w:rsidRPr="008D506D" w14:paraId="2489A11F" w14:textId="77777777" w:rsidTr="008D506D">
        <w:trPr>
          <w:cantSplit/>
          <w:jc w:val="center"/>
        </w:trPr>
        <w:tc>
          <w:tcPr>
            <w:tcW w:w="5337" w:type="dxa"/>
            <w:tcBorders>
              <w:top w:val="nil"/>
              <w:left w:val="nil"/>
              <w:bottom w:val="single" w:sz="8" w:space="0" w:color="auto"/>
              <w:right w:val="nil"/>
            </w:tcBorders>
            <w:noWrap/>
            <w:hideMark/>
          </w:tcPr>
          <w:p w14:paraId="20C643C0" w14:textId="77777777" w:rsidR="000B544D" w:rsidRPr="008D506D" w:rsidRDefault="000B544D" w:rsidP="00061854">
            <w:pPr>
              <w:keepNext/>
              <w:rPr>
                <w:rFonts w:ascii="Aptos Narrow" w:hAnsi="Aptos Narrow"/>
                <w:color w:val="000000"/>
                <w:sz w:val="16"/>
                <w:szCs w:val="16"/>
              </w:rPr>
            </w:pPr>
            <w:r w:rsidRPr="008D506D">
              <w:rPr>
                <w:rFonts w:ascii="Aptos Narrow" w:hAnsi="Aptos Narrow"/>
                <w:color w:val="000000"/>
                <w:sz w:val="16"/>
                <w:szCs w:val="16"/>
              </w:rPr>
              <w:t>Rio das Ostras</w:t>
            </w:r>
          </w:p>
        </w:tc>
        <w:tc>
          <w:tcPr>
            <w:tcW w:w="1176" w:type="dxa"/>
            <w:tcBorders>
              <w:top w:val="nil"/>
              <w:left w:val="nil"/>
              <w:bottom w:val="single" w:sz="8" w:space="0" w:color="auto"/>
              <w:right w:val="nil"/>
            </w:tcBorders>
            <w:noWrap/>
            <w:hideMark/>
          </w:tcPr>
          <w:p w14:paraId="7121E3A1"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9.087</w:t>
            </w:r>
          </w:p>
        </w:tc>
        <w:tc>
          <w:tcPr>
            <w:tcW w:w="1082" w:type="dxa"/>
            <w:tcBorders>
              <w:top w:val="nil"/>
              <w:left w:val="nil"/>
              <w:bottom w:val="single" w:sz="8" w:space="0" w:color="auto"/>
              <w:right w:val="nil"/>
            </w:tcBorders>
            <w:noWrap/>
            <w:hideMark/>
          </w:tcPr>
          <w:p w14:paraId="3C26913F"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-4.006</w:t>
            </w:r>
          </w:p>
        </w:tc>
        <w:tc>
          <w:tcPr>
            <w:tcW w:w="1336" w:type="dxa"/>
            <w:tcBorders>
              <w:top w:val="nil"/>
              <w:left w:val="nil"/>
              <w:bottom w:val="single" w:sz="8" w:space="0" w:color="auto"/>
              <w:right w:val="nil"/>
            </w:tcBorders>
            <w:noWrap/>
            <w:hideMark/>
          </w:tcPr>
          <w:p w14:paraId="2E9EFE2C" w14:textId="77777777" w:rsidR="000B544D" w:rsidRPr="008D506D" w:rsidRDefault="000B544D" w:rsidP="00061854">
            <w:pPr>
              <w:keepNext/>
              <w:jc w:val="right"/>
              <w:rPr>
                <w:rFonts w:ascii="Aptos Narrow" w:hAnsi="Aptos Narrow"/>
                <w:color w:val="000000"/>
                <w:sz w:val="16"/>
                <w:szCs w:val="16"/>
              </w:rPr>
            </w:pPr>
            <w:r w:rsidRPr="008D506D">
              <w:rPr>
                <w:rFonts w:ascii="Aptos Narrow" w:hAnsi="Aptos Narrow"/>
                <w:color w:val="000000"/>
                <w:sz w:val="16"/>
                <w:szCs w:val="16"/>
              </w:rPr>
              <w:t>5.080</w:t>
            </w:r>
          </w:p>
        </w:tc>
      </w:tr>
    </w:tbl>
    <w:p w14:paraId="31E7BCDB" w14:textId="63C51728" w:rsidR="007E09F5" w:rsidRPr="000528D2" w:rsidRDefault="007E09F5" w:rsidP="007E09F5">
      <w:pPr>
        <w:pStyle w:val="Fonte"/>
      </w:pPr>
      <w:r>
        <w:t xml:space="preserve">Fonte: Relação Anual de Informações Sociais (2002-2021) </w:t>
      </w:r>
      <w:r>
        <w:fldChar w:fldCharType="begin"/>
      </w:r>
      <w:r w:rsidR="005C4BAD">
        <w:instrText xml:space="preserve"> ADDIN ZOTERO_ITEM CSL_CITATION {"citationID":"CPqLJi3V","properties":{"formattedCitation":"(Minist\\uc0\\u233{}rio do Trabalho e Emprego, 2024)","plainCitation":"(Ministério do Trabalho e Emprego, 2024)","noteIndex":0},"citationItems":[{"id":1828,"uris":["http://zotero.org/users/11809071/items/N2GFPW8V"],"itemData":{"id":1828,"type":"webpage","language":"pt-br","note":"Brasília","title":"Relação Anual de informações Sociais - RAIS","URL":"https://www.gov.br/trabalho-e-emprego/pt-br/assuntos/estatisticas-trabalho/rais","author":[{"literal":"Ministério do Trabalho e Emprego"}],"accessed":{"date-parts":[["2024",10,31]]},"issued":{"date-parts":[["2024"]]},"citation-key":"ministeriodotrabalhoeemprego2024"}}],"schema":"https://github.com/citation-style-language/schema/raw/master/csl-citation.json"} </w:instrText>
      </w:r>
      <w:r>
        <w:fldChar w:fldCharType="separate"/>
      </w:r>
      <w:r w:rsidRPr="007E09F5">
        <w:t>(Ministério do Trabalho e Emprego, 2024)</w:t>
      </w:r>
      <w:r>
        <w:fldChar w:fldCharType="end"/>
      </w:r>
    </w:p>
    <w:p w14:paraId="5D92A819" w14:textId="1ADDE91D" w:rsidR="00914BE9" w:rsidRDefault="00914BE9" w:rsidP="00061854">
      <w:pPr>
        <w:pStyle w:val="Ttulo1"/>
      </w:pPr>
      <w:bookmarkStart w:id="21" w:name="_Toc211615807"/>
      <w:r>
        <w:t>Considerações finais</w:t>
      </w:r>
      <w:bookmarkEnd w:id="21"/>
    </w:p>
    <w:p w14:paraId="7C669F4A" w14:textId="6C6F710D" w:rsidR="0008536A" w:rsidRDefault="0008536A" w:rsidP="00256629">
      <w:pPr>
        <w:pStyle w:val="Corpodetexto"/>
      </w:pPr>
      <w:r>
        <w:t>As análises realizadas evidenciam que, nas últimas duas décadas, o dinamismo econômico do Norte do estado do Rio de Janeiro esteve fortemente condicionado à cadeia produtiva do petróleo e gás e, na última década, às atividades econômicas ligadas ao Porto do Açu. As Regiões Imediatas de Macaé-Rio das Ostras e Cabo Frio apresentaram os maiores incrementos no número de estabelecimentos e vínculos formais de trabalho, enquanto áreas mais interiorizadas, como Itaperuna e Santo Antônio de Pádua, mantiveram padrões de crescimento modestos. Essa diferenciação confirma a crescente polarização econômica em torno dos municípios diretamente articulados à exploração e produção de petróleo, bem como o deslocamento funcional e hierárquico dos centros urbanos regionais.</w:t>
      </w:r>
      <w:r w:rsidR="747D8F20">
        <w:t xml:space="preserve"> </w:t>
      </w:r>
    </w:p>
    <w:p w14:paraId="13C3971D" w14:textId="35400167" w:rsidR="0008536A" w:rsidRPr="002A30C4" w:rsidRDefault="0008536A" w:rsidP="002A30C4">
      <w:pPr>
        <w:pStyle w:val="Corpodetexto"/>
      </w:pPr>
      <w:r w:rsidRPr="002A30C4">
        <w:lastRenderedPageBreak/>
        <w:t xml:space="preserve">A decomposição estatística do crescimento do emprego formal revelou que o aumento do número de estabelecimentos foi o principal responsável pela expansão do mercado de trabalho formal, mais do que o crescimento do tamanho médio das firmas. A predominância do efeito quantidade sobre o efeito tamanho médio </w:t>
      </w:r>
      <w:r w:rsidR="00771071">
        <w:t xml:space="preserve">pode </w:t>
      </w:r>
      <w:r w:rsidRPr="002A30C4">
        <w:t>suger</w:t>
      </w:r>
      <w:r w:rsidR="00771071">
        <w:t>ir</w:t>
      </w:r>
      <w:r w:rsidRPr="002A30C4">
        <w:t xml:space="preserve"> uma economia </w:t>
      </w:r>
      <w:r w:rsidR="00771071">
        <w:t xml:space="preserve">mais </w:t>
      </w:r>
      <w:r w:rsidRPr="002A30C4">
        <w:t xml:space="preserve">fragmentada, com baixa capacidade de retenção e adensamento produtivo fora </w:t>
      </w:r>
      <w:r w:rsidR="005D2D9E">
        <w:t>de</w:t>
      </w:r>
      <w:r w:rsidRPr="002A30C4">
        <w:t xml:space="preserve"> setor</w:t>
      </w:r>
      <w:r w:rsidR="005D2D9E">
        <w:t>es mais tradicionais na região</w:t>
      </w:r>
      <w:r w:rsidR="00CD29D9">
        <w:t xml:space="preserve">, saber </w:t>
      </w:r>
      <w:r w:rsidR="005D2D9E">
        <w:t>energia, serviços públicos municipais e comércio</w:t>
      </w:r>
      <w:r w:rsidRPr="002A30C4">
        <w:t>.</w:t>
      </w:r>
    </w:p>
    <w:p w14:paraId="04EB57E6" w14:textId="31618772" w:rsidR="00522FAF" w:rsidRPr="00522FAF" w:rsidRDefault="0008536A" w:rsidP="005A6F46">
      <w:pPr>
        <w:pStyle w:val="Corpodetexto"/>
      </w:pPr>
      <w:r>
        <w:t>Em termos analíticos e metodológicos, o estudo reforça a relevância das Regiões Intermediárias e Imediatas como escalas adequadas para a compreensão das transformações intraestaduais</w:t>
      </w:r>
      <w:r w:rsidR="005D2D9E">
        <w:t xml:space="preserve"> e para o planejamento territorial</w:t>
      </w:r>
      <w:r>
        <w:t xml:space="preserve">. Do ponto de vista social e territorial, os resultados confirmam a persistência das desigualdades </w:t>
      </w:r>
      <w:r w:rsidR="008D506D">
        <w:t xml:space="preserve">territoriais </w:t>
      </w:r>
      <w:r>
        <w:t>históricas e a necessidade de políticas públicas orientadas à diversificação produtiva, à integração entre os polos dinâmicos e</w:t>
      </w:r>
      <w:r w:rsidR="0058549B">
        <w:t xml:space="preserve"> as</w:t>
      </w:r>
      <w:r>
        <w:t xml:space="preserve"> áreas </w:t>
      </w:r>
      <w:r w:rsidR="00AB7CC8">
        <w:t xml:space="preserve">estagnadas, assim como à necessidade de investimentos </w:t>
      </w:r>
      <w:r>
        <w:t>em desenvolvimento territorial sustentável.</w:t>
      </w:r>
    </w:p>
    <w:p w14:paraId="77EC0A5F" w14:textId="26790084" w:rsidR="00522FAF" w:rsidRDefault="00522FAF" w:rsidP="00522FAF">
      <w:pPr>
        <w:pStyle w:val="Ttulo1"/>
      </w:pPr>
      <w:r>
        <w:t>Referências bibliográficas</w:t>
      </w:r>
    </w:p>
    <w:p w14:paraId="7B3A4343" w14:textId="77777777" w:rsidR="002A30C4" w:rsidRPr="002A30C4" w:rsidRDefault="00522FAF" w:rsidP="002A30C4">
      <w:pPr>
        <w:pStyle w:val="Bibliografia"/>
        <w:rPr>
          <w:rFonts w:eastAsiaTheme="minorHAnsi"/>
          <w:lang w:eastAsia="en-US"/>
        </w:rPr>
      </w:pPr>
      <w:r>
        <w:fldChar w:fldCharType="begin"/>
      </w:r>
      <w:r w:rsidR="005C4BAD">
        <w:instrText xml:space="preserve"> ADDIN ZOTERO_BIBL {"uncited":[],"omitted":[],"custom":[]} CSL_BIBLIOGRAPHY </w:instrText>
      </w:r>
      <w:r>
        <w:fldChar w:fldCharType="separate"/>
      </w:r>
      <w:r w:rsidR="002A30C4" w:rsidRPr="002A30C4">
        <w:rPr>
          <w:rFonts w:eastAsiaTheme="minorHAnsi"/>
          <w:lang w:eastAsia="en-US"/>
        </w:rPr>
        <w:t xml:space="preserve">CORSEUIL, C. H. L.; MOURA, R. L.; RAMOS, L. Determinantes da expansão do emprego formal: o que explica o aumento do tamanho médio dos estabelecimentos? </w:t>
      </w:r>
      <w:r w:rsidR="002A30C4" w:rsidRPr="002A30C4">
        <w:rPr>
          <w:rFonts w:eastAsiaTheme="minorHAnsi"/>
          <w:b/>
          <w:bCs/>
          <w:lang w:eastAsia="en-US"/>
        </w:rPr>
        <w:t>Economia Aplicada</w:t>
      </w:r>
      <w:r w:rsidR="002A30C4" w:rsidRPr="002A30C4">
        <w:rPr>
          <w:rFonts w:eastAsiaTheme="minorHAnsi"/>
          <w:lang w:eastAsia="en-US"/>
        </w:rPr>
        <w:t>, [</w:t>
      </w:r>
      <w:r w:rsidR="002A30C4" w:rsidRPr="002A30C4">
        <w:rPr>
          <w:rFonts w:eastAsiaTheme="minorHAnsi"/>
          <w:i/>
          <w:iCs/>
          <w:lang w:eastAsia="en-US"/>
        </w:rPr>
        <w:t>S. l.</w:t>
      </w:r>
      <w:r w:rsidR="002A30C4" w:rsidRPr="002A30C4">
        <w:rPr>
          <w:rFonts w:eastAsiaTheme="minorHAnsi"/>
          <w:lang w:eastAsia="en-US"/>
        </w:rPr>
        <w:t>], v. 15, n. 1, p. 45–63, mar. 2011.</w:t>
      </w:r>
    </w:p>
    <w:p w14:paraId="05335662" w14:textId="77777777" w:rsidR="002A30C4" w:rsidRPr="002A30C4" w:rsidRDefault="002A30C4" w:rsidP="002A30C4">
      <w:pPr>
        <w:pStyle w:val="Bibliografia"/>
        <w:rPr>
          <w:rFonts w:eastAsiaTheme="minorHAnsi"/>
          <w:lang w:eastAsia="en-US"/>
        </w:rPr>
      </w:pPr>
      <w:r w:rsidRPr="002A30C4">
        <w:rPr>
          <w:rFonts w:eastAsiaTheme="minorHAnsi"/>
          <w:lang w:eastAsia="en-US"/>
        </w:rPr>
        <w:t>IBGE. Censo Demográfico 2000. 2006. Disponível em: https://www.ibge.gov.br/estatisticas/sociais/administracao-publica-e-participacao-politica/9663-censo-demografico-2000.html. Acesso em: 21 out. 2025. (Página de pesquisa realizada por instituto nacional de estatísticas).</w:t>
      </w:r>
    </w:p>
    <w:p w14:paraId="1D859671" w14:textId="77777777" w:rsidR="002A30C4" w:rsidRPr="002A30C4" w:rsidRDefault="002A30C4" w:rsidP="002A30C4">
      <w:pPr>
        <w:pStyle w:val="Bibliografia"/>
        <w:rPr>
          <w:rFonts w:eastAsiaTheme="minorHAnsi"/>
          <w:lang w:eastAsia="en-US"/>
        </w:rPr>
      </w:pPr>
      <w:r w:rsidRPr="002A30C4">
        <w:rPr>
          <w:rFonts w:eastAsiaTheme="minorHAnsi"/>
          <w:lang w:eastAsia="en-US"/>
        </w:rPr>
        <w:t>IBGE. Censo Demográfico 2010. 2016. Disponível em: https://censo2010.ibge.gov.br/resultados. Acesso em: 21 out. 2025. (Página de pesquisa realizada por instituto nacional de estatísticas).</w:t>
      </w:r>
    </w:p>
    <w:p w14:paraId="28E9204E" w14:textId="77777777" w:rsidR="002A30C4" w:rsidRPr="002A30C4" w:rsidRDefault="002A30C4" w:rsidP="002A30C4">
      <w:pPr>
        <w:pStyle w:val="Bibliografia"/>
        <w:rPr>
          <w:rFonts w:eastAsiaTheme="minorHAnsi"/>
          <w:lang w:eastAsia="en-US"/>
        </w:rPr>
      </w:pPr>
      <w:r w:rsidRPr="002A30C4">
        <w:rPr>
          <w:rFonts w:eastAsiaTheme="minorHAnsi"/>
          <w:lang w:eastAsia="en-US"/>
        </w:rPr>
        <w:t>IBGE. Censo Demográfico 2022. 2022. Disponível em: https://censo2022.ibge.gov.br/. Acesso em: 15 jun. 2023. (Página de pesquisa realizada por instituto nacional de estatísticas).</w:t>
      </w:r>
    </w:p>
    <w:p w14:paraId="12890D1B" w14:textId="77777777" w:rsidR="002A30C4" w:rsidRPr="002A30C4" w:rsidRDefault="002A30C4" w:rsidP="002A30C4">
      <w:pPr>
        <w:pStyle w:val="Bibliografia"/>
        <w:rPr>
          <w:rFonts w:eastAsiaTheme="minorHAnsi"/>
          <w:lang w:eastAsia="en-US"/>
        </w:rPr>
      </w:pPr>
      <w:r w:rsidRPr="002A30C4">
        <w:rPr>
          <w:rFonts w:eastAsiaTheme="minorHAnsi"/>
          <w:lang w:eastAsia="en-US"/>
        </w:rPr>
        <w:t>IBGE. Conselho Nacional de Geografia. Resolução n</w:t>
      </w:r>
      <w:r w:rsidRPr="002A30C4">
        <w:rPr>
          <w:rFonts w:eastAsiaTheme="minorHAnsi"/>
          <w:vertAlign w:val="superscript"/>
          <w:lang w:eastAsia="en-US"/>
        </w:rPr>
        <w:t>o</w:t>
      </w:r>
      <w:r w:rsidRPr="002A30C4">
        <w:rPr>
          <w:rFonts w:eastAsiaTheme="minorHAnsi"/>
          <w:lang w:eastAsia="en-US"/>
        </w:rPr>
        <w:t xml:space="preserve"> 72, de 14 de julho de 1941. Fixa o quadro de divisão regional do Brasil, para fins práticos, promove a sua adoção pela Estatística Brasileira e dá outras providências. </w:t>
      </w:r>
      <w:r w:rsidRPr="002A30C4">
        <w:rPr>
          <w:rFonts w:eastAsiaTheme="minorHAnsi"/>
          <w:b/>
          <w:bCs/>
          <w:lang w:eastAsia="en-US"/>
        </w:rPr>
        <w:t>Revista Brasileira de Geografia</w:t>
      </w:r>
      <w:r w:rsidRPr="002A30C4">
        <w:rPr>
          <w:rFonts w:eastAsiaTheme="minorHAnsi"/>
          <w:lang w:eastAsia="en-US"/>
        </w:rPr>
        <w:t>: seção 1, Brasília, DF, v. 4, p. 217–218, 1942. Disponível em: https://biblioteca.ibge.gov.br/visualizacao/periodicos/115/rbg_1942_v4_n1.pdf. Acesso em: 20 out. 2025.</w:t>
      </w:r>
    </w:p>
    <w:p w14:paraId="2EC88433" w14:textId="77777777" w:rsidR="002A30C4" w:rsidRPr="002A30C4" w:rsidRDefault="002A30C4" w:rsidP="002A30C4">
      <w:pPr>
        <w:pStyle w:val="Bibliografia"/>
        <w:rPr>
          <w:rFonts w:eastAsiaTheme="minorHAnsi"/>
          <w:lang w:eastAsia="en-US"/>
        </w:rPr>
      </w:pPr>
      <w:r w:rsidRPr="002A30C4">
        <w:rPr>
          <w:rFonts w:eastAsiaTheme="minorHAnsi"/>
          <w:lang w:eastAsia="en-US"/>
        </w:rPr>
        <w:t xml:space="preserve">IBGE. </w:t>
      </w:r>
      <w:r w:rsidRPr="002A30C4">
        <w:rPr>
          <w:rFonts w:eastAsiaTheme="minorHAnsi"/>
          <w:b/>
          <w:bCs/>
          <w:lang w:eastAsia="en-US"/>
        </w:rPr>
        <w:t>Divisão regional do Brasil em regiões geográficas imediatas e regiões geográficas intermediárias: 2017</w:t>
      </w:r>
      <w:r w:rsidRPr="002A30C4">
        <w:rPr>
          <w:rFonts w:eastAsiaTheme="minorHAnsi"/>
          <w:lang w:eastAsia="en-US"/>
        </w:rPr>
        <w:t>. Rio de Janeiro: IBGE, Coordenação de Geografia, 2017. Disponível em: https://biblioteca.ibge.gov.br/visualizacao/livros/liv101728.pdf. Acesso em: 21 out. 2025.</w:t>
      </w:r>
    </w:p>
    <w:p w14:paraId="5D8465A1" w14:textId="77777777" w:rsidR="002A30C4" w:rsidRPr="002A30C4" w:rsidRDefault="002A30C4" w:rsidP="002A30C4">
      <w:pPr>
        <w:pStyle w:val="Bibliografia"/>
        <w:rPr>
          <w:rFonts w:eastAsiaTheme="minorHAnsi"/>
          <w:lang w:eastAsia="en-US"/>
        </w:rPr>
      </w:pPr>
      <w:r w:rsidRPr="002A30C4">
        <w:rPr>
          <w:rFonts w:eastAsiaTheme="minorHAnsi"/>
          <w:lang w:eastAsia="en-US"/>
        </w:rPr>
        <w:t xml:space="preserve">IBGE. </w:t>
      </w:r>
      <w:r w:rsidRPr="002A30C4">
        <w:rPr>
          <w:rFonts w:eastAsiaTheme="minorHAnsi"/>
          <w:b/>
          <w:bCs/>
          <w:lang w:eastAsia="en-US"/>
        </w:rPr>
        <w:t>Regiões de influência das cidades: 1993</w:t>
      </w:r>
      <w:r w:rsidRPr="002A30C4">
        <w:rPr>
          <w:rFonts w:eastAsiaTheme="minorHAnsi"/>
          <w:lang w:eastAsia="en-US"/>
        </w:rPr>
        <w:t>. Rio de Janeiro: IBGE, Coordenação de Geografia, 2000. Disponível em: https://biblioteca.ibge.gov.br/visualizacao/livros/liv7199.pdf. Acesso em: 21 out. 2025.</w:t>
      </w:r>
    </w:p>
    <w:p w14:paraId="3B3BA7CE" w14:textId="77777777" w:rsidR="002A30C4" w:rsidRPr="002A30C4" w:rsidRDefault="002A30C4" w:rsidP="002A30C4">
      <w:pPr>
        <w:pStyle w:val="Bibliografia"/>
        <w:rPr>
          <w:rFonts w:eastAsiaTheme="minorHAnsi"/>
          <w:lang w:eastAsia="en-US"/>
        </w:rPr>
      </w:pPr>
      <w:r w:rsidRPr="002A30C4">
        <w:rPr>
          <w:rFonts w:eastAsiaTheme="minorHAnsi"/>
          <w:lang w:eastAsia="en-US"/>
        </w:rPr>
        <w:lastRenderedPageBreak/>
        <w:t xml:space="preserve">IBGE. </w:t>
      </w:r>
      <w:r w:rsidRPr="002A30C4">
        <w:rPr>
          <w:rFonts w:eastAsiaTheme="minorHAnsi"/>
          <w:b/>
          <w:bCs/>
          <w:lang w:eastAsia="en-US"/>
        </w:rPr>
        <w:t>Regiões De Influência Das Cidades: 2007</w:t>
      </w:r>
      <w:r w:rsidRPr="002A30C4">
        <w:rPr>
          <w:rFonts w:eastAsiaTheme="minorHAnsi"/>
          <w:lang w:eastAsia="en-US"/>
        </w:rPr>
        <w:t>. Rio de Janeiro: Ibge, 2008. Disponível em: https://biblioteca.ibge.gov.br/visualizacao/livros/liv40677.pdf. Acesso em: 21 out. 2025.</w:t>
      </w:r>
    </w:p>
    <w:p w14:paraId="7AA16D43" w14:textId="77777777" w:rsidR="002A30C4" w:rsidRPr="002A30C4" w:rsidRDefault="002A30C4" w:rsidP="002A30C4">
      <w:pPr>
        <w:pStyle w:val="Bibliografia"/>
        <w:rPr>
          <w:rFonts w:eastAsiaTheme="minorHAnsi"/>
          <w:lang w:eastAsia="en-US"/>
        </w:rPr>
      </w:pPr>
      <w:r w:rsidRPr="002A30C4">
        <w:rPr>
          <w:rFonts w:eastAsiaTheme="minorHAnsi"/>
          <w:lang w:eastAsia="en-US"/>
        </w:rPr>
        <w:t xml:space="preserve">IBGE. </w:t>
      </w:r>
      <w:r w:rsidRPr="002A30C4">
        <w:rPr>
          <w:rFonts w:eastAsiaTheme="minorHAnsi"/>
          <w:b/>
          <w:bCs/>
          <w:lang w:eastAsia="en-US"/>
        </w:rPr>
        <w:t>Regiões De Influência Das Cidades: 2018</w:t>
      </w:r>
      <w:r w:rsidRPr="002A30C4">
        <w:rPr>
          <w:rFonts w:eastAsiaTheme="minorHAnsi"/>
          <w:lang w:eastAsia="en-US"/>
        </w:rPr>
        <w:t>. Rio de Janeiro: Ibge, 2020. Disponível em: https://biblioteca.ibge.gov.br/visualizacao/livros/liv101728.pdf. Acesso em: 21 out. 2025.</w:t>
      </w:r>
    </w:p>
    <w:p w14:paraId="1DE9A4F8" w14:textId="77777777" w:rsidR="002A30C4" w:rsidRPr="002A30C4" w:rsidRDefault="002A30C4" w:rsidP="002A30C4">
      <w:pPr>
        <w:pStyle w:val="Bibliografia"/>
        <w:rPr>
          <w:rFonts w:eastAsiaTheme="minorHAnsi"/>
          <w:lang w:eastAsia="en-US"/>
        </w:rPr>
      </w:pPr>
      <w:r w:rsidRPr="002A30C4">
        <w:rPr>
          <w:rFonts w:eastAsiaTheme="minorHAnsi"/>
          <w:lang w:eastAsia="en-US"/>
        </w:rPr>
        <w:t>MINISTÉRIO DO TRABALHO E EMPREGO. Relação Anual de informações Sociais - RAIS. 2024. Disponível em: https://www.gov.br/trabalho-e-emprego/pt-br/assuntos/estatisticas-trabalho/rais. Acesso em: 31 out. 2024. (Brasília).</w:t>
      </w:r>
    </w:p>
    <w:p w14:paraId="276A7AB6" w14:textId="77777777" w:rsidR="002A30C4" w:rsidRPr="002A30C4" w:rsidRDefault="002A30C4" w:rsidP="002A30C4">
      <w:pPr>
        <w:pStyle w:val="Bibliografia"/>
        <w:rPr>
          <w:rFonts w:eastAsiaTheme="minorHAnsi"/>
          <w:lang w:eastAsia="en-US"/>
        </w:rPr>
      </w:pPr>
      <w:r w:rsidRPr="002A30C4">
        <w:rPr>
          <w:rFonts w:eastAsiaTheme="minorHAnsi"/>
          <w:lang w:eastAsia="en-US"/>
        </w:rPr>
        <w:t xml:space="preserve">MOTTA, M. P. da. </w:t>
      </w:r>
      <w:r w:rsidRPr="002A30C4">
        <w:rPr>
          <w:rFonts w:eastAsiaTheme="minorHAnsi"/>
          <w:b/>
          <w:bCs/>
          <w:lang w:eastAsia="en-US"/>
        </w:rPr>
        <w:t>Regiões de Influência das Cidades: metodologia de compatibilização hierárquica entre as edições da pesquisa no período de 1966 a 2018</w:t>
      </w:r>
      <w:r w:rsidRPr="002A30C4">
        <w:rPr>
          <w:rFonts w:eastAsiaTheme="minorHAnsi"/>
          <w:lang w:eastAsia="en-US"/>
        </w:rPr>
        <w:t>. Rio de Janeiro: IBGE, 2024. Disponível em: https://biblioteca.ibge.gov.br/visualizacao/livros/liv102151.pdf. Acesso em: 21 out. 2025.</w:t>
      </w:r>
    </w:p>
    <w:p w14:paraId="3AF26FEF" w14:textId="77777777" w:rsidR="002A30C4" w:rsidRPr="002A30C4" w:rsidRDefault="002A30C4" w:rsidP="002A30C4">
      <w:pPr>
        <w:pStyle w:val="Bibliografia"/>
        <w:rPr>
          <w:rFonts w:eastAsiaTheme="minorHAnsi"/>
          <w:lang w:eastAsia="en-US"/>
        </w:rPr>
      </w:pPr>
      <w:r w:rsidRPr="002A30C4">
        <w:rPr>
          <w:rFonts w:eastAsiaTheme="minorHAnsi"/>
          <w:lang w:eastAsia="en-US"/>
        </w:rPr>
        <w:t xml:space="preserve">NATAL, J. L. A.; CRUZ, J. L. V. da; JUNIOR, H. M. A atual região noroeste fluminense: uma esfinge a ser decifrada? </w:t>
      </w:r>
      <w:r w:rsidRPr="002A30C4">
        <w:rPr>
          <w:rFonts w:eastAsiaTheme="minorHAnsi"/>
          <w:b/>
          <w:bCs/>
          <w:lang w:eastAsia="en-US"/>
        </w:rPr>
        <w:t>Cadernos do Desenvolvimento Fluminense</w:t>
      </w:r>
      <w:r w:rsidRPr="002A30C4">
        <w:rPr>
          <w:rFonts w:eastAsiaTheme="minorHAnsi"/>
          <w:lang w:eastAsia="en-US"/>
        </w:rPr>
        <w:t>, Rio de Janeiro, n. 27, 2024. Disponível em: https://www.e-publicacoes.uerj.br/cdf/article/view/86735. Acesso em: 17 out. 2025.</w:t>
      </w:r>
    </w:p>
    <w:p w14:paraId="01BCF92C" w14:textId="77777777" w:rsidR="002A30C4" w:rsidRPr="002A30C4" w:rsidRDefault="002A30C4" w:rsidP="002A30C4">
      <w:pPr>
        <w:pStyle w:val="Bibliografia"/>
        <w:rPr>
          <w:rFonts w:eastAsiaTheme="minorHAnsi"/>
          <w:lang w:eastAsia="en-US"/>
        </w:rPr>
      </w:pPr>
      <w:r w:rsidRPr="002A30C4">
        <w:rPr>
          <w:rFonts w:eastAsiaTheme="minorHAnsi"/>
          <w:lang w:eastAsia="en-US"/>
        </w:rPr>
        <w:t xml:space="preserve">NETO, R. e S. </w:t>
      </w:r>
      <w:r w:rsidRPr="002A30C4">
        <w:rPr>
          <w:rFonts w:eastAsiaTheme="minorHAnsi"/>
          <w:i/>
          <w:iCs/>
          <w:lang w:eastAsia="en-US"/>
        </w:rPr>
        <w:t>et al.</w:t>
      </w:r>
      <w:r w:rsidRPr="002A30C4">
        <w:rPr>
          <w:rFonts w:eastAsiaTheme="minorHAnsi"/>
          <w:lang w:eastAsia="en-US"/>
        </w:rPr>
        <w:t xml:space="preserve"> Impactos socioeconômicos das atividades do petróleo e de suas rendas nos municípios do circuito espacial do petróleo no Estado do Rio de Janeiro. </w:t>
      </w:r>
      <w:r w:rsidRPr="002A30C4">
        <w:rPr>
          <w:rFonts w:eastAsiaTheme="minorHAnsi"/>
          <w:b/>
          <w:bCs/>
          <w:lang w:eastAsia="en-US"/>
        </w:rPr>
        <w:t>Revista Brasileira de Gestão e Desenvolvimento Regional</w:t>
      </w:r>
      <w:r w:rsidRPr="002A30C4">
        <w:rPr>
          <w:rFonts w:eastAsiaTheme="minorHAnsi"/>
          <w:lang w:eastAsia="en-US"/>
        </w:rPr>
        <w:t>, Taubaté, v. 14, n. 3, 15 jun. 2018. Disponível em: https://www.rbgdr.net/revista/index.php/rbgdr/article/view/3815. Acesso em: 17 out. 2025.</w:t>
      </w:r>
    </w:p>
    <w:p w14:paraId="49AFBC30" w14:textId="77777777" w:rsidR="002A30C4" w:rsidRPr="002A30C4" w:rsidRDefault="002A30C4" w:rsidP="002A30C4">
      <w:pPr>
        <w:pStyle w:val="Bibliografia"/>
        <w:rPr>
          <w:rFonts w:eastAsiaTheme="minorHAnsi"/>
          <w:lang w:eastAsia="en-US"/>
        </w:rPr>
      </w:pPr>
      <w:r w:rsidRPr="002A30C4">
        <w:rPr>
          <w:rFonts w:eastAsiaTheme="minorHAnsi"/>
          <w:lang w:eastAsia="en-US"/>
        </w:rPr>
        <w:t xml:space="preserve">OLIVEIRA, E. L. de; GIVISIEZ, G. H. N. Mobilidade espacial, demografia e desigualdade no Norte Fluminense. </w:t>
      </w:r>
      <w:r w:rsidRPr="002A30C4">
        <w:rPr>
          <w:rFonts w:eastAsiaTheme="minorHAnsi"/>
          <w:b/>
          <w:bCs/>
          <w:lang w:eastAsia="en-US"/>
        </w:rPr>
        <w:t>Terceiro Milênio: Revista Crítica de Sociologia e Política</w:t>
      </w:r>
      <w:r w:rsidRPr="002A30C4">
        <w:rPr>
          <w:rFonts w:eastAsiaTheme="minorHAnsi"/>
          <w:lang w:eastAsia="en-US"/>
        </w:rPr>
        <w:t>, Campos dos Goytacazes, v. 4, n. 1, p. 65–92, 2015.</w:t>
      </w:r>
    </w:p>
    <w:p w14:paraId="75D367E9" w14:textId="77777777" w:rsidR="002A30C4" w:rsidRPr="002A30C4" w:rsidRDefault="002A30C4" w:rsidP="002A30C4">
      <w:pPr>
        <w:pStyle w:val="Bibliografia"/>
        <w:rPr>
          <w:rFonts w:eastAsiaTheme="minorHAnsi"/>
          <w:lang w:eastAsia="en-US"/>
        </w:rPr>
      </w:pPr>
      <w:r w:rsidRPr="002A30C4">
        <w:rPr>
          <w:rFonts w:eastAsiaTheme="minorHAnsi"/>
          <w:lang w:eastAsia="en-US"/>
        </w:rPr>
        <w:t xml:space="preserve">OLIVEIRA, E. L. de; GIVISIEZ, G. H. N.; RIOS-NETO, E. G. </w:t>
      </w:r>
      <w:r w:rsidRPr="002A30C4">
        <w:rPr>
          <w:rFonts w:eastAsiaTheme="minorHAnsi"/>
          <w:b/>
          <w:bCs/>
          <w:lang w:eastAsia="en-US"/>
        </w:rPr>
        <w:t>Demanda Futura por Moradias no Brasil 2003-2023: Uma abordagem demográfica</w:t>
      </w:r>
      <w:r w:rsidRPr="002A30C4">
        <w:rPr>
          <w:rFonts w:eastAsiaTheme="minorHAnsi"/>
          <w:lang w:eastAsia="en-US"/>
        </w:rPr>
        <w:t>. 1. ed. Brasília: Ministério das Cidades, 2009. Disponível em: https://antigo.mdr.gov.br/legislacao/2-uncategorised/5714-livro-demanda-futura-por-moradias-2010. Acesso em: 11 ago. 2023.</w:t>
      </w:r>
    </w:p>
    <w:p w14:paraId="4A464AC2" w14:textId="77777777" w:rsidR="002A30C4" w:rsidRPr="002A30C4" w:rsidRDefault="002A30C4" w:rsidP="002A30C4">
      <w:pPr>
        <w:pStyle w:val="Bibliografia"/>
        <w:rPr>
          <w:rFonts w:eastAsiaTheme="minorHAnsi"/>
          <w:lang w:eastAsia="en-US"/>
        </w:rPr>
      </w:pPr>
      <w:r w:rsidRPr="002A30C4">
        <w:rPr>
          <w:rFonts w:eastAsiaTheme="minorHAnsi"/>
          <w:lang w:eastAsia="en-US"/>
        </w:rPr>
        <w:t>PETROBRAS. Plano Estratégico 2050: Plano de negócios Petrobras 2025-2029. 2025. Disponível em: https://petrobras.com.br/quem-somos/estrategia. Acesso em: 21 out. 2025. (Página web corporativa).</w:t>
      </w:r>
    </w:p>
    <w:p w14:paraId="05AECAB9" w14:textId="77777777" w:rsidR="002A30C4" w:rsidRPr="002A30C4" w:rsidRDefault="002A30C4" w:rsidP="002A30C4">
      <w:pPr>
        <w:pStyle w:val="Bibliografia"/>
        <w:rPr>
          <w:rFonts w:eastAsiaTheme="minorHAnsi"/>
          <w:lang w:eastAsia="en-US"/>
        </w:rPr>
      </w:pPr>
      <w:r w:rsidRPr="002A30C4">
        <w:rPr>
          <w:rFonts w:eastAsiaTheme="minorHAnsi"/>
          <w:lang w:eastAsia="en-US"/>
        </w:rPr>
        <w:t xml:space="preserve">SANTOS, M. </w:t>
      </w:r>
      <w:r w:rsidRPr="002A30C4">
        <w:rPr>
          <w:rFonts w:eastAsiaTheme="minorHAnsi"/>
          <w:b/>
          <w:bCs/>
          <w:lang w:eastAsia="en-US"/>
        </w:rPr>
        <w:t>A natureza do espaço: técnica e tempo, razão e emoção</w:t>
      </w:r>
      <w:r w:rsidRPr="002A30C4">
        <w:rPr>
          <w:rFonts w:eastAsiaTheme="minorHAnsi"/>
          <w:lang w:eastAsia="en-US"/>
        </w:rPr>
        <w:t>. 4. edição. São Paulo, SP: EDUSP, 2006(Coleção Mílton Santos, 1). Disponível em: https://sites.usp.br/fabulacoesdafamiliabrasileira/wp-content/uploads/sites/1073/2022/08/A-natureza-do-Espaco.pdf. Acesso em: 25 ago. 2025.</w:t>
      </w:r>
    </w:p>
    <w:p w14:paraId="1DA3D14F" w14:textId="77777777" w:rsidR="002A30C4" w:rsidRPr="002A30C4" w:rsidRDefault="002A30C4" w:rsidP="002A30C4">
      <w:pPr>
        <w:pStyle w:val="Bibliografia"/>
        <w:rPr>
          <w:rFonts w:eastAsiaTheme="minorHAnsi"/>
          <w:lang w:eastAsia="en-US"/>
        </w:rPr>
      </w:pPr>
      <w:r w:rsidRPr="002A30C4">
        <w:rPr>
          <w:rFonts w:eastAsiaTheme="minorHAnsi"/>
          <w:lang w:eastAsia="en-US"/>
        </w:rPr>
        <w:t xml:space="preserve">SANTOS, M. </w:t>
      </w:r>
      <w:r w:rsidRPr="002A30C4">
        <w:rPr>
          <w:rFonts w:eastAsiaTheme="minorHAnsi"/>
          <w:b/>
          <w:bCs/>
          <w:lang w:eastAsia="en-US"/>
        </w:rPr>
        <w:t>Técnico, Espaço, Tempo Globalização e Meio Técnico-Científico Informacional</w:t>
      </w:r>
      <w:r w:rsidRPr="002A30C4">
        <w:rPr>
          <w:rFonts w:eastAsiaTheme="minorHAnsi"/>
          <w:lang w:eastAsia="en-US"/>
        </w:rPr>
        <w:t>. São Paulo: Edusp, 1994.</w:t>
      </w:r>
    </w:p>
    <w:p w14:paraId="387FAE12" w14:textId="30A17CB9" w:rsidR="00522FAF" w:rsidRPr="00522FAF" w:rsidRDefault="00522FAF" w:rsidP="002A30C4">
      <w:pPr>
        <w:pStyle w:val="Bibliografia"/>
      </w:pPr>
      <w:r>
        <w:fldChar w:fldCharType="end"/>
      </w:r>
    </w:p>
    <w:sectPr w:rsidR="00522FAF" w:rsidRPr="00522FAF" w:rsidSect="005815A8">
      <w:headerReference w:type="default" r:id="rId15"/>
      <w:headerReference w:type="first" r:id="rId16"/>
      <w:pgSz w:w="11900" w:h="16840"/>
      <w:pgMar w:top="1701"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B99014" w14:textId="77777777" w:rsidR="000E7921" w:rsidRDefault="000E7921" w:rsidP="008D49DD">
      <w:r>
        <w:separator/>
      </w:r>
    </w:p>
  </w:endnote>
  <w:endnote w:type="continuationSeparator" w:id="0">
    <w:p w14:paraId="0D72C05C" w14:textId="77777777" w:rsidR="000E7921" w:rsidRDefault="000E7921" w:rsidP="008D49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 New Roman (Títulos CS)">
    <w:altName w:val="Times New Roman"/>
    <w:panose1 w:val="020B0604020202020204"/>
    <w:charset w:val="00"/>
    <w:family w:val="roman"/>
    <w:notTrueType/>
    <w:pitch w:val="default"/>
  </w:font>
  <w:font w:name="Yu Gothic">
    <w:altName w:val="游ゴシック"/>
    <w:panose1 w:val="020B04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Aptos Narrow">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2EC763" w14:textId="77777777" w:rsidR="000E7921" w:rsidRDefault="000E7921" w:rsidP="008D49DD">
      <w:r>
        <w:separator/>
      </w:r>
    </w:p>
  </w:footnote>
  <w:footnote w:type="continuationSeparator" w:id="0">
    <w:p w14:paraId="78C2838A" w14:textId="77777777" w:rsidR="000E7921" w:rsidRDefault="000E7921" w:rsidP="008D49DD">
      <w:r>
        <w:continuationSeparator/>
      </w:r>
    </w:p>
  </w:footnote>
  <w:footnote w:id="1">
    <w:p w14:paraId="536C8EB9" w14:textId="5ACE4250" w:rsidR="00D94E73" w:rsidRDefault="00D94E73" w:rsidP="00D94E73">
      <w:pPr>
        <w:pStyle w:val="Textodenotaderodap"/>
      </w:pPr>
      <w:r>
        <w:rPr>
          <w:rStyle w:val="Refdenotaderodap"/>
        </w:rPr>
        <w:footnoteRef/>
      </w:r>
      <w:r>
        <w:t xml:space="preserve"> </w:t>
      </w:r>
      <w:r w:rsidR="00B416BD">
        <w:t>Doutora em Demografia</w:t>
      </w:r>
      <w:r>
        <w:t xml:space="preserve">. </w:t>
      </w:r>
      <w:r w:rsidR="00B416BD">
        <w:t xml:space="preserve">Universidade Federal Fluminense. </w:t>
      </w:r>
      <w:r>
        <w:t>E-mail:</w:t>
      </w:r>
      <w:r w:rsidR="00B416BD">
        <w:t xml:space="preserve"> elziralucia@id.uff.br</w:t>
      </w:r>
    </w:p>
  </w:footnote>
  <w:footnote w:id="2">
    <w:p w14:paraId="06AC21DB" w14:textId="76EB5555" w:rsidR="00D94E73" w:rsidRDefault="00D94E73" w:rsidP="00D94E73">
      <w:pPr>
        <w:pStyle w:val="Textodenotaderodap"/>
      </w:pPr>
      <w:r>
        <w:rPr>
          <w:rStyle w:val="Refdenotaderodap"/>
        </w:rPr>
        <w:footnoteRef/>
      </w:r>
      <w:r>
        <w:t xml:space="preserve"> </w:t>
      </w:r>
      <w:r w:rsidR="00B416BD">
        <w:t xml:space="preserve">Doutor em Demografia. Universidade Federal Fluminense. </w:t>
      </w:r>
      <w:r>
        <w:t>E-mail:</w:t>
      </w:r>
      <w:r w:rsidR="00B416BD">
        <w:t xml:space="preserve"> gh_naves@id.uff.br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2203E" w14:textId="2419F33A" w:rsidR="008D49DD" w:rsidRDefault="008D49DD" w:rsidP="00957CDD">
    <w:pPr>
      <w:pStyle w:val="Cabealh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1D78D" w14:textId="1294BECE" w:rsidR="00BC5B16" w:rsidRDefault="00BC5B16" w:rsidP="00BC5B16">
    <w:pPr>
      <w:pStyle w:val="Cabealho"/>
      <w:jc w:val="center"/>
    </w:pPr>
    <w:r>
      <w:rPr>
        <w:noProof/>
      </w:rPr>
      <w:drawing>
        <wp:inline distT="0" distB="0" distL="0" distR="0" wp14:anchorId="6F68AA4B" wp14:editId="1D59E7B3">
          <wp:extent cx="4670425" cy="1297305"/>
          <wp:effectExtent l="0" t="0" r="3175" b="0"/>
          <wp:docPr id="83837686" name="Imagem 83837686" descr="Tela de jogo de vídeo game&#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la de jogo de vídeo game&#10;&#10;O conteúdo gerado por IA pode estar incorret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670425" cy="12973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71B85"/>
    <w:multiLevelType w:val="multilevel"/>
    <w:tmpl w:val="3C42F906"/>
    <w:lvl w:ilvl="0">
      <w:start w:val="1"/>
      <w:numFmt w:val="decimal"/>
      <w:lvlText w:val="%1."/>
      <w:lvlJc w:val="left"/>
      <w:pPr>
        <w:ind w:left="1491" w:hanging="357"/>
      </w:pPr>
      <w:rPr>
        <w:rFonts w:hint="default"/>
      </w:rPr>
    </w:lvl>
    <w:lvl w:ilvl="1">
      <w:start w:val="1"/>
      <w:numFmt w:val="decimal"/>
      <w:lvlText w:val="%1.%2."/>
      <w:lvlJc w:val="left"/>
      <w:pPr>
        <w:ind w:left="1926" w:hanging="432"/>
      </w:pPr>
      <w:rPr>
        <w:rFonts w:hint="default"/>
      </w:rPr>
    </w:lvl>
    <w:lvl w:ilvl="2">
      <w:start w:val="1"/>
      <w:numFmt w:val="decimal"/>
      <w:lvlText w:val="%1.%2.%3."/>
      <w:lvlJc w:val="left"/>
      <w:pPr>
        <w:ind w:left="2358" w:hanging="504"/>
      </w:pPr>
      <w:rPr>
        <w:rFonts w:hint="default"/>
      </w:rPr>
    </w:lvl>
    <w:lvl w:ilvl="3">
      <w:start w:val="1"/>
      <w:numFmt w:val="decimal"/>
      <w:lvlText w:val="%1.%2.%3.%4."/>
      <w:lvlJc w:val="left"/>
      <w:pPr>
        <w:ind w:left="2862" w:hanging="648"/>
      </w:pPr>
      <w:rPr>
        <w:rFonts w:hint="default"/>
      </w:rPr>
    </w:lvl>
    <w:lvl w:ilvl="4">
      <w:start w:val="1"/>
      <w:numFmt w:val="decimal"/>
      <w:lvlText w:val="%1.%2.%3.%4.%5."/>
      <w:lvlJc w:val="left"/>
      <w:pPr>
        <w:ind w:left="3366" w:hanging="792"/>
      </w:pPr>
      <w:rPr>
        <w:rFonts w:hint="default"/>
      </w:rPr>
    </w:lvl>
    <w:lvl w:ilvl="5">
      <w:start w:val="1"/>
      <w:numFmt w:val="decimal"/>
      <w:lvlText w:val="%1.%2.%3.%4.%5.%6."/>
      <w:lvlJc w:val="left"/>
      <w:pPr>
        <w:ind w:left="3870" w:hanging="936"/>
      </w:pPr>
      <w:rPr>
        <w:rFonts w:hint="default"/>
      </w:rPr>
    </w:lvl>
    <w:lvl w:ilvl="6">
      <w:start w:val="1"/>
      <w:numFmt w:val="decimal"/>
      <w:lvlText w:val="%1.%2.%3.%4.%5.%6.%7."/>
      <w:lvlJc w:val="left"/>
      <w:pPr>
        <w:ind w:left="4374" w:hanging="1080"/>
      </w:pPr>
      <w:rPr>
        <w:rFonts w:hint="default"/>
      </w:rPr>
    </w:lvl>
    <w:lvl w:ilvl="7">
      <w:start w:val="1"/>
      <w:numFmt w:val="decimal"/>
      <w:lvlText w:val="%1.%2.%3.%4.%5.%6.%7.%8."/>
      <w:lvlJc w:val="left"/>
      <w:pPr>
        <w:ind w:left="4878" w:hanging="1224"/>
      </w:pPr>
      <w:rPr>
        <w:rFonts w:hint="default"/>
      </w:rPr>
    </w:lvl>
    <w:lvl w:ilvl="8">
      <w:start w:val="1"/>
      <w:numFmt w:val="decimal"/>
      <w:lvlText w:val="%1.%2.%3.%4.%5.%6.%7.%8.%9."/>
      <w:lvlJc w:val="left"/>
      <w:pPr>
        <w:ind w:left="5454" w:hanging="1440"/>
      </w:pPr>
      <w:rPr>
        <w:rFonts w:hint="default"/>
      </w:rPr>
    </w:lvl>
  </w:abstractNum>
  <w:abstractNum w:abstractNumId="1" w15:restartNumberingAfterBreak="0">
    <w:nsid w:val="1491201B"/>
    <w:multiLevelType w:val="multilevel"/>
    <w:tmpl w:val="EE84E7F8"/>
    <w:styleLink w:val="Listaatual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78B550D"/>
    <w:multiLevelType w:val="multilevel"/>
    <w:tmpl w:val="EE84E7F8"/>
    <w:styleLink w:val="Listaatual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7CA2B91"/>
    <w:multiLevelType w:val="multilevel"/>
    <w:tmpl w:val="B1F8EF5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C9E5320"/>
    <w:multiLevelType w:val="multilevel"/>
    <w:tmpl w:val="346EEF00"/>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5" w15:restartNumberingAfterBreak="0">
    <w:nsid w:val="2D40202C"/>
    <w:multiLevelType w:val="multilevel"/>
    <w:tmpl w:val="3396747E"/>
    <w:lvl w:ilvl="0">
      <w:start w:val="1"/>
      <w:numFmt w:val="decimal"/>
      <w:lvlText w:val="%1."/>
      <w:lvlJc w:val="left"/>
      <w:pPr>
        <w:ind w:left="1211" w:hanging="360"/>
      </w:pPr>
    </w:lvl>
    <w:lvl w:ilvl="1">
      <w:start w:val="1"/>
      <w:numFmt w:val="decimal"/>
      <w:lvlText w:val="%1.%2."/>
      <w:lvlJc w:val="left"/>
      <w:pPr>
        <w:ind w:left="1643" w:hanging="432"/>
      </w:pPr>
    </w:lvl>
    <w:lvl w:ilvl="2">
      <w:start w:val="1"/>
      <w:numFmt w:val="decimal"/>
      <w:lvlText w:val="%1.%2.%3."/>
      <w:lvlJc w:val="left"/>
      <w:pPr>
        <w:ind w:left="2075" w:hanging="504"/>
      </w:pPr>
    </w:lvl>
    <w:lvl w:ilvl="3">
      <w:start w:val="1"/>
      <w:numFmt w:val="decimal"/>
      <w:lvlText w:val="%1.%2.%3.%4."/>
      <w:lvlJc w:val="left"/>
      <w:pPr>
        <w:ind w:left="2579" w:hanging="648"/>
      </w:pPr>
    </w:lvl>
    <w:lvl w:ilvl="4">
      <w:start w:val="1"/>
      <w:numFmt w:val="decimal"/>
      <w:lvlText w:val="%1.%2.%3.%4.%5."/>
      <w:lvlJc w:val="left"/>
      <w:pPr>
        <w:ind w:left="3083" w:hanging="792"/>
      </w:pPr>
    </w:lvl>
    <w:lvl w:ilvl="5">
      <w:start w:val="1"/>
      <w:numFmt w:val="decimal"/>
      <w:lvlText w:val="%1.%2.%3.%4.%5.%6."/>
      <w:lvlJc w:val="left"/>
      <w:pPr>
        <w:ind w:left="3587" w:hanging="936"/>
      </w:pPr>
    </w:lvl>
    <w:lvl w:ilvl="6">
      <w:start w:val="1"/>
      <w:numFmt w:val="decimal"/>
      <w:lvlText w:val="%1.%2.%3.%4.%5.%6.%7."/>
      <w:lvlJc w:val="left"/>
      <w:pPr>
        <w:ind w:left="4091" w:hanging="1080"/>
      </w:pPr>
    </w:lvl>
    <w:lvl w:ilvl="7">
      <w:start w:val="1"/>
      <w:numFmt w:val="decimal"/>
      <w:lvlText w:val="%1.%2.%3.%4.%5.%6.%7.%8."/>
      <w:lvlJc w:val="left"/>
      <w:pPr>
        <w:ind w:left="4595" w:hanging="1224"/>
      </w:pPr>
    </w:lvl>
    <w:lvl w:ilvl="8">
      <w:start w:val="1"/>
      <w:numFmt w:val="decimal"/>
      <w:lvlText w:val="%1.%2.%3.%4.%5.%6.%7.%8.%9."/>
      <w:lvlJc w:val="left"/>
      <w:pPr>
        <w:ind w:left="5171" w:hanging="1440"/>
      </w:pPr>
    </w:lvl>
  </w:abstractNum>
  <w:abstractNum w:abstractNumId="6" w15:restartNumberingAfterBreak="0">
    <w:nsid w:val="4A6D0D45"/>
    <w:multiLevelType w:val="multilevel"/>
    <w:tmpl w:val="3B2EB9A4"/>
    <w:lvl w:ilvl="0">
      <w:start w:val="1"/>
      <w:numFmt w:val="decimal"/>
      <w:lvlText w:val="%1."/>
      <w:lvlJc w:val="left"/>
      <w:pPr>
        <w:ind w:left="360" w:hanging="360"/>
      </w:pPr>
      <w:rPr>
        <w:rFonts w:hint="default"/>
      </w:rPr>
    </w:lvl>
    <w:lvl w:ilvl="1">
      <w:start w:val="2"/>
      <w:numFmt w:val="decimal"/>
      <w:lvlText w:val="%1.%2."/>
      <w:lvlJc w:val="left"/>
      <w:pPr>
        <w:ind w:left="792" w:hanging="432"/>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5B663233"/>
    <w:multiLevelType w:val="multilevel"/>
    <w:tmpl w:val="2898D5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62952925"/>
    <w:multiLevelType w:val="multilevel"/>
    <w:tmpl w:val="21B0DD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6D8B2ABA"/>
    <w:multiLevelType w:val="hybridMultilevel"/>
    <w:tmpl w:val="7EFAD926"/>
    <w:lvl w:ilvl="0" w:tplc="4A0AD580">
      <w:start w:val="1"/>
      <w:numFmt w:val="upperRoman"/>
      <w:lvlText w:val="Seção %1."/>
      <w:lvlJc w:val="right"/>
      <w:pPr>
        <w:ind w:left="0" w:firstLine="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num w:numId="1" w16cid:durableId="658729698">
    <w:abstractNumId w:val="5"/>
  </w:num>
  <w:num w:numId="2" w16cid:durableId="1229537989">
    <w:abstractNumId w:val="7"/>
  </w:num>
  <w:num w:numId="3" w16cid:durableId="1284731611">
    <w:abstractNumId w:val="0"/>
  </w:num>
  <w:num w:numId="4" w16cid:durableId="1569539981">
    <w:abstractNumId w:val="6"/>
  </w:num>
  <w:num w:numId="5" w16cid:durableId="1951010537">
    <w:abstractNumId w:val="6"/>
  </w:num>
  <w:num w:numId="6" w16cid:durableId="643583959">
    <w:abstractNumId w:val="6"/>
  </w:num>
  <w:num w:numId="7" w16cid:durableId="633760044">
    <w:abstractNumId w:val="6"/>
  </w:num>
  <w:num w:numId="8" w16cid:durableId="1224679868">
    <w:abstractNumId w:val="3"/>
  </w:num>
  <w:num w:numId="9" w16cid:durableId="1920169213">
    <w:abstractNumId w:val="4"/>
  </w:num>
  <w:num w:numId="10" w16cid:durableId="321275965">
    <w:abstractNumId w:val="8"/>
  </w:num>
  <w:num w:numId="11" w16cid:durableId="324088174">
    <w:abstractNumId w:val="9"/>
  </w:num>
  <w:num w:numId="12" w16cid:durableId="332269329">
    <w:abstractNumId w:val="2"/>
  </w:num>
  <w:num w:numId="13" w16cid:durableId="1883906837">
    <w:abstractNumId w:val="1"/>
  </w:num>
  <w:num w:numId="14" w16cid:durableId="343574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BE9"/>
    <w:rsid w:val="00000068"/>
    <w:rsid w:val="000001FF"/>
    <w:rsid w:val="00000FA8"/>
    <w:rsid w:val="00001578"/>
    <w:rsid w:val="00001997"/>
    <w:rsid w:val="00002A09"/>
    <w:rsid w:val="000057A2"/>
    <w:rsid w:val="00005C3E"/>
    <w:rsid w:val="00006EE4"/>
    <w:rsid w:val="00007FA5"/>
    <w:rsid w:val="00011D3E"/>
    <w:rsid w:val="00013A25"/>
    <w:rsid w:val="00014283"/>
    <w:rsid w:val="00014696"/>
    <w:rsid w:val="00014876"/>
    <w:rsid w:val="000155EB"/>
    <w:rsid w:val="00015975"/>
    <w:rsid w:val="000170B8"/>
    <w:rsid w:val="0002053C"/>
    <w:rsid w:val="00021BBE"/>
    <w:rsid w:val="00021F30"/>
    <w:rsid w:val="00021FD1"/>
    <w:rsid w:val="000221A5"/>
    <w:rsid w:val="00022D74"/>
    <w:rsid w:val="00023426"/>
    <w:rsid w:val="00024007"/>
    <w:rsid w:val="0002421B"/>
    <w:rsid w:val="00024580"/>
    <w:rsid w:val="00024B64"/>
    <w:rsid w:val="000256FC"/>
    <w:rsid w:val="00025884"/>
    <w:rsid w:val="00025DBC"/>
    <w:rsid w:val="00025ED7"/>
    <w:rsid w:val="000268DD"/>
    <w:rsid w:val="00027A49"/>
    <w:rsid w:val="00030AF7"/>
    <w:rsid w:val="00031649"/>
    <w:rsid w:val="00032774"/>
    <w:rsid w:val="00032B46"/>
    <w:rsid w:val="0003380E"/>
    <w:rsid w:val="00033EEF"/>
    <w:rsid w:val="000344E2"/>
    <w:rsid w:val="00036C36"/>
    <w:rsid w:val="000402B5"/>
    <w:rsid w:val="00041A8F"/>
    <w:rsid w:val="00042009"/>
    <w:rsid w:val="00042E50"/>
    <w:rsid w:val="00043148"/>
    <w:rsid w:val="000435CC"/>
    <w:rsid w:val="00043DB8"/>
    <w:rsid w:val="000445A7"/>
    <w:rsid w:val="000462B5"/>
    <w:rsid w:val="00047E1D"/>
    <w:rsid w:val="000528D2"/>
    <w:rsid w:val="00052A5A"/>
    <w:rsid w:val="0005352A"/>
    <w:rsid w:val="000538E4"/>
    <w:rsid w:val="00055B1C"/>
    <w:rsid w:val="000562C0"/>
    <w:rsid w:val="0005685B"/>
    <w:rsid w:val="00056961"/>
    <w:rsid w:val="00056EDF"/>
    <w:rsid w:val="00060D90"/>
    <w:rsid w:val="00061082"/>
    <w:rsid w:val="00061672"/>
    <w:rsid w:val="00061854"/>
    <w:rsid w:val="000625BA"/>
    <w:rsid w:val="0006290B"/>
    <w:rsid w:val="00062959"/>
    <w:rsid w:val="0006399C"/>
    <w:rsid w:val="00064A5F"/>
    <w:rsid w:val="00065F46"/>
    <w:rsid w:val="0006625C"/>
    <w:rsid w:val="000679B2"/>
    <w:rsid w:val="0007008A"/>
    <w:rsid w:val="00071023"/>
    <w:rsid w:val="00071260"/>
    <w:rsid w:val="00072983"/>
    <w:rsid w:val="000729B3"/>
    <w:rsid w:val="00072B00"/>
    <w:rsid w:val="00072D4C"/>
    <w:rsid w:val="0007569E"/>
    <w:rsid w:val="00075A82"/>
    <w:rsid w:val="00076D81"/>
    <w:rsid w:val="00077291"/>
    <w:rsid w:val="000779BD"/>
    <w:rsid w:val="00081F20"/>
    <w:rsid w:val="0008481D"/>
    <w:rsid w:val="00084FA8"/>
    <w:rsid w:val="0008536A"/>
    <w:rsid w:val="000856BC"/>
    <w:rsid w:val="000866D9"/>
    <w:rsid w:val="0009002C"/>
    <w:rsid w:val="00090937"/>
    <w:rsid w:val="00091216"/>
    <w:rsid w:val="00093EA0"/>
    <w:rsid w:val="00094749"/>
    <w:rsid w:val="000949C0"/>
    <w:rsid w:val="000A10CC"/>
    <w:rsid w:val="000A1A6E"/>
    <w:rsid w:val="000A1A80"/>
    <w:rsid w:val="000A4E27"/>
    <w:rsid w:val="000A4E47"/>
    <w:rsid w:val="000A5976"/>
    <w:rsid w:val="000A60AA"/>
    <w:rsid w:val="000A6ABE"/>
    <w:rsid w:val="000B02F3"/>
    <w:rsid w:val="000B083D"/>
    <w:rsid w:val="000B10C1"/>
    <w:rsid w:val="000B16E3"/>
    <w:rsid w:val="000B19F1"/>
    <w:rsid w:val="000B1CCB"/>
    <w:rsid w:val="000B2936"/>
    <w:rsid w:val="000B3E34"/>
    <w:rsid w:val="000B40DF"/>
    <w:rsid w:val="000B429C"/>
    <w:rsid w:val="000B4312"/>
    <w:rsid w:val="000B544D"/>
    <w:rsid w:val="000B5C81"/>
    <w:rsid w:val="000B5F42"/>
    <w:rsid w:val="000B5F70"/>
    <w:rsid w:val="000B64E0"/>
    <w:rsid w:val="000C0BB3"/>
    <w:rsid w:val="000C46A5"/>
    <w:rsid w:val="000C47A0"/>
    <w:rsid w:val="000C4A84"/>
    <w:rsid w:val="000C61CA"/>
    <w:rsid w:val="000C671D"/>
    <w:rsid w:val="000C6877"/>
    <w:rsid w:val="000C6C31"/>
    <w:rsid w:val="000C7924"/>
    <w:rsid w:val="000D02F5"/>
    <w:rsid w:val="000D0A28"/>
    <w:rsid w:val="000D0EF6"/>
    <w:rsid w:val="000D1042"/>
    <w:rsid w:val="000D12AE"/>
    <w:rsid w:val="000D6A5C"/>
    <w:rsid w:val="000D6D54"/>
    <w:rsid w:val="000D76E0"/>
    <w:rsid w:val="000E01AD"/>
    <w:rsid w:val="000E0200"/>
    <w:rsid w:val="000E1321"/>
    <w:rsid w:val="000E2A75"/>
    <w:rsid w:val="000E5DC6"/>
    <w:rsid w:val="000E676A"/>
    <w:rsid w:val="000E6C4A"/>
    <w:rsid w:val="000E7921"/>
    <w:rsid w:val="000E7990"/>
    <w:rsid w:val="000E7B3B"/>
    <w:rsid w:val="000F147E"/>
    <w:rsid w:val="000F2255"/>
    <w:rsid w:val="000F251C"/>
    <w:rsid w:val="000F4557"/>
    <w:rsid w:val="000F4F03"/>
    <w:rsid w:val="000F5FEE"/>
    <w:rsid w:val="000F67D8"/>
    <w:rsid w:val="000F763E"/>
    <w:rsid w:val="0010196C"/>
    <w:rsid w:val="00103A6B"/>
    <w:rsid w:val="00105C65"/>
    <w:rsid w:val="00105E23"/>
    <w:rsid w:val="00106159"/>
    <w:rsid w:val="00106A8E"/>
    <w:rsid w:val="001079C1"/>
    <w:rsid w:val="001109DF"/>
    <w:rsid w:val="0011671C"/>
    <w:rsid w:val="001169E2"/>
    <w:rsid w:val="0011749D"/>
    <w:rsid w:val="00117D19"/>
    <w:rsid w:val="001213FD"/>
    <w:rsid w:val="001223DF"/>
    <w:rsid w:val="00122B27"/>
    <w:rsid w:val="00123313"/>
    <w:rsid w:val="001238C1"/>
    <w:rsid w:val="001239FA"/>
    <w:rsid w:val="0012400E"/>
    <w:rsid w:val="00124D58"/>
    <w:rsid w:val="00126717"/>
    <w:rsid w:val="00126EC9"/>
    <w:rsid w:val="00127E27"/>
    <w:rsid w:val="00131247"/>
    <w:rsid w:val="001324A6"/>
    <w:rsid w:val="00134B34"/>
    <w:rsid w:val="00135339"/>
    <w:rsid w:val="001355BD"/>
    <w:rsid w:val="0013589C"/>
    <w:rsid w:val="001367F6"/>
    <w:rsid w:val="00136DF0"/>
    <w:rsid w:val="00136F6E"/>
    <w:rsid w:val="001370AD"/>
    <w:rsid w:val="001377BA"/>
    <w:rsid w:val="00142027"/>
    <w:rsid w:val="00143932"/>
    <w:rsid w:val="0014593A"/>
    <w:rsid w:val="001463EA"/>
    <w:rsid w:val="001471CF"/>
    <w:rsid w:val="001477A4"/>
    <w:rsid w:val="00147E93"/>
    <w:rsid w:val="001550C9"/>
    <w:rsid w:val="00155E09"/>
    <w:rsid w:val="00156203"/>
    <w:rsid w:val="00156CE4"/>
    <w:rsid w:val="00156F9D"/>
    <w:rsid w:val="00165357"/>
    <w:rsid w:val="0017157B"/>
    <w:rsid w:val="00171C10"/>
    <w:rsid w:val="0017324B"/>
    <w:rsid w:val="0017369F"/>
    <w:rsid w:val="00174EC2"/>
    <w:rsid w:val="0017518D"/>
    <w:rsid w:val="0018136C"/>
    <w:rsid w:val="00183389"/>
    <w:rsid w:val="001906B4"/>
    <w:rsid w:val="0019177C"/>
    <w:rsid w:val="001936E0"/>
    <w:rsid w:val="00194191"/>
    <w:rsid w:val="00194E41"/>
    <w:rsid w:val="00195617"/>
    <w:rsid w:val="00196308"/>
    <w:rsid w:val="001A07EF"/>
    <w:rsid w:val="001A1D7F"/>
    <w:rsid w:val="001A384E"/>
    <w:rsid w:val="001A46C0"/>
    <w:rsid w:val="001A4D7A"/>
    <w:rsid w:val="001A572D"/>
    <w:rsid w:val="001A76DF"/>
    <w:rsid w:val="001B2BE1"/>
    <w:rsid w:val="001B362C"/>
    <w:rsid w:val="001B48C1"/>
    <w:rsid w:val="001B4B49"/>
    <w:rsid w:val="001B4D8D"/>
    <w:rsid w:val="001B4E68"/>
    <w:rsid w:val="001B6465"/>
    <w:rsid w:val="001B686B"/>
    <w:rsid w:val="001B6D27"/>
    <w:rsid w:val="001C14F0"/>
    <w:rsid w:val="001C2BC7"/>
    <w:rsid w:val="001C40FE"/>
    <w:rsid w:val="001C4DC7"/>
    <w:rsid w:val="001C67E9"/>
    <w:rsid w:val="001C6EA9"/>
    <w:rsid w:val="001D049C"/>
    <w:rsid w:val="001D0F0E"/>
    <w:rsid w:val="001D11CF"/>
    <w:rsid w:val="001D15B9"/>
    <w:rsid w:val="001D3FFD"/>
    <w:rsid w:val="001D478C"/>
    <w:rsid w:val="001D5560"/>
    <w:rsid w:val="001D56E6"/>
    <w:rsid w:val="001D7187"/>
    <w:rsid w:val="001D7511"/>
    <w:rsid w:val="001D7A8A"/>
    <w:rsid w:val="001D7F2A"/>
    <w:rsid w:val="001E0958"/>
    <w:rsid w:val="001E215A"/>
    <w:rsid w:val="001E236F"/>
    <w:rsid w:val="001E2990"/>
    <w:rsid w:val="001E414B"/>
    <w:rsid w:val="001E45FF"/>
    <w:rsid w:val="001E55F1"/>
    <w:rsid w:val="001E646B"/>
    <w:rsid w:val="001F0142"/>
    <w:rsid w:val="001F0F18"/>
    <w:rsid w:val="001F12FC"/>
    <w:rsid w:val="001F13B5"/>
    <w:rsid w:val="001F1A78"/>
    <w:rsid w:val="001F20C4"/>
    <w:rsid w:val="001F2120"/>
    <w:rsid w:val="001F29B3"/>
    <w:rsid w:val="001F2FE2"/>
    <w:rsid w:val="001F43F7"/>
    <w:rsid w:val="001F5104"/>
    <w:rsid w:val="001F52DC"/>
    <w:rsid w:val="001F6A15"/>
    <w:rsid w:val="001F6D61"/>
    <w:rsid w:val="001F758A"/>
    <w:rsid w:val="00200DF9"/>
    <w:rsid w:val="00201DBF"/>
    <w:rsid w:val="00201F20"/>
    <w:rsid w:val="00202010"/>
    <w:rsid w:val="002045B1"/>
    <w:rsid w:val="00204A50"/>
    <w:rsid w:val="00206A68"/>
    <w:rsid w:val="00206D3A"/>
    <w:rsid w:val="00207324"/>
    <w:rsid w:val="00207EC1"/>
    <w:rsid w:val="00211571"/>
    <w:rsid w:val="0021254C"/>
    <w:rsid w:val="00212FB9"/>
    <w:rsid w:val="0021349C"/>
    <w:rsid w:val="00213C51"/>
    <w:rsid w:val="002209F5"/>
    <w:rsid w:val="0022174F"/>
    <w:rsid w:val="00222540"/>
    <w:rsid w:val="00224856"/>
    <w:rsid w:val="00224AD9"/>
    <w:rsid w:val="00224C37"/>
    <w:rsid w:val="00226B70"/>
    <w:rsid w:val="00230A1C"/>
    <w:rsid w:val="00231F00"/>
    <w:rsid w:val="00232A2D"/>
    <w:rsid w:val="002346A6"/>
    <w:rsid w:val="00234AC3"/>
    <w:rsid w:val="00235766"/>
    <w:rsid w:val="0023596E"/>
    <w:rsid w:val="00236633"/>
    <w:rsid w:val="0023681B"/>
    <w:rsid w:val="0023691F"/>
    <w:rsid w:val="00236BAC"/>
    <w:rsid w:val="002372AD"/>
    <w:rsid w:val="00240933"/>
    <w:rsid w:val="002418C2"/>
    <w:rsid w:val="0024377D"/>
    <w:rsid w:val="0024563B"/>
    <w:rsid w:val="00247520"/>
    <w:rsid w:val="00254D33"/>
    <w:rsid w:val="00256629"/>
    <w:rsid w:val="002568FD"/>
    <w:rsid w:val="00257232"/>
    <w:rsid w:val="00257765"/>
    <w:rsid w:val="002608CA"/>
    <w:rsid w:val="00260A76"/>
    <w:rsid w:val="0026135E"/>
    <w:rsid w:val="00261CE1"/>
    <w:rsid w:val="002625D7"/>
    <w:rsid w:val="002639B3"/>
    <w:rsid w:val="00264AC7"/>
    <w:rsid w:val="00265CA1"/>
    <w:rsid w:val="00266653"/>
    <w:rsid w:val="00270A40"/>
    <w:rsid w:val="002710A7"/>
    <w:rsid w:val="002712C9"/>
    <w:rsid w:val="00271FCB"/>
    <w:rsid w:val="0027292D"/>
    <w:rsid w:val="00272A50"/>
    <w:rsid w:val="002730BA"/>
    <w:rsid w:val="0027376C"/>
    <w:rsid w:val="002741EB"/>
    <w:rsid w:val="00274A38"/>
    <w:rsid w:val="002769BB"/>
    <w:rsid w:val="00276AA7"/>
    <w:rsid w:val="00280086"/>
    <w:rsid w:val="00280181"/>
    <w:rsid w:val="00280764"/>
    <w:rsid w:val="002818DE"/>
    <w:rsid w:val="0028294B"/>
    <w:rsid w:val="00283B52"/>
    <w:rsid w:val="00285859"/>
    <w:rsid w:val="00286AC0"/>
    <w:rsid w:val="00287780"/>
    <w:rsid w:val="00287C14"/>
    <w:rsid w:val="00287E6F"/>
    <w:rsid w:val="00290011"/>
    <w:rsid w:val="00290012"/>
    <w:rsid w:val="00290CEE"/>
    <w:rsid w:val="0029403B"/>
    <w:rsid w:val="0029589A"/>
    <w:rsid w:val="00296469"/>
    <w:rsid w:val="00296EB3"/>
    <w:rsid w:val="00297F7F"/>
    <w:rsid w:val="002A025C"/>
    <w:rsid w:val="002A109B"/>
    <w:rsid w:val="002A1D52"/>
    <w:rsid w:val="002A1EF5"/>
    <w:rsid w:val="002A217D"/>
    <w:rsid w:val="002A2532"/>
    <w:rsid w:val="002A30C4"/>
    <w:rsid w:val="002A45AD"/>
    <w:rsid w:val="002B0564"/>
    <w:rsid w:val="002B130B"/>
    <w:rsid w:val="002B1F3C"/>
    <w:rsid w:val="002B26A1"/>
    <w:rsid w:val="002B3717"/>
    <w:rsid w:val="002B3B0F"/>
    <w:rsid w:val="002B3DF1"/>
    <w:rsid w:val="002B52F9"/>
    <w:rsid w:val="002B6B70"/>
    <w:rsid w:val="002B7395"/>
    <w:rsid w:val="002C2A3C"/>
    <w:rsid w:val="002C2A84"/>
    <w:rsid w:val="002C4078"/>
    <w:rsid w:val="002C44A1"/>
    <w:rsid w:val="002C5727"/>
    <w:rsid w:val="002C57F8"/>
    <w:rsid w:val="002C6090"/>
    <w:rsid w:val="002C6E96"/>
    <w:rsid w:val="002D1420"/>
    <w:rsid w:val="002D142F"/>
    <w:rsid w:val="002D1822"/>
    <w:rsid w:val="002D3E58"/>
    <w:rsid w:val="002D7498"/>
    <w:rsid w:val="002E0614"/>
    <w:rsid w:val="002E0E59"/>
    <w:rsid w:val="002E1215"/>
    <w:rsid w:val="002E1561"/>
    <w:rsid w:val="002E1C81"/>
    <w:rsid w:val="002E20A7"/>
    <w:rsid w:val="002E2B24"/>
    <w:rsid w:val="002E4A98"/>
    <w:rsid w:val="002E71E1"/>
    <w:rsid w:val="002E79EE"/>
    <w:rsid w:val="002F4698"/>
    <w:rsid w:val="002F6224"/>
    <w:rsid w:val="002F6A56"/>
    <w:rsid w:val="002F7720"/>
    <w:rsid w:val="002F7739"/>
    <w:rsid w:val="002F7842"/>
    <w:rsid w:val="003017D9"/>
    <w:rsid w:val="00301B72"/>
    <w:rsid w:val="00301E2E"/>
    <w:rsid w:val="00302619"/>
    <w:rsid w:val="00302725"/>
    <w:rsid w:val="00302FD2"/>
    <w:rsid w:val="0030453F"/>
    <w:rsid w:val="00304A55"/>
    <w:rsid w:val="00305552"/>
    <w:rsid w:val="003065CC"/>
    <w:rsid w:val="00307E63"/>
    <w:rsid w:val="003125DB"/>
    <w:rsid w:val="00313439"/>
    <w:rsid w:val="003158D2"/>
    <w:rsid w:val="00315D4B"/>
    <w:rsid w:val="0031608B"/>
    <w:rsid w:val="003167EF"/>
    <w:rsid w:val="00317215"/>
    <w:rsid w:val="00317565"/>
    <w:rsid w:val="003216D3"/>
    <w:rsid w:val="00322DFC"/>
    <w:rsid w:val="0032467B"/>
    <w:rsid w:val="003250E0"/>
    <w:rsid w:val="00327E1B"/>
    <w:rsid w:val="003307A5"/>
    <w:rsid w:val="003319C9"/>
    <w:rsid w:val="00332071"/>
    <w:rsid w:val="003329FA"/>
    <w:rsid w:val="00333492"/>
    <w:rsid w:val="00334181"/>
    <w:rsid w:val="003361C4"/>
    <w:rsid w:val="00336C76"/>
    <w:rsid w:val="00337D55"/>
    <w:rsid w:val="003407BD"/>
    <w:rsid w:val="003415BF"/>
    <w:rsid w:val="00342375"/>
    <w:rsid w:val="0034282A"/>
    <w:rsid w:val="00342D54"/>
    <w:rsid w:val="003447CF"/>
    <w:rsid w:val="00345345"/>
    <w:rsid w:val="003455E4"/>
    <w:rsid w:val="00345860"/>
    <w:rsid w:val="00347291"/>
    <w:rsid w:val="00350381"/>
    <w:rsid w:val="00350D1B"/>
    <w:rsid w:val="00352566"/>
    <w:rsid w:val="00353C6D"/>
    <w:rsid w:val="00353E5F"/>
    <w:rsid w:val="00354884"/>
    <w:rsid w:val="003558AD"/>
    <w:rsid w:val="003558FC"/>
    <w:rsid w:val="00355FF1"/>
    <w:rsid w:val="003565D3"/>
    <w:rsid w:val="0036098E"/>
    <w:rsid w:val="00360D8B"/>
    <w:rsid w:val="0036140B"/>
    <w:rsid w:val="003629C1"/>
    <w:rsid w:val="003637FA"/>
    <w:rsid w:val="00367D6D"/>
    <w:rsid w:val="003710BF"/>
    <w:rsid w:val="003728C6"/>
    <w:rsid w:val="00372AE5"/>
    <w:rsid w:val="00373009"/>
    <w:rsid w:val="00374800"/>
    <w:rsid w:val="003749E6"/>
    <w:rsid w:val="00376375"/>
    <w:rsid w:val="00377392"/>
    <w:rsid w:val="003814AB"/>
    <w:rsid w:val="003816E5"/>
    <w:rsid w:val="0038485C"/>
    <w:rsid w:val="00384CC2"/>
    <w:rsid w:val="00385C13"/>
    <w:rsid w:val="00386875"/>
    <w:rsid w:val="00386966"/>
    <w:rsid w:val="0038798C"/>
    <w:rsid w:val="00390EDF"/>
    <w:rsid w:val="00391094"/>
    <w:rsid w:val="00391713"/>
    <w:rsid w:val="00391B2C"/>
    <w:rsid w:val="00393644"/>
    <w:rsid w:val="00397B28"/>
    <w:rsid w:val="003A1B87"/>
    <w:rsid w:val="003A2DAD"/>
    <w:rsid w:val="003A3367"/>
    <w:rsid w:val="003A34B9"/>
    <w:rsid w:val="003A50C1"/>
    <w:rsid w:val="003A51EC"/>
    <w:rsid w:val="003A52CB"/>
    <w:rsid w:val="003A5A07"/>
    <w:rsid w:val="003A5AAD"/>
    <w:rsid w:val="003B2070"/>
    <w:rsid w:val="003B325E"/>
    <w:rsid w:val="003B38C3"/>
    <w:rsid w:val="003B4428"/>
    <w:rsid w:val="003B4B4C"/>
    <w:rsid w:val="003B5136"/>
    <w:rsid w:val="003B5E82"/>
    <w:rsid w:val="003B6C8F"/>
    <w:rsid w:val="003B7727"/>
    <w:rsid w:val="003B798E"/>
    <w:rsid w:val="003B7A3E"/>
    <w:rsid w:val="003B7C66"/>
    <w:rsid w:val="003C0E2C"/>
    <w:rsid w:val="003C1144"/>
    <w:rsid w:val="003C13D1"/>
    <w:rsid w:val="003C4E68"/>
    <w:rsid w:val="003C4F2D"/>
    <w:rsid w:val="003C6EB5"/>
    <w:rsid w:val="003D0652"/>
    <w:rsid w:val="003D0CD0"/>
    <w:rsid w:val="003D17F8"/>
    <w:rsid w:val="003D1995"/>
    <w:rsid w:val="003D6980"/>
    <w:rsid w:val="003D6F6D"/>
    <w:rsid w:val="003D7F35"/>
    <w:rsid w:val="003E162F"/>
    <w:rsid w:val="003E2E85"/>
    <w:rsid w:val="003E327B"/>
    <w:rsid w:val="003E3C63"/>
    <w:rsid w:val="003E48DA"/>
    <w:rsid w:val="003E5888"/>
    <w:rsid w:val="003E7E11"/>
    <w:rsid w:val="003F0D57"/>
    <w:rsid w:val="003F2368"/>
    <w:rsid w:val="003F3FF5"/>
    <w:rsid w:val="003F4C86"/>
    <w:rsid w:val="003F5AF4"/>
    <w:rsid w:val="003F767C"/>
    <w:rsid w:val="00400963"/>
    <w:rsid w:val="004016A0"/>
    <w:rsid w:val="00401CAA"/>
    <w:rsid w:val="004027D2"/>
    <w:rsid w:val="0040421F"/>
    <w:rsid w:val="00404B8B"/>
    <w:rsid w:val="00404BB0"/>
    <w:rsid w:val="00405078"/>
    <w:rsid w:val="00405DFC"/>
    <w:rsid w:val="004068EF"/>
    <w:rsid w:val="00407824"/>
    <w:rsid w:val="00410543"/>
    <w:rsid w:val="00410D69"/>
    <w:rsid w:val="00410FDE"/>
    <w:rsid w:val="004110EA"/>
    <w:rsid w:val="00412789"/>
    <w:rsid w:val="00413D90"/>
    <w:rsid w:val="004147D1"/>
    <w:rsid w:val="00414FC3"/>
    <w:rsid w:val="004179B7"/>
    <w:rsid w:val="00420BFC"/>
    <w:rsid w:val="00421344"/>
    <w:rsid w:val="004224B2"/>
    <w:rsid w:val="00422A79"/>
    <w:rsid w:val="00422C7E"/>
    <w:rsid w:val="00423517"/>
    <w:rsid w:val="00423525"/>
    <w:rsid w:val="00424995"/>
    <w:rsid w:val="00424FB3"/>
    <w:rsid w:val="00425383"/>
    <w:rsid w:val="004264A3"/>
    <w:rsid w:val="00427D30"/>
    <w:rsid w:val="00430A85"/>
    <w:rsid w:val="004316BF"/>
    <w:rsid w:val="00431FE2"/>
    <w:rsid w:val="0043431C"/>
    <w:rsid w:val="00434439"/>
    <w:rsid w:val="00434A86"/>
    <w:rsid w:val="0043775A"/>
    <w:rsid w:val="004418D7"/>
    <w:rsid w:val="00441BDC"/>
    <w:rsid w:val="00441E16"/>
    <w:rsid w:val="00443A93"/>
    <w:rsid w:val="00444B9A"/>
    <w:rsid w:val="00445F40"/>
    <w:rsid w:val="00445F55"/>
    <w:rsid w:val="0044610B"/>
    <w:rsid w:val="00446E22"/>
    <w:rsid w:val="00450472"/>
    <w:rsid w:val="00452CCD"/>
    <w:rsid w:val="00452DAD"/>
    <w:rsid w:val="0046139F"/>
    <w:rsid w:val="0046419C"/>
    <w:rsid w:val="0046633E"/>
    <w:rsid w:val="00466967"/>
    <w:rsid w:val="00467947"/>
    <w:rsid w:val="0047143E"/>
    <w:rsid w:val="004719BF"/>
    <w:rsid w:val="0048246A"/>
    <w:rsid w:val="00482E33"/>
    <w:rsid w:val="004855AC"/>
    <w:rsid w:val="00485DCE"/>
    <w:rsid w:val="00486E2C"/>
    <w:rsid w:val="0048712D"/>
    <w:rsid w:val="00487B59"/>
    <w:rsid w:val="004904F8"/>
    <w:rsid w:val="00490BF3"/>
    <w:rsid w:val="00490EC6"/>
    <w:rsid w:val="0049217D"/>
    <w:rsid w:val="004925C7"/>
    <w:rsid w:val="00492CC2"/>
    <w:rsid w:val="004935AF"/>
    <w:rsid w:val="00494198"/>
    <w:rsid w:val="00494BED"/>
    <w:rsid w:val="004954FC"/>
    <w:rsid w:val="00496B9F"/>
    <w:rsid w:val="00496C65"/>
    <w:rsid w:val="00496F03"/>
    <w:rsid w:val="004977F2"/>
    <w:rsid w:val="0049795C"/>
    <w:rsid w:val="004A0023"/>
    <w:rsid w:val="004A026C"/>
    <w:rsid w:val="004A1EA1"/>
    <w:rsid w:val="004A4256"/>
    <w:rsid w:val="004A4BC2"/>
    <w:rsid w:val="004A67B9"/>
    <w:rsid w:val="004A6FDC"/>
    <w:rsid w:val="004B196B"/>
    <w:rsid w:val="004B2F3C"/>
    <w:rsid w:val="004B372E"/>
    <w:rsid w:val="004B3B62"/>
    <w:rsid w:val="004B5B2D"/>
    <w:rsid w:val="004B6BE3"/>
    <w:rsid w:val="004C0E46"/>
    <w:rsid w:val="004C1641"/>
    <w:rsid w:val="004C16E9"/>
    <w:rsid w:val="004C17C0"/>
    <w:rsid w:val="004C3754"/>
    <w:rsid w:val="004C3E50"/>
    <w:rsid w:val="004C44AD"/>
    <w:rsid w:val="004C49F9"/>
    <w:rsid w:val="004C4ED3"/>
    <w:rsid w:val="004C517C"/>
    <w:rsid w:val="004D03D4"/>
    <w:rsid w:val="004D1494"/>
    <w:rsid w:val="004D1D28"/>
    <w:rsid w:val="004D2876"/>
    <w:rsid w:val="004D558A"/>
    <w:rsid w:val="004D694D"/>
    <w:rsid w:val="004D7CE0"/>
    <w:rsid w:val="004E3699"/>
    <w:rsid w:val="004E38E1"/>
    <w:rsid w:val="004E3D0E"/>
    <w:rsid w:val="004E41D0"/>
    <w:rsid w:val="004E48CE"/>
    <w:rsid w:val="004E5008"/>
    <w:rsid w:val="004E5734"/>
    <w:rsid w:val="004F062E"/>
    <w:rsid w:val="004F0BC6"/>
    <w:rsid w:val="004F11F7"/>
    <w:rsid w:val="004F1D6C"/>
    <w:rsid w:val="004F423D"/>
    <w:rsid w:val="004F47E2"/>
    <w:rsid w:val="004F5295"/>
    <w:rsid w:val="004F5694"/>
    <w:rsid w:val="004F5A78"/>
    <w:rsid w:val="004F5F31"/>
    <w:rsid w:val="0050045B"/>
    <w:rsid w:val="00500A77"/>
    <w:rsid w:val="00502114"/>
    <w:rsid w:val="00502200"/>
    <w:rsid w:val="0050272C"/>
    <w:rsid w:val="00503DBA"/>
    <w:rsid w:val="00505F49"/>
    <w:rsid w:val="005069DA"/>
    <w:rsid w:val="005073E8"/>
    <w:rsid w:val="00507FB7"/>
    <w:rsid w:val="0051353B"/>
    <w:rsid w:val="00513EDA"/>
    <w:rsid w:val="00515342"/>
    <w:rsid w:val="0051565A"/>
    <w:rsid w:val="00515FBC"/>
    <w:rsid w:val="00516D6B"/>
    <w:rsid w:val="00521448"/>
    <w:rsid w:val="00522FAF"/>
    <w:rsid w:val="0052361E"/>
    <w:rsid w:val="00524696"/>
    <w:rsid w:val="00525486"/>
    <w:rsid w:val="00525704"/>
    <w:rsid w:val="0052573E"/>
    <w:rsid w:val="00525BC0"/>
    <w:rsid w:val="00526794"/>
    <w:rsid w:val="00530EBA"/>
    <w:rsid w:val="005310DC"/>
    <w:rsid w:val="00534346"/>
    <w:rsid w:val="00534A02"/>
    <w:rsid w:val="00535230"/>
    <w:rsid w:val="00536861"/>
    <w:rsid w:val="005411A6"/>
    <w:rsid w:val="00541608"/>
    <w:rsid w:val="00541DCF"/>
    <w:rsid w:val="00542FC3"/>
    <w:rsid w:val="005439C4"/>
    <w:rsid w:val="00543CEC"/>
    <w:rsid w:val="00545831"/>
    <w:rsid w:val="005470DC"/>
    <w:rsid w:val="0054778F"/>
    <w:rsid w:val="0055024C"/>
    <w:rsid w:val="005506B5"/>
    <w:rsid w:val="005525FD"/>
    <w:rsid w:val="00552747"/>
    <w:rsid w:val="00553A69"/>
    <w:rsid w:val="00554527"/>
    <w:rsid w:val="00554645"/>
    <w:rsid w:val="00554B0B"/>
    <w:rsid w:val="00554F58"/>
    <w:rsid w:val="005550F3"/>
    <w:rsid w:val="00556A60"/>
    <w:rsid w:val="005600EA"/>
    <w:rsid w:val="00560C4A"/>
    <w:rsid w:val="00562CD1"/>
    <w:rsid w:val="00563AF1"/>
    <w:rsid w:val="00565115"/>
    <w:rsid w:val="005663EC"/>
    <w:rsid w:val="005667B9"/>
    <w:rsid w:val="005712B6"/>
    <w:rsid w:val="00571605"/>
    <w:rsid w:val="00573629"/>
    <w:rsid w:val="005770EF"/>
    <w:rsid w:val="00577688"/>
    <w:rsid w:val="0057784C"/>
    <w:rsid w:val="00577DA5"/>
    <w:rsid w:val="005802D2"/>
    <w:rsid w:val="005815A8"/>
    <w:rsid w:val="005818CA"/>
    <w:rsid w:val="0058259A"/>
    <w:rsid w:val="0058549B"/>
    <w:rsid w:val="0058569A"/>
    <w:rsid w:val="005858E8"/>
    <w:rsid w:val="00585C8D"/>
    <w:rsid w:val="005862CD"/>
    <w:rsid w:val="00586EBD"/>
    <w:rsid w:val="00587749"/>
    <w:rsid w:val="0059016E"/>
    <w:rsid w:val="005910A5"/>
    <w:rsid w:val="00591793"/>
    <w:rsid w:val="00591984"/>
    <w:rsid w:val="00591BD4"/>
    <w:rsid w:val="005921E5"/>
    <w:rsid w:val="00593AA0"/>
    <w:rsid w:val="00593DE8"/>
    <w:rsid w:val="00595792"/>
    <w:rsid w:val="005969F2"/>
    <w:rsid w:val="005A002A"/>
    <w:rsid w:val="005A095B"/>
    <w:rsid w:val="005A0DC9"/>
    <w:rsid w:val="005A29C7"/>
    <w:rsid w:val="005A2EE0"/>
    <w:rsid w:val="005A2EF1"/>
    <w:rsid w:val="005A44F8"/>
    <w:rsid w:val="005A52F3"/>
    <w:rsid w:val="005A5BBF"/>
    <w:rsid w:val="005A64F2"/>
    <w:rsid w:val="005A6F46"/>
    <w:rsid w:val="005B1B9C"/>
    <w:rsid w:val="005B25CE"/>
    <w:rsid w:val="005B30FF"/>
    <w:rsid w:val="005B37FB"/>
    <w:rsid w:val="005B3CE0"/>
    <w:rsid w:val="005B4014"/>
    <w:rsid w:val="005B4960"/>
    <w:rsid w:val="005B5692"/>
    <w:rsid w:val="005B572F"/>
    <w:rsid w:val="005B66B7"/>
    <w:rsid w:val="005C0DD1"/>
    <w:rsid w:val="005C3745"/>
    <w:rsid w:val="005C460D"/>
    <w:rsid w:val="005C4A37"/>
    <w:rsid w:val="005C4BAD"/>
    <w:rsid w:val="005C6837"/>
    <w:rsid w:val="005D1374"/>
    <w:rsid w:val="005D2D9E"/>
    <w:rsid w:val="005D3A30"/>
    <w:rsid w:val="005D6891"/>
    <w:rsid w:val="005D7E92"/>
    <w:rsid w:val="005E1DD7"/>
    <w:rsid w:val="005E2E7F"/>
    <w:rsid w:val="005E4E50"/>
    <w:rsid w:val="005E548D"/>
    <w:rsid w:val="005E7DA2"/>
    <w:rsid w:val="005F0336"/>
    <w:rsid w:val="005F0703"/>
    <w:rsid w:val="005F0F09"/>
    <w:rsid w:val="005F16C5"/>
    <w:rsid w:val="005F28E2"/>
    <w:rsid w:val="005F5461"/>
    <w:rsid w:val="005F663E"/>
    <w:rsid w:val="006001B4"/>
    <w:rsid w:val="00600BAD"/>
    <w:rsid w:val="006012A7"/>
    <w:rsid w:val="00602A9A"/>
    <w:rsid w:val="006034F9"/>
    <w:rsid w:val="00603BD4"/>
    <w:rsid w:val="00603BFC"/>
    <w:rsid w:val="00604830"/>
    <w:rsid w:val="0060707D"/>
    <w:rsid w:val="00607292"/>
    <w:rsid w:val="006073A3"/>
    <w:rsid w:val="006111F6"/>
    <w:rsid w:val="006113C8"/>
    <w:rsid w:val="006148D7"/>
    <w:rsid w:val="00615DB3"/>
    <w:rsid w:val="006163CB"/>
    <w:rsid w:val="0061662F"/>
    <w:rsid w:val="006166AE"/>
    <w:rsid w:val="00617C73"/>
    <w:rsid w:val="00617E31"/>
    <w:rsid w:val="00621489"/>
    <w:rsid w:val="00621629"/>
    <w:rsid w:val="00621ED4"/>
    <w:rsid w:val="006223E2"/>
    <w:rsid w:val="006239D5"/>
    <w:rsid w:val="00624421"/>
    <w:rsid w:val="0062488B"/>
    <w:rsid w:val="00625CCF"/>
    <w:rsid w:val="00626023"/>
    <w:rsid w:val="0062694E"/>
    <w:rsid w:val="00630D7C"/>
    <w:rsid w:val="006320FC"/>
    <w:rsid w:val="00633667"/>
    <w:rsid w:val="0063493C"/>
    <w:rsid w:val="0063590C"/>
    <w:rsid w:val="006372C0"/>
    <w:rsid w:val="00640858"/>
    <w:rsid w:val="00640E7F"/>
    <w:rsid w:val="00641A38"/>
    <w:rsid w:val="00642C86"/>
    <w:rsid w:val="00645149"/>
    <w:rsid w:val="00647469"/>
    <w:rsid w:val="00650876"/>
    <w:rsid w:val="00651013"/>
    <w:rsid w:val="00652928"/>
    <w:rsid w:val="0065308D"/>
    <w:rsid w:val="00654376"/>
    <w:rsid w:val="006543D3"/>
    <w:rsid w:val="006551E6"/>
    <w:rsid w:val="0065563F"/>
    <w:rsid w:val="00656139"/>
    <w:rsid w:val="0065650B"/>
    <w:rsid w:val="006573A1"/>
    <w:rsid w:val="00657D56"/>
    <w:rsid w:val="0066029C"/>
    <w:rsid w:val="00661435"/>
    <w:rsid w:val="0066174C"/>
    <w:rsid w:val="006619E1"/>
    <w:rsid w:val="00662A0C"/>
    <w:rsid w:val="00663D87"/>
    <w:rsid w:val="0066762A"/>
    <w:rsid w:val="00667E16"/>
    <w:rsid w:val="00670722"/>
    <w:rsid w:val="00670BE1"/>
    <w:rsid w:val="00670D07"/>
    <w:rsid w:val="006710C0"/>
    <w:rsid w:val="00673507"/>
    <w:rsid w:val="00673F66"/>
    <w:rsid w:val="00674B53"/>
    <w:rsid w:val="0067565F"/>
    <w:rsid w:val="00675922"/>
    <w:rsid w:val="00676F55"/>
    <w:rsid w:val="006804BA"/>
    <w:rsid w:val="00681265"/>
    <w:rsid w:val="00682362"/>
    <w:rsid w:val="00684054"/>
    <w:rsid w:val="00685871"/>
    <w:rsid w:val="00687327"/>
    <w:rsid w:val="0069000D"/>
    <w:rsid w:val="00693917"/>
    <w:rsid w:val="00693D6C"/>
    <w:rsid w:val="00697D90"/>
    <w:rsid w:val="006A1665"/>
    <w:rsid w:val="006A221F"/>
    <w:rsid w:val="006A3C6D"/>
    <w:rsid w:val="006A3E0C"/>
    <w:rsid w:val="006A4D7F"/>
    <w:rsid w:val="006A6C7D"/>
    <w:rsid w:val="006A6DF3"/>
    <w:rsid w:val="006A7656"/>
    <w:rsid w:val="006A7711"/>
    <w:rsid w:val="006A7C1B"/>
    <w:rsid w:val="006B17AD"/>
    <w:rsid w:val="006B47B1"/>
    <w:rsid w:val="006C2097"/>
    <w:rsid w:val="006C20AC"/>
    <w:rsid w:val="006C3B88"/>
    <w:rsid w:val="006C433A"/>
    <w:rsid w:val="006C4545"/>
    <w:rsid w:val="006C4D2F"/>
    <w:rsid w:val="006C5BE0"/>
    <w:rsid w:val="006C7DC2"/>
    <w:rsid w:val="006D0AEF"/>
    <w:rsid w:val="006D1108"/>
    <w:rsid w:val="006D25EE"/>
    <w:rsid w:val="006D29F1"/>
    <w:rsid w:val="006D3813"/>
    <w:rsid w:val="006D5A0D"/>
    <w:rsid w:val="006D6399"/>
    <w:rsid w:val="006D7F37"/>
    <w:rsid w:val="006E10F2"/>
    <w:rsid w:val="006E29BA"/>
    <w:rsid w:val="006E3DE3"/>
    <w:rsid w:val="006E7E54"/>
    <w:rsid w:val="006F0348"/>
    <w:rsid w:val="006F1027"/>
    <w:rsid w:val="006F1BD8"/>
    <w:rsid w:val="006F210A"/>
    <w:rsid w:val="006F36F0"/>
    <w:rsid w:val="006F61B5"/>
    <w:rsid w:val="006F688B"/>
    <w:rsid w:val="0070292A"/>
    <w:rsid w:val="00704585"/>
    <w:rsid w:val="007046B0"/>
    <w:rsid w:val="00705F5E"/>
    <w:rsid w:val="00706191"/>
    <w:rsid w:val="00706A89"/>
    <w:rsid w:val="00706C76"/>
    <w:rsid w:val="00711217"/>
    <w:rsid w:val="00711261"/>
    <w:rsid w:val="0071144D"/>
    <w:rsid w:val="007114D0"/>
    <w:rsid w:val="007129E4"/>
    <w:rsid w:val="00713E46"/>
    <w:rsid w:val="007157F6"/>
    <w:rsid w:val="00715822"/>
    <w:rsid w:val="00716275"/>
    <w:rsid w:val="0071650C"/>
    <w:rsid w:val="00717250"/>
    <w:rsid w:val="00720B22"/>
    <w:rsid w:val="00721C1E"/>
    <w:rsid w:val="00722010"/>
    <w:rsid w:val="00722489"/>
    <w:rsid w:val="007224A5"/>
    <w:rsid w:val="00724FFC"/>
    <w:rsid w:val="007250EA"/>
    <w:rsid w:val="007259CF"/>
    <w:rsid w:val="0072784B"/>
    <w:rsid w:val="007323A5"/>
    <w:rsid w:val="00734773"/>
    <w:rsid w:val="0073529B"/>
    <w:rsid w:val="00735A28"/>
    <w:rsid w:val="00736ABF"/>
    <w:rsid w:val="00736C8E"/>
    <w:rsid w:val="007405A8"/>
    <w:rsid w:val="007424CA"/>
    <w:rsid w:val="00742EC7"/>
    <w:rsid w:val="0074344B"/>
    <w:rsid w:val="00743F26"/>
    <w:rsid w:val="0075017D"/>
    <w:rsid w:val="00750ECA"/>
    <w:rsid w:val="007513E6"/>
    <w:rsid w:val="00751FC4"/>
    <w:rsid w:val="0075221D"/>
    <w:rsid w:val="0075307D"/>
    <w:rsid w:val="0075366A"/>
    <w:rsid w:val="007536A5"/>
    <w:rsid w:val="00753C20"/>
    <w:rsid w:val="00755359"/>
    <w:rsid w:val="0075582F"/>
    <w:rsid w:val="00757A2C"/>
    <w:rsid w:val="00761C64"/>
    <w:rsid w:val="00763528"/>
    <w:rsid w:val="00763533"/>
    <w:rsid w:val="0076401F"/>
    <w:rsid w:val="00764B58"/>
    <w:rsid w:val="007650D5"/>
    <w:rsid w:val="0076544F"/>
    <w:rsid w:val="00766442"/>
    <w:rsid w:val="00766467"/>
    <w:rsid w:val="00771071"/>
    <w:rsid w:val="007728BB"/>
    <w:rsid w:val="00775EC5"/>
    <w:rsid w:val="007767C6"/>
    <w:rsid w:val="00776906"/>
    <w:rsid w:val="0077745A"/>
    <w:rsid w:val="00777E6A"/>
    <w:rsid w:val="00781846"/>
    <w:rsid w:val="00785D3F"/>
    <w:rsid w:val="0078654D"/>
    <w:rsid w:val="00787462"/>
    <w:rsid w:val="00790658"/>
    <w:rsid w:val="00790AE6"/>
    <w:rsid w:val="007919FE"/>
    <w:rsid w:val="0079548C"/>
    <w:rsid w:val="00795B1C"/>
    <w:rsid w:val="0079759C"/>
    <w:rsid w:val="00797B9B"/>
    <w:rsid w:val="007A2D79"/>
    <w:rsid w:val="007A4638"/>
    <w:rsid w:val="007A4F05"/>
    <w:rsid w:val="007A51B2"/>
    <w:rsid w:val="007A6DD0"/>
    <w:rsid w:val="007B19BD"/>
    <w:rsid w:val="007B2D1D"/>
    <w:rsid w:val="007B341E"/>
    <w:rsid w:val="007B71EE"/>
    <w:rsid w:val="007C0812"/>
    <w:rsid w:val="007C1220"/>
    <w:rsid w:val="007C1CA4"/>
    <w:rsid w:val="007C1D27"/>
    <w:rsid w:val="007C2088"/>
    <w:rsid w:val="007C3DF5"/>
    <w:rsid w:val="007C4793"/>
    <w:rsid w:val="007C74B7"/>
    <w:rsid w:val="007C7D11"/>
    <w:rsid w:val="007C7D29"/>
    <w:rsid w:val="007D44EF"/>
    <w:rsid w:val="007D56E8"/>
    <w:rsid w:val="007D5E63"/>
    <w:rsid w:val="007D7399"/>
    <w:rsid w:val="007D7B5C"/>
    <w:rsid w:val="007D7E86"/>
    <w:rsid w:val="007E09F5"/>
    <w:rsid w:val="007E0F01"/>
    <w:rsid w:val="007E1C12"/>
    <w:rsid w:val="007E2991"/>
    <w:rsid w:val="007E2F34"/>
    <w:rsid w:val="007E3030"/>
    <w:rsid w:val="007E3165"/>
    <w:rsid w:val="007E4749"/>
    <w:rsid w:val="007E5FB0"/>
    <w:rsid w:val="007E72ED"/>
    <w:rsid w:val="007E743A"/>
    <w:rsid w:val="007F0C53"/>
    <w:rsid w:val="007F32B9"/>
    <w:rsid w:val="007F4EB4"/>
    <w:rsid w:val="007F5022"/>
    <w:rsid w:val="007F51E3"/>
    <w:rsid w:val="007F5C44"/>
    <w:rsid w:val="007F734B"/>
    <w:rsid w:val="00802898"/>
    <w:rsid w:val="008039DA"/>
    <w:rsid w:val="00803C19"/>
    <w:rsid w:val="00804E4D"/>
    <w:rsid w:val="00805413"/>
    <w:rsid w:val="0081068C"/>
    <w:rsid w:val="00810E96"/>
    <w:rsid w:val="0081180C"/>
    <w:rsid w:val="00811E08"/>
    <w:rsid w:val="00812BE2"/>
    <w:rsid w:val="00813F0A"/>
    <w:rsid w:val="00814121"/>
    <w:rsid w:val="008152CA"/>
    <w:rsid w:val="00817627"/>
    <w:rsid w:val="00817CCD"/>
    <w:rsid w:val="008203D6"/>
    <w:rsid w:val="0082254E"/>
    <w:rsid w:val="00822CDA"/>
    <w:rsid w:val="00822E26"/>
    <w:rsid w:val="008248A1"/>
    <w:rsid w:val="00824AAD"/>
    <w:rsid w:val="00824D40"/>
    <w:rsid w:val="0082546F"/>
    <w:rsid w:val="00825E5F"/>
    <w:rsid w:val="00825ED3"/>
    <w:rsid w:val="008261C1"/>
    <w:rsid w:val="00827575"/>
    <w:rsid w:val="00830235"/>
    <w:rsid w:val="008306A0"/>
    <w:rsid w:val="00830A71"/>
    <w:rsid w:val="00832E67"/>
    <w:rsid w:val="00833153"/>
    <w:rsid w:val="008333CC"/>
    <w:rsid w:val="008338F6"/>
    <w:rsid w:val="008339AE"/>
    <w:rsid w:val="00835F3C"/>
    <w:rsid w:val="00836CC2"/>
    <w:rsid w:val="008373F4"/>
    <w:rsid w:val="0084011F"/>
    <w:rsid w:val="0084138F"/>
    <w:rsid w:val="00841617"/>
    <w:rsid w:val="008421B4"/>
    <w:rsid w:val="00843300"/>
    <w:rsid w:val="00844EDF"/>
    <w:rsid w:val="008455E7"/>
    <w:rsid w:val="00845DE7"/>
    <w:rsid w:val="008470FA"/>
    <w:rsid w:val="00847182"/>
    <w:rsid w:val="0084792D"/>
    <w:rsid w:val="00847D41"/>
    <w:rsid w:val="00850F01"/>
    <w:rsid w:val="0085114E"/>
    <w:rsid w:val="008514D1"/>
    <w:rsid w:val="00851635"/>
    <w:rsid w:val="00851FFB"/>
    <w:rsid w:val="00852EE1"/>
    <w:rsid w:val="00854B7F"/>
    <w:rsid w:val="008563D5"/>
    <w:rsid w:val="00856CE2"/>
    <w:rsid w:val="00861F8E"/>
    <w:rsid w:val="0086347F"/>
    <w:rsid w:val="008637EC"/>
    <w:rsid w:val="008638D6"/>
    <w:rsid w:val="00864F6E"/>
    <w:rsid w:val="00865244"/>
    <w:rsid w:val="0086538E"/>
    <w:rsid w:val="00865FAF"/>
    <w:rsid w:val="00866F36"/>
    <w:rsid w:val="00867C9F"/>
    <w:rsid w:val="00870BF3"/>
    <w:rsid w:val="0087164C"/>
    <w:rsid w:val="008721C1"/>
    <w:rsid w:val="008744A7"/>
    <w:rsid w:val="00874B11"/>
    <w:rsid w:val="008757CD"/>
    <w:rsid w:val="008761BA"/>
    <w:rsid w:val="00877AB7"/>
    <w:rsid w:val="00881DF6"/>
    <w:rsid w:val="00882D43"/>
    <w:rsid w:val="00884055"/>
    <w:rsid w:val="0088452F"/>
    <w:rsid w:val="00884DF5"/>
    <w:rsid w:val="00884EA4"/>
    <w:rsid w:val="00887819"/>
    <w:rsid w:val="00887959"/>
    <w:rsid w:val="008901F6"/>
    <w:rsid w:val="00890314"/>
    <w:rsid w:val="00890994"/>
    <w:rsid w:val="00893C2A"/>
    <w:rsid w:val="0089620B"/>
    <w:rsid w:val="008A0683"/>
    <w:rsid w:val="008A11E7"/>
    <w:rsid w:val="008A1E23"/>
    <w:rsid w:val="008A2FF7"/>
    <w:rsid w:val="008A34FE"/>
    <w:rsid w:val="008A3F0A"/>
    <w:rsid w:val="008A5878"/>
    <w:rsid w:val="008A5F3D"/>
    <w:rsid w:val="008B00BE"/>
    <w:rsid w:val="008B07D4"/>
    <w:rsid w:val="008B21B8"/>
    <w:rsid w:val="008B24C8"/>
    <w:rsid w:val="008B2770"/>
    <w:rsid w:val="008B2B0E"/>
    <w:rsid w:val="008B6474"/>
    <w:rsid w:val="008B6FC2"/>
    <w:rsid w:val="008B7923"/>
    <w:rsid w:val="008B7DF8"/>
    <w:rsid w:val="008C168C"/>
    <w:rsid w:val="008C2679"/>
    <w:rsid w:val="008C6105"/>
    <w:rsid w:val="008C64F7"/>
    <w:rsid w:val="008C6E96"/>
    <w:rsid w:val="008C7053"/>
    <w:rsid w:val="008D0071"/>
    <w:rsid w:val="008D0459"/>
    <w:rsid w:val="008D1171"/>
    <w:rsid w:val="008D3064"/>
    <w:rsid w:val="008D31EF"/>
    <w:rsid w:val="008D3A73"/>
    <w:rsid w:val="008D49DD"/>
    <w:rsid w:val="008D4B13"/>
    <w:rsid w:val="008D506D"/>
    <w:rsid w:val="008E070B"/>
    <w:rsid w:val="008E0DA5"/>
    <w:rsid w:val="008E1507"/>
    <w:rsid w:val="008E2CA3"/>
    <w:rsid w:val="008E3F0D"/>
    <w:rsid w:val="008E4D13"/>
    <w:rsid w:val="008E4E38"/>
    <w:rsid w:val="008E5538"/>
    <w:rsid w:val="008E5A92"/>
    <w:rsid w:val="008E7D30"/>
    <w:rsid w:val="008F0018"/>
    <w:rsid w:val="008F07FC"/>
    <w:rsid w:val="008F0C78"/>
    <w:rsid w:val="008F123F"/>
    <w:rsid w:val="008F14DA"/>
    <w:rsid w:val="008F1553"/>
    <w:rsid w:val="008F1E4E"/>
    <w:rsid w:val="008F267B"/>
    <w:rsid w:val="008F39E9"/>
    <w:rsid w:val="008F4318"/>
    <w:rsid w:val="008F5FC9"/>
    <w:rsid w:val="008F5FCE"/>
    <w:rsid w:val="008F692A"/>
    <w:rsid w:val="008F7033"/>
    <w:rsid w:val="008F70D9"/>
    <w:rsid w:val="008F72D2"/>
    <w:rsid w:val="008F7A54"/>
    <w:rsid w:val="008F7F37"/>
    <w:rsid w:val="0090407A"/>
    <w:rsid w:val="00904D52"/>
    <w:rsid w:val="00905D52"/>
    <w:rsid w:val="009063DD"/>
    <w:rsid w:val="00906D19"/>
    <w:rsid w:val="00907368"/>
    <w:rsid w:val="00910BD7"/>
    <w:rsid w:val="009114FF"/>
    <w:rsid w:val="00914BE9"/>
    <w:rsid w:val="009157E3"/>
    <w:rsid w:val="00916A05"/>
    <w:rsid w:val="00916AD3"/>
    <w:rsid w:val="00916B96"/>
    <w:rsid w:val="00917060"/>
    <w:rsid w:val="0091789E"/>
    <w:rsid w:val="0092005E"/>
    <w:rsid w:val="00920B12"/>
    <w:rsid w:val="00921FB7"/>
    <w:rsid w:val="009237FA"/>
    <w:rsid w:val="009253AB"/>
    <w:rsid w:val="0092590A"/>
    <w:rsid w:val="00926358"/>
    <w:rsid w:val="00927066"/>
    <w:rsid w:val="00930E6B"/>
    <w:rsid w:val="00930FD0"/>
    <w:rsid w:val="00931458"/>
    <w:rsid w:val="00931FA3"/>
    <w:rsid w:val="00932324"/>
    <w:rsid w:val="009332F8"/>
    <w:rsid w:val="00935DCC"/>
    <w:rsid w:val="00935E11"/>
    <w:rsid w:val="00936071"/>
    <w:rsid w:val="00936755"/>
    <w:rsid w:val="00937401"/>
    <w:rsid w:val="0093768A"/>
    <w:rsid w:val="00937E63"/>
    <w:rsid w:val="00940245"/>
    <w:rsid w:val="00940443"/>
    <w:rsid w:val="00941E3A"/>
    <w:rsid w:val="009424F6"/>
    <w:rsid w:val="00943E82"/>
    <w:rsid w:val="00947E01"/>
    <w:rsid w:val="00947ECD"/>
    <w:rsid w:val="00950410"/>
    <w:rsid w:val="0095172C"/>
    <w:rsid w:val="00952CC9"/>
    <w:rsid w:val="00952DA0"/>
    <w:rsid w:val="009538D7"/>
    <w:rsid w:val="00954B5A"/>
    <w:rsid w:val="0095550B"/>
    <w:rsid w:val="0095601B"/>
    <w:rsid w:val="0095688A"/>
    <w:rsid w:val="00957B68"/>
    <w:rsid w:val="00957CDD"/>
    <w:rsid w:val="009608C6"/>
    <w:rsid w:val="009619E8"/>
    <w:rsid w:val="00961AA1"/>
    <w:rsid w:val="009623AD"/>
    <w:rsid w:val="009638A8"/>
    <w:rsid w:val="0096425C"/>
    <w:rsid w:val="009643E0"/>
    <w:rsid w:val="00964EB0"/>
    <w:rsid w:val="009653F9"/>
    <w:rsid w:val="0096540C"/>
    <w:rsid w:val="0096633E"/>
    <w:rsid w:val="0096633F"/>
    <w:rsid w:val="00966D8E"/>
    <w:rsid w:val="0096705B"/>
    <w:rsid w:val="009707CE"/>
    <w:rsid w:val="009708E7"/>
    <w:rsid w:val="00970B3A"/>
    <w:rsid w:val="00974972"/>
    <w:rsid w:val="009751AE"/>
    <w:rsid w:val="00975270"/>
    <w:rsid w:val="00975537"/>
    <w:rsid w:val="00976366"/>
    <w:rsid w:val="00977F7A"/>
    <w:rsid w:val="00982867"/>
    <w:rsid w:val="00983335"/>
    <w:rsid w:val="00983D29"/>
    <w:rsid w:val="00986428"/>
    <w:rsid w:val="0098735C"/>
    <w:rsid w:val="0098768C"/>
    <w:rsid w:val="00990235"/>
    <w:rsid w:val="009905EC"/>
    <w:rsid w:val="00993452"/>
    <w:rsid w:val="00993473"/>
    <w:rsid w:val="00993C4E"/>
    <w:rsid w:val="00993EA3"/>
    <w:rsid w:val="00993ED4"/>
    <w:rsid w:val="009966B4"/>
    <w:rsid w:val="00997243"/>
    <w:rsid w:val="00997E1F"/>
    <w:rsid w:val="009A0DE0"/>
    <w:rsid w:val="009A3450"/>
    <w:rsid w:val="009A373A"/>
    <w:rsid w:val="009B09B6"/>
    <w:rsid w:val="009B1F38"/>
    <w:rsid w:val="009B3ADB"/>
    <w:rsid w:val="009B4084"/>
    <w:rsid w:val="009B59F5"/>
    <w:rsid w:val="009B6A24"/>
    <w:rsid w:val="009C0778"/>
    <w:rsid w:val="009C101F"/>
    <w:rsid w:val="009C1631"/>
    <w:rsid w:val="009C171E"/>
    <w:rsid w:val="009C254A"/>
    <w:rsid w:val="009C2618"/>
    <w:rsid w:val="009C2D40"/>
    <w:rsid w:val="009C3B4F"/>
    <w:rsid w:val="009C46D8"/>
    <w:rsid w:val="009C484C"/>
    <w:rsid w:val="009C57E3"/>
    <w:rsid w:val="009D0EB0"/>
    <w:rsid w:val="009D1194"/>
    <w:rsid w:val="009D1221"/>
    <w:rsid w:val="009D17C2"/>
    <w:rsid w:val="009D1A3D"/>
    <w:rsid w:val="009D1BED"/>
    <w:rsid w:val="009D1DE1"/>
    <w:rsid w:val="009D259E"/>
    <w:rsid w:val="009D52EA"/>
    <w:rsid w:val="009D54EC"/>
    <w:rsid w:val="009D5A92"/>
    <w:rsid w:val="009D5B2C"/>
    <w:rsid w:val="009D6F4C"/>
    <w:rsid w:val="009D76F7"/>
    <w:rsid w:val="009E04FA"/>
    <w:rsid w:val="009E3F48"/>
    <w:rsid w:val="009E5941"/>
    <w:rsid w:val="009E6B1B"/>
    <w:rsid w:val="009E702B"/>
    <w:rsid w:val="009E7454"/>
    <w:rsid w:val="009F0F8D"/>
    <w:rsid w:val="009F4A3B"/>
    <w:rsid w:val="009F4C75"/>
    <w:rsid w:val="009F4DE5"/>
    <w:rsid w:val="00A04273"/>
    <w:rsid w:val="00A043CD"/>
    <w:rsid w:val="00A0460A"/>
    <w:rsid w:val="00A06F2C"/>
    <w:rsid w:val="00A077B7"/>
    <w:rsid w:val="00A0791C"/>
    <w:rsid w:val="00A10AF1"/>
    <w:rsid w:val="00A11A7B"/>
    <w:rsid w:val="00A12965"/>
    <w:rsid w:val="00A12BAD"/>
    <w:rsid w:val="00A14542"/>
    <w:rsid w:val="00A1542D"/>
    <w:rsid w:val="00A15910"/>
    <w:rsid w:val="00A15C57"/>
    <w:rsid w:val="00A1749D"/>
    <w:rsid w:val="00A2086A"/>
    <w:rsid w:val="00A20EC6"/>
    <w:rsid w:val="00A229F7"/>
    <w:rsid w:val="00A232BB"/>
    <w:rsid w:val="00A2378F"/>
    <w:rsid w:val="00A23E60"/>
    <w:rsid w:val="00A25F32"/>
    <w:rsid w:val="00A2716A"/>
    <w:rsid w:val="00A2767A"/>
    <w:rsid w:val="00A278F2"/>
    <w:rsid w:val="00A30FA3"/>
    <w:rsid w:val="00A33FE5"/>
    <w:rsid w:val="00A35756"/>
    <w:rsid w:val="00A36C94"/>
    <w:rsid w:val="00A376C8"/>
    <w:rsid w:val="00A37D7A"/>
    <w:rsid w:val="00A40F81"/>
    <w:rsid w:val="00A4139C"/>
    <w:rsid w:val="00A43907"/>
    <w:rsid w:val="00A44894"/>
    <w:rsid w:val="00A47BAF"/>
    <w:rsid w:val="00A50200"/>
    <w:rsid w:val="00A5124E"/>
    <w:rsid w:val="00A52C92"/>
    <w:rsid w:val="00A53698"/>
    <w:rsid w:val="00A5371A"/>
    <w:rsid w:val="00A54087"/>
    <w:rsid w:val="00A54B40"/>
    <w:rsid w:val="00A5598A"/>
    <w:rsid w:val="00A56343"/>
    <w:rsid w:val="00A56FFC"/>
    <w:rsid w:val="00A60F8D"/>
    <w:rsid w:val="00A61A1F"/>
    <w:rsid w:val="00A61DB4"/>
    <w:rsid w:val="00A633AD"/>
    <w:rsid w:val="00A66C13"/>
    <w:rsid w:val="00A67460"/>
    <w:rsid w:val="00A6752D"/>
    <w:rsid w:val="00A7067B"/>
    <w:rsid w:val="00A70C7F"/>
    <w:rsid w:val="00A71325"/>
    <w:rsid w:val="00A719A9"/>
    <w:rsid w:val="00A721FE"/>
    <w:rsid w:val="00A7675D"/>
    <w:rsid w:val="00A76FF0"/>
    <w:rsid w:val="00A7712C"/>
    <w:rsid w:val="00A829F6"/>
    <w:rsid w:val="00A82C34"/>
    <w:rsid w:val="00A851FD"/>
    <w:rsid w:val="00A87C81"/>
    <w:rsid w:val="00A90252"/>
    <w:rsid w:val="00A90755"/>
    <w:rsid w:val="00A9102F"/>
    <w:rsid w:val="00A92593"/>
    <w:rsid w:val="00A92E63"/>
    <w:rsid w:val="00A93597"/>
    <w:rsid w:val="00A936F1"/>
    <w:rsid w:val="00A93E78"/>
    <w:rsid w:val="00A94FF5"/>
    <w:rsid w:val="00A95C51"/>
    <w:rsid w:val="00A97AAF"/>
    <w:rsid w:val="00AA0C55"/>
    <w:rsid w:val="00AA154C"/>
    <w:rsid w:val="00AA2119"/>
    <w:rsid w:val="00AA35A6"/>
    <w:rsid w:val="00AA6D8A"/>
    <w:rsid w:val="00AB1A21"/>
    <w:rsid w:val="00AB3561"/>
    <w:rsid w:val="00AB3837"/>
    <w:rsid w:val="00AB4182"/>
    <w:rsid w:val="00AB71C7"/>
    <w:rsid w:val="00AB723D"/>
    <w:rsid w:val="00AB7CC8"/>
    <w:rsid w:val="00AB7E96"/>
    <w:rsid w:val="00AC00B4"/>
    <w:rsid w:val="00AC0754"/>
    <w:rsid w:val="00AC2129"/>
    <w:rsid w:val="00AC233B"/>
    <w:rsid w:val="00AC2A17"/>
    <w:rsid w:val="00AC604C"/>
    <w:rsid w:val="00AD031E"/>
    <w:rsid w:val="00AD21D7"/>
    <w:rsid w:val="00AD2495"/>
    <w:rsid w:val="00AD2735"/>
    <w:rsid w:val="00AD32A1"/>
    <w:rsid w:val="00AD35FB"/>
    <w:rsid w:val="00AD4F97"/>
    <w:rsid w:val="00AD5298"/>
    <w:rsid w:val="00AD52F0"/>
    <w:rsid w:val="00AD757E"/>
    <w:rsid w:val="00AE03CC"/>
    <w:rsid w:val="00AE1B61"/>
    <w:rsid w:val="00AE223E"/>
    <w:rsid w:val="00AE2D9A"/>
    <w:rsid w:val="00AE2F9D"/>
    <w:rsid w:val="00AE387C"/>
    <w:rsid w:val="00AE394F"/>
    <w:rsid w:val="00AE3F84"/>
    <w:rsid w:val="00AE4511"/>
    <w:rsid w:val="00AE610B"/>
    <w:rsid w:val="00AE654C"/>
    <w:rsid w:val="00AE6DC9"/>
    <w:rsid w:val="00AF1452"/>
    <w:rsid w:val="00AF16F8"/>
    <w:rsid w:val="00AF1F9D"/>
    <w:rsid w:val="00AF3586"/>
    <w:rsid w:val="00AF4EAE"/>
    <w:rsid w:val="00AF5D5D"/>
    <w:rsid w:val="00AF7253"/>
    <w:rsid w:val="00AF7C0E"/>
    <w:rsid w:val="00B00F0E"/>
    <w:rsid w:val="00B00FF3"/>
    <w:rsid w:val="00B0177E"/>
    <w:rsid w:val="00B01D44"/>
    <w:rsid w:val="00B024E7"/>
    <w:rsid w:val="00B05CBC"/>
    <w:rsid w:val="00B10F94"/>
    <w:rsid w:val="00B1135A"/>
    <w:rsid w:val="00B11D95"/>
    <w:rsid w:val="00B1374C"/>
    <w:rsid w:val="00B143FE"/>
    <w:rsid w:val="00B16972"/>
    <w:rsid w:val="00B16F32"/>
    <w:rsid w:val="00B17344"/>
    <w:rsid w:val="00B176EE"/>
    <w:rsid w:val="00B21170"/>
    <w:rsid w:val="00B21281"/>
    <w:rsid w:val="00B222F8"/>
    <w:rsid w:val="00B22D2D"/>
    <w:rsid w:val="00B22DF2"/>
    <w:rsid w:val="00B23718"/>
    <w:rsid w:val="00B2603A"/>
    <w:rsid w:val="00B27F8A"/>
    <w:rsid w:val="00B301BA"/>
    <w:rsid w:val="00B3036E"/>
    <w:rsid w:val="00B303F2"/>
    <w:rsid w:val="00B31918"/>
    <w:rsid w:val="00B32076"/>
    <w:rsid w:val="00B348C6"/>
    <w:rsid w:val="00B353D7"/>
    <w:rsid w:val="00B35564"/>
    <w:rsid w:val="00B360D2"/>
    <w:rsid w:val="00B3655A"/>
    <w:rsid w:val="00B36850"/>
    <w:rsid w:val="00B3719A"/>
    <w:rsid w:val="00B37CCD"/>
    <w:rsid w:val="00B400E7"/>
    <w:rsid w:val="00B408C6"/>
    <w:rsid w:val="00B416BD"/>
    <w:rsid w:val="00B420C8"/>
    <w:rsid w:val="00B45E36"/>
    <w:rsid w:val="00B50C3C"/>
    <w:rsid w:val="00B51165"/>
    <w:rsid w:val="00B51312"/>
    <w:rsid w:val="00B516A4"/>
    <w:rsid w:val="00B525CC"/>
    <w:rsid w:val="00B5325B"/>
    <w:rsid w:val="00B5373C"/>
    <w:rsid w:val="00B53EEC"/>
    <w:rsid w:val="00B54786"/>
    <w:rsid w:val="00B54E28"/>
    <w:rsid w:val="00B56693"/>
    <w:rsid w:val="00B57832"/>
    <w:rsid w:val="00B57EDB"/>
    <w:rsid w:val="00B602C6"/>
    <w:rsid w:val="00B62237"/>
    <w:rsid w:val="00B627AB"/>
    <w:rsid w:val="00B632BF"/>
    <w:rsid w:val="00B63DF0"/>
    <w:rsid w:val="00B6449A"/>
    <w:rsid w:val="00B6510E"/>
    <w:rsid w:val="00B66009"/>
    <w:rsid w:val="00B66A84"/>
    <w:rsid w:val="00B67451"/>
    <w:rsid w:val="00B70936"/>
    <w:rsid w:val="00B7330B"/>
    <w:rsid w:val="00B733C5"/>
    <w:rsid w:val="00B75501"/>
    <w:rsid w:val="00B80210"/>
    <w:rsid w:val="00B80745"/>
    <w:rsid w:val="00B819FD"/>
    <w:rsid w:val="00B8485E"/>
    <w:rsid w:val="00B84FDE"/>
    <w:rsid w:val="00B85806"/>
    <w:rsid w:val="00B85EFF"/>
    <w:rsid w:val="00B86B80"/>
    <w:rsid w:val="00B86C03"/>
    <w:rsid w:val="00B90947"/>
    <w:rsid w:val="00B9094A"/>
    <w:rsid w:val="00B91459"/>
    <w:rsid w:val="00B91560"/>
    <w:rsid w:val="00B94D07"/>
    <w:rsid w:val="00B94ED4"/>
    <w:rsid w:val="00B95B96"/>
    <w:rsid w:val="00B97073"/>
    <w:rsid w:val="00B979AE"/>
    <w:rsid w:val="00BA156F"/>
    <w:rsid w:val="00BA39BF"/>
    <w:rsid w:val="00BA3AC0"/>
    <w:rsid w:val="00BA4044"/>
    <w:rsid w:val="00BA50AD"/>
    <w:rsid w:val="00BA50B9"/>
    <w:rsid w:val="00BA5966"/>
    <w:rsid w:val="00BA5AF3"/>
    <w:rsid w:val="00BA771C"/>
    <w:rsid w:val="00BB0C33"/>
    <w:rsid w:val="00BB19E1"/>
    <w:rsid w:val="00BB39E9"/>
    <w:rsid w:val="00BB4F5D"/>
    <w:rsid w:val="00BB59C9"/>
    <w:rsid w:val="00BB60CC"/>
    <w:rsid w:val="00BB61A5"/>
    <w:rsid w:val="00BC056F"/>
    <w:rsid w:val="00BC1499"/>
    <w:rsid w:val="00BC2655"/>
    <w:rsid w:val="00BC3504"/>
    <w:rsid w:val="00BC4315"/>
    <w:rsid w:val="00BC57B8"/>
    <w:rsid w:val="00BC5B16"/>
    <w:rsid w:val="00BC5F15"/>
    <w:rsid w:val="00BC623F"/>
    <w:rsid w:val="00BC7DF8"/>
    <w:rsid w:val="00BD7D28"/>
    <w:rsid w:val="00BE05E8"/>
    <w:rsid w:val="00BE0F16"/>
    <w:rsid w:val="00BE260F"/>
    <w:rsid w:val="00BE40B7"/>
    <w:rsid w:val="00BE52B8"/>
    <w:rsid w:val="00BE6745"/>
    <w:rsid w:val="00BE79BA"/>
    <w:rsid w:val="00BF1A5E"/>
    <w:rsid w:val="00BF4125"/>
    <w:rsid w:val="00BF4AC5"/>
    <w:rsid w:val="00BF52E6"/>
    <w:rsid w:val="00BF5C51"/>
    <w:rsid w:val="00BF6EE8"/>
    <w:rsid w:val="00BF7F59"/>
    <w:rsid w:val="00C0070B"/>
    <w:rsid w:val="00C0130B"/>
    <w:rsid w:val="00C04009"/>
    <w:rsid w:val="00C049F6"/>
    <w:rsid w:val="00C10A9F"/>
    <w:rsid w:val="00C11DE9"/>
    <w:rsid w:val="00C12CB4"/>
    <w:rsid w:val="00C148E6"/>
    <w:rsid w:val="00C15F56"/>
    <w:rsid w:val="00C16E19"/>
    <w:rsid w:val="00C16EA1"/>
    <w:rsid w:val="00C175E5"/>
    <w:rsid w:val="00C22292"/>
    <w:rsid w:val="00C22C06"/>
    <w:rsid w:val="00C2351D"/>
    <w:rsid w:val="00C23F5D"/>
    <w:rsid w:val="00C248BA"/>
    <w:rsid w:val="00C25717"/>
    <w:rsid w:val="00C267F1"/>
    <w:rsid w:val="00C2685D"/>
    <w:rsid w:val="00C26A95"/>
    <w:rsid w:val="00C26ACA"/>
    <w:rsid w:val="00C306D1"/>
    <w:rsid w:val="00C31E62"/>
    <w:rsid w:val="00C3303B"/>
    <w:rsid w:val="00C338DB"/>
    <w:rsid w:val="00C34A61"/>
    <w:rsid w:val="00C35C18"/>
    <w:rsid w:val="00C36321"/>
    <w:rsid w:val="00C37698"/>
    <w:rsid w:val="00C37F59"/>
    <w:rsid w:val="00C37FFE"/>
    <w:rsid w:val="00C41ACE"/>
    <w:rsid w:val="00C41BD9"/>
    <w:rsid w:val="00C41BE5"/>
    <w:rsid w:val="00C42A7C"/>
    <w:rsid w:val="00C42EB1"/>
    <w:rsid w:val="00C432CC"/>
    <w:rsid w:val="00C43852"/>
    <w:rsid w:val="00C43857"/>
    <w:rsid w:val="00C44C7F"/>
    <w:rsid w:val="00C45089"/>
    <w:rsid w:val="00C451C8"/>
    <w:rsid w:val="00C51C4E"/>
    <w:rsid w:val="00C520D3"/>
    <w:rsid w:val="00C5284A"/>
    <w:rsid w:val="00C52D00"/>
    <w:rsid w:val="00C53328"/>
    <w:rsid w:val="00C538F6"/>
    <w:rsid w:val="00C5399F"/>
    <w:rsid w:val="00C53A0E"/>
    <w:rsid w:val="00C5455A"/>
    <w:rsid w:val="00C54FC6"/>
    <w:rsid w:val="00C56A46"/>
    <w:rsid w:val="00C6067D"/>
    <w:rsid w:val="00C61BA0"/>
    <w:rsid w:val="00C62776"/>
    <w:rsid w:val="00C636D0"/>
    <w:rsid w:val="00C63775"/>
    <w:rsid w:val="00C648D0"/>
    <w:rsid w:val="00C64A01"/>
    <w:rsid w:val="00C657ED"/>
    <w:rsid w:val="00C66E93"/>
    <w:rsid w:val="00C67E91"/>
    <w:rsid w:val="00C704CE"/>
    <w:rsid w:val="00C704E0"/>
    <w:rsid w:val="00C70C41"/>
    <w:rsid w:val="00C71F4E"/>
    <w:rsid w:val="00C7467A"/>
    <w:rsid w:val="00C7587B"/>
    <w:rsid w:val="00C761C3"/>
    <w:rsid w:val="00C76C66"/>
    <w:rsid w:val="00C77436"/>
    <w:rsid w:val="00C774C8"/>
    <w:rsid w:val="00C82098"/>
    <w:rsid w:val="00C8337E"/>
    <w:rsid w:val="00C83652"/>
    <w:rsid w:val="00C83683"/>
    <w:rsid w:val="00C846C2"/>
    <w:rsid w:val="00C85BDA"/>
    <w:rsid w:val="00C865E2"/>
    <w:rsid w:val="00C870D1"/>
    <w:rsid w:val="00C87AAF"/>
    <w:rsid w:val="00C90FA7"/>
    <w:rsid w:val="00C91112"/>
    <w:rsid w:val="00C91931"/>
    <w:rsid w:val="00C92502"/>
    <w:rsid w:val="00C95934"/>
    <w:rsid w:val="00C95AF7"/>
    <w:rsid w:val="00C96371"/>
    <w:rsid w:val="00C96516"/>
    <w:rsid w:val="00C97C8B"/>
    <w:rsid w:val="00CA077A"/>
    <w:rsid w:val="00CA15A4"/>
    <w:rsid w:val="00CA206A"/>
    <w:rsid w:val="00CA2A0B"/>
    <w:rsid w:val="00CA46B1"/>
    <w:rsid w:val="00CA4DCD"/>
    <w:rsid w:val="00CA6599"/>
    <w:rsid w:val="00CB0144"/>
    <w:rsid w:val="00CB021A"/>
    <w:rsid w:val="00CB0401"/>
    <w:rsid w:val="00CB084F"/>
    <w:rsid w:val="00CB0D72"/>
    <w:rsid w:val="00CB1363"/>
    <w:rsid w:val="00CB1625"/>
    <w:rsid w:val="00CB19BA"/>
    <w:rsid w:val="00CB297C"/>
    <w:rsid w:val="00CB2AD5"/>
    <w:rsid w:val="00CB60D1"/>
    <w:rsid w:val="00CB73DB"/>
    <w:rsid w:val="00CC0D82"/>
    <w:rsid w:val="00CC156F"/>
    <w:rsid w:val="00CC36CA"/>
    <w:rsid w:val="00CC4F89"/>
    <w:rsid w:val="00CC5978"/>
    <w:rsid w:val="00CC5F5D"/>
    <w:rsid w:val="00CC6682"/>
    <w:rsid w:val="00CC6A48"/>
    <w:rsid w:val="00CC7520"/>
    <w:rsid w:val="00CD0C26"/>
    <w:rsid w:val="00CD28E2"/>
    <w:rsid w:val="00CD29D9"/>
    <w:rsid w:val="00CD2F19"/>
    <w:rsid w:val="00CD354B"/>
    <w:rsid w:val="00CD411D"/>
    <w:rsid w:val="00CD6224"/>
    <w:rsid w:val="00CD7279"/>
    <w:rsid w:val="00CD76E9"/>
    <w:rsid w:val="00CE18A6"/>
    <w:rsid w:val="00CE1F9A"/>
    <w:rsid w:val="00CE1FF6"/>
    <w:rsid w:val="00CE20A7"/>
    <w:rsid w:val="00CE4F08"/>
    <w:rsid w:val="00CF0F14"/>
    <w:rsid w:val="00CF1025"/>
    <w:rsid w:val="00CF1955"/>
    <w:rsid w:val="00CF263F"/>
    <w:rsid w:val="00CF2B41"/>
    <w:rsid w:val="00CF2E38"/>
    <w:rsid w:val="00CF2E45"/>
    <w:rsid w:val="00CF3841"/>
    <w:rsid w:val="00D01227"/>
    <w:rsid w:val="00D01F90"/>
    <w:rsid w:val="00D03CB9"/>
    <w:rsid w:val="00D03F5E"/>
    <w:rsid w:val="00D04460"/>
    <w:rsid w:val="00D05445"/>
    <w:rsid w:val="00D06822"/>
    <w:rsid w:val="00D11FA5"/>
    <w:rsid w:val="00D123C4"/>
    <w:rsid w:val="00D1316F"/>
    <w:rsid w:val="00D140BA"/>
    <w:rsid w:val="00D143C5"/>
    <w:rsid w:val="00D1658B"/>
    <w:rsid w:val="00D16940"/>
    <w:rsid w:val="00D2057C"/>
    <w:rsid w:val="00D21C3D"/>
    <w:rsid w:val="00D2460B"/>
    <w:rsid w:val="00D25B97"/>
    <w:rsid w:val="00D271BC"/>
    <w:rsid w:val="00D27CA5"/>
    <w:rsid w:val="00D307EB"/>
    <w:rsid w:val="00D33604"/>
    <w:rsid w:val="00D33739"/>
    <w:rsid w:val="00D33E5B"/>
    <w:rsid w:val="00D34096"/>
    <w:rsid w:val="00D342BB"/>
    <w:rsid w:val="00D352B1"/>
    <w:rsid w:val="00D368F5"/>
    <w:rsid w:val="00D36978"/>
    <w:rsid w:val="00D409D1"/>
    <w:rsid w:val="00D40BD4"/>
    <w:rsid w:val="00D42048"/>
    <w:rsid w:val="00D43020"/>
    <w:rsid w:val="00D4512D"/>
    <w:rsid w:val="00D4594E"/>
    <w:rsid w:val="00D47093"/>
    <w:rsid w:val="00D5027B"/>
    <w:rsid w:val="00D516B9"/>
    <w:rsid w:val="00D538DD"/>
    <w:rsid w:val="00D543D5"/>
    <w:rsid w:val="00D567A8"/>
    <w:rsid w:val="00D5702D"/>
    <w:rsid w:val="00D62224"/>
    <w:rsid w:val="00D62607"/>
    <w:rsid w:val="00D64A66"/>
    <w:rsid w:val="00D64DE1"/>
    <w:rsid w:val="00D65269"/>
    <w:rsid w:val="00D65689"/>
    <w:rsid w:val="00D66EB0"/>
    <w:rsid w:val="00D6735B"/>
    <w:rsid w:val="00D6768E"/>
    <w:rsid w:val="00D6770A"/>
    <w:rsid w:val="00D708C7"/>
    <w:rsid w:val="00D70A91"/>
    <w:rsid w:val="00D7167D"/>
    <w:rsid w:val="00D717F4"/>
    <w:rsid w:val="00D71CC8"/>
    <w:rsid w:val="00D72E1A"/>
    <w:rsid w:val="00D7361D"/>
    <w:rsid w:val="00D73999"/>
    <w:rsid w:val="00D739C0"/>
    <w:rsid w:val="00D7427A"/>
    <w:rsid w:val="00D74B6A"/>
    <w:rsid w:val="00D80741"/>
    <w:rsid w:val="00D817CA"/>
    <w:rsid w:val="00D8261C"/>
    <w:rsid w:val="00D82B9C"/>
    <w:rsid w:val="00D83116"/>
    <w:rsid w:val="00D835DE"/>
    <w:rsid w:val="00D854F6"/>
    <w:rsid w:val="00D8552E"/>
    <w:rsid w:val="00D8586C"/>
    <w:rsid w:val="00D868ED"/>
    <w:rsid w:val="00D86CFF"/>
    <w:rsid w:val="00D9057F"/>
    <w:rsid w:val="00D91F94"/>
    <w:rsid w:val="00D91FD7"/>
    <w:rsid w:val="00D921A3"/>
    <w:rsid w:val="00D92E83"/>
    <w:rsid w:val="00D92F5C"/>
    <w:rsid w:val="00D939CB"/>
    <w:rsid w:val="00D94E73"/>
    <w:rsid w:val="00D956DD"/>
    <w:rsid w:val="00D96FDC"/>
    <w:rsid w:val="00DA0B46"/>
    <w:rsid w:val="00DA0D91"/>
    <w:rsid w:val="00DA2E82"/>
    <w:rsid w:val="00DA3138"/>
    <w:rsid w:val="00DA334E"/>
    <w:rsid w:val="00DA4612"/>
    <w:rsid w:val="00DA5C94"/>
    <w:rsid w:val="00DA5CEC"/>
    <w:rsid w:val="00DA78C2"/>
    <w:rsid w:val="00DA7EA9"/>
    <w:rsid w:val="00DB2123"/>
    <w:rsid w:val="00DB221D"/>
    <w:rsid w:val="00DB2711"/>
    <w:rsid w:val="00DB342E"/>
    <w:rsid w:val="00DB3C13"/>
    <w:rsid w:val="00DB4AEA"/>
    <w:rsid w:val="00DB5DD5"/>
    <w:rsid w:val="00DC3FE6"/>
    <w:rsid w:val="00DC6EEC"/>
    <w:rsid w:val="00DD0E1E"/>
    <w:rsid w:val="00DD1E6C"/>
    <w:rsid w:val="00DD1F1A"/>
    <w:rsid w:val="00DD265D"/>
    <w:rsid w:val="00DD281F"/>
    <w:rsid w:val="00DD2CC5"/>
    <w:rsid w:val="00DD4F10"/>
    <w:rsid w:val="00DD5352"/>
    <w:rsid w:val="00DD53F7"/>
    <w:rsid w:val="00DD6AD5"/>
    <w:rsid w:val="00DD700A"/>
    <w:rsid w:val="00DD7100"/>
    <w:rsid w:val="00DE02A0"/>
    <w:rsid w:val="00DE20F7"/>
    <w:rsid w:val="00DE2371"/>
    <w:rsid w:val="00DE3151"/>
    <w:rsid w:val="00DE3C39"/>
    <w:rsid w:val="00DE6B4F"/>
    <w:rsid w:val="00DE705C"/>
    <w:rsid w:val="00DF2577"/>
    <w:rsid w:val="00DF25C5"/>
    <w:rsid w:val="00DF3FC3"/>
    <w:rsid w:val="00DF440C"/>
    <w:rsid w:val="00DF490F"/>
    <w:rsid w:val="00DF5BC7"/>
    <w:rsid w:val="00DF7B64"/>
    <w:rsid w:val="00E00192"/>
    <w:rsid w:val="00E01D0C"/>
    <w:rsid w:val="00E02407"/>
    <w:rsid w:val="00E03034"/>
    <w:rsid w:val="00E03058"/>
    <w:rsid w:val="00E06C60"/>
    <w:rsid w:val="00E07D02"/>
    <w:rsid w:val="00E07D6D"/>
    <w:rsid w:val="00E07FFC"/>
    <w:rsid w:val="00E14D7E"/>
    <w:rsid w:val="00E157DE"/>
    <w:rsid w:val="00E179CE"/>
    <w:rsid w:val="00E17B31"/>
    <w:rsid w:val="00E20291"/>
    <w:rsid w:val="00E215C5"/>
    <w:rsid w:val="00E218E4"/>
    <w:rsid w:val="00E2208F"/>
    <w:rsid w:val="00E2255D"/>
    <w:rsid w:val="00E22ECB"/>
    <w:rsid w:val="00E2461C"/>
    <w:rsid w:val="00E30D57"/>
    <w:rsid w:val="00E31868"/>
    <w:rsid w:val="00E32BB2"/>
    <w:rsid w:val="00E335B3"/>
    <w:rsid w:val="00E34D99"/>
    <w:rsid w:val="00E363A3"/>
    <w:rsid w:val="00E41A87"/>
    <w:rsid w:val="00E43519"/>
    <w:rsid w:val="00E436A5"/>
    <w:rsid w:val="00E445EA"/>
    <w:rsid w:val="00E44845"/>
    <w:rsid w:val="00E454C7"/>
    <w:rsid w:val="00E45B49"/>
    <w:rsid w:val="00E47271"/>
    <w:rsid w:val="00E479E5"/>
    <w:rsid w:val="00E506D3"/>
    <w:rsid w:val="00E51C36"/>
    <w:rsid w:val="00E51D4A"/>
    <w:rsid w:val="00E51E53"/>
    <w:rsid w:val="00E5239E"/>
    <w:rsid w:val="00E52A65"/>
    <w:rsid w:val="00E53061"/>
    <w:rsid w:val="00E541CA"/>
    <w:rsid w:val="00E54B86"/>
    <w:rsid w:val="00E55194"/>
    <w:rsid w:val="00E563EB"/>
    <w:rsid w:val="00E57D75"/>
    <w:rsid w:val="00E66B3B"/>
    <w:rsid w:val="00E676F5"/>
    <w:rsid w:val="00E703F3"/>
    <w:rsid w:val="00E7182C"/>
    <w:rsid w:val="00E72C79"/>
    <w:rsid w:val="00E745E7"/>
    <w:rsid w:val="00E81661"/>
    <w:rsid w:val="00E82E62"/>
    <w:rsid w:val="00E832F2"/>
    <w:rsid w:val="00E84BF0"/>
    <w:rsid w:val="00E871E0"/>
    <w:rsid w:val="00E87330"/>
    <w:rsid w:val="00E87845"/>
    <w:rsid w:val="00E87939"/>
    <w:rsid w:val="00E90011"/>
    <w:rsid w:val="00E9059E"/>
    <w:rsid w:val="00E92838"/>
    <w:rsid w:val="00E9372D"/>
    <w:rsid w:val="00E93E5C"/>
    <w:rsid w:val="00E945CF"/>
    <w:rsid w:val="00E96693"/>
    <w:rsid w:val="00EA08D3"/>
    <w:rsid w:val="00EA148C"/>
    <w:rsid w:val="00EA177B"/>
    <w:rsid w:val="00EA387B"/>
    <w:rsid w:val="00EA404C"/>
    <w:rsid w:val="00EA418E"/>
    <w:rsid w:val="00EA5009"/>
    <w:rsid w:val="00EA534A"/>
    <w:rsid w:val="00EA7699"/>
    <w:rsid w:val="00EB1F6E"/>
    <w:rsid w:val="00EB235B"/>
    <w:rsid w:val="00EB2E24"/>
    <w:rsid w:val="00EB3E9E"/>
    <w:rsid w:val="00EB4F36"/>
    <w:rsid w:val="00EB6976"/>
    <w:rsid w:val="00EB6AE5"/>
    <w:rsid w:val="00EC0114"/>
    <w:rsid w:val="00EC0D61"/>
    <w:rsid w:val="00EC1FFC"/>
    <w:rsid w:val="00EC260B"/>
    <w:rsid w:val="00EC3812"/>
    <w:rsid w:val="00EC3E18"/>
    <w:rsid w:val="00EC458A"/>
    <w:rsid w:val="00EC4602"/>
    <w:rsid w:val="00EC724F"/>
    <w:rsid w:val="00ED0E1A"/>
    <w:rsid w:val="00ED1B98"/>
    <w:rsid w:val="00ED48A1"/>
    <w:rsid w:val="00ED5BB7"/>
    <w:rsid w:val="00ED61E0"/>
    <w:rsid w:val="00ED6351"/>
    <w:rsid w:val="00ED6646"/>
    <w:rsid w:val="00EE0B8B"/>
    <w:rsid w:val="00EE0CEC"/>
    <w:rsid w:val="00EE2619"/>
    <w:rsid w:val="00EE48D8"/>
    <w:rsid w:val="00EE6BC6"/>
    <w:rsid w:val="00EE71CC"/>
    <w:rsid w:val="00EE761C"/>
    <w:rsid w:val="00EE7D78"/>
    <w:rsid w:val="00EF0952"/>
    <w:rsid w:val="00EF1D65"/>
    <w:rsid w:val="00EF5269"/>
    <w:rsid w:val="00EF54F2"/>
    <w:rsid w:val="00EF602F"/>
    <w:rsid w:val="00EF70A7"/>
    <w:rsid w:val="00F0092F"/>
    <w:rsid w:val="00F01D50"/>
    <w:rsid w:val="00F0435B"/>
    <w:rsid w:val="00F05143"/>
    <w:rsid w:val="00F0532B"/>
    <w:rsid w:val="00F053FE"/>
    <w:rsid w:val="00F07007"/>
    <w:rsid w:val="00F07BF4"/>
    <w:rsid w:val="00F11F51"/>
    <w:rsid w:val="00F12512"/>
    <w:rsid w:val="00F12BB2"/>
    <w:rsid w:val="00F13E77"/>
    <w:rsid w:val="00F1548E"/>
    <w:rsid w:val="00F16873"/>
    <w:rsid w:val="00F217F6"/>
    <w:rsid w:val="00F218D6"/>
    <w:rsid w:val="00F218FA"/>
    <w:rsid w:val="00F23E65"/>
    <w:rsid w:val="00F25202"/>
    <w:rsid w:val="00F270E6"/>
    <w:rsid w:val="00F30ADC"/>
    <w:rsid w:val="00F316B8"/>
    <w:rsid w:val="00F31A61"/>
    <w:rsid w:val="00F31D61"/>
    <w:rsid w:val="00F332E9"/>
    <w:rsid w:val="00F335C7"/>
    <w:rsid w:val="00F33721"/>
    <w:rsid w:val="00F34F88"/>
    <w:rsid w:val="00F359BF"/>
    <w:rsid w:val="00F37029"/>
    <w:rsid w:val="00F41137"/>
    <w:rsid w:val="00F4136C"/>
    <w:rsid w:val="00F431AD"/>
    <w:rsid w:val="00F46B6F"/>
    <w:rsid w:val="00F46E3B"/>
    <w:rsid w:val="00F47518"/>
    <w:rsid w:val="00F5004A"/>
    <w:rsid w:val="00F51AED"/>
    <w:rsid w:val="00F52362"/>
    <w:rsid w:val="00F52F66"/>
    <w:rsid w:val="00F531E9"/>
    <w:rsid w:val="00F53343"/>
    <w:rsid w:val="00F546E4"/>
    <w:rsid w:val="00F55472"/>
    <w:rsid w:val="00F563E5"/>
    <w:rsid w:val="00F569B0"/>
    <w:rsid w:val="00F56B22"/>
    <w:rsid w:val="00F570A0"/>
    <w:rsid w:val="00F57AFF"/>
    <w:rsid w:val="00F57C43"/>
    <w:rsid w:val="00F6004C"/>
    <w:rsid w:val="00F65529"/>
    <w:rsid w:val="00F66325"/>
    <w:rsid w:val="00F70162"/>
    <w:rsid w:val="00F713F0"/>
    <w:rsid w:val="00F74CA9"/>
    <w:rsid w:val="00F753BC"/>
    <w:rsid w:val="00F7662E"/>
    <w:rsid w:val="00F76C64"/>
    <w:rsid w:val="00F76F96"/>
    <w:rsid w:val="00F770ED"/>
    <w:rsid w:val="00F82F19"/>
    <w:rsid w:val="00F831CD"/>
    <w:rsid w:val="00F83DCC"/>
    <w:rsid w:val="00F842DC"/>
    <w:rsid w:val="00F854B4"/>
    <w:rsid w:val="00F85887"/>
    <w:rsid w:val="00F86D33"/>
    <w:rsid w:val="00F86DCE"/>
    <w:rsid w:val="00F91AE4"/>
    <w:rsid w:val="00F92CB0"/>
    <w:rsid w:val="00F92F6B"/>
    <w:rsid w:val="00F93311"/>
    <w:rsid w:val="00FA06E2"/>
    <w:rsid w:val="00FA1FCE"/>
    <w:rsid w:val="00FA3374"/>
    <w:rsid w:val="00FA35B9"/>
    <w:rsid w:val="00FA4CD5"/>
    <w:rsid w:val="00FA52C6"/>
    <w:rsid w:val="00FA59CF"/>
    <w:rsid w:val="00FA7325"/>
    <w:rsid w:val="00FB05B0"/>
    <w:rsid w:val="00FB099C"/>
    <w:rsid w:val="00FB1349"/>
    <w:rsid w:val="00FB1455"/>
    <w:rsid w:val="00FB1701"/>
    <w:rsid w:val="00FB24D7"/>
    <w:rsid w:val="00FB33A3"/>
    <w:rsid w:val="00FB62EC"/>
    <w:rsid w:val="00FB688F"/>
    <w:rsid w:val="00FC2F92"/>
    <w:rsid w:val="00FC3718"/>
    <w:rsid w:val="00FC575E"/>
    <w:rsid w:val="00FC7083"/>
    <w:rsid w:val="00FC713A"/>
    <w:rsid w:val="00FD01A3"/>
    <w:rsid w:val="00FD1006"/>
    <w:rsid w:val="00FD30EF"/>
    <w:rsid w:val="00FD3591"/>
    <w:rsid w:val="00FD471E"/>
    <w:rsid w:val="00FD53E4"/>
    <w:rsid w:val="00FD6833"/>
    <w:rsid w:val="00FD78BC"/>
    <w:rsid w:val="00FD7B14"/>
    <w:rsid w:val="00FD7FEA"/>
    <w:rsid w:val="00FE222B"/>
    <w:rsid w:val="00FE2917"/>
    <w:rsid w:val="00FE3C6D"/>
    <w:rsid w:val="00FE51C0"/>
    <w:rsid w:val="00FF0B7B"/>
    <w:rsid w:val="00FF217D"/>
    <w:rsid w:val="00FF2602"/>
    <w:rsid w:val="00FF591B"/>
    <w:rsid w:val="00FF60B9"/>
    <w:rsid w:val="00FF60FE"/>
    <w:rsid w:val="00FF74EB"/>
    <w:rsid w:val="01043622"/>
    <w:rsid w:val="01A2957D"/>
    <w:rsid w:val="01AE7747"/>
    <w:rsid w:val="01C2C5D7"/>
    <w:rsid w:val="01C57A5F"/>
    <w:rsid w:val="01EF71C2"/>
    <w:rsid w:val="01FD3F97"/>
    <w:rsid w:val="02D85C7C"/>
    <w:rsid w:val="02D8A6F3"/>
    <w:rsid w:val="02EA86C4"/>
    <w:rsid w:val="02EB06D7"/>
    <w:rsid w:val="0309489E"/>
    <w:rsid w:val="03229A07"/>
    <w:rsid w:val="03A04F8C"/>
    <w:rsid w:val="03C7F8B7"/>
    <w:rsid w:val="03D45559"/>
    <w:rsid w:val="03F79557"/>
    <w:rsid w:val="044262BE"/>
    <w:rsid w:val="04A15A47"/>
    <w:rsid w:val="04B9AAFF"/>
    <w:rsid w:val="04E10F9C"/>
    <w:rsid w:val="05015FA9"/>
    <w:rsid w:val="0502B1A3"/>
    <w:rsid w:val="0562C7A2"/>
    <w:rsid w:val="0584288C"/>
    <w:rsid w:val="05A59B4C"/>
    <w:rsid w:val="05D406A7"/>
    <w:rsid w:val="05EC20F6"/>
    <w:rsid w:val="05EE362E"/>
    <w:rsid w:val="067B3A09"/>
    <w:rsid w:val="06872470"/>
    <w:rsid w:val="06C5226E"/>
    <w:rsid w:val="06FE0F9A"/>
    <w:rsid w:val="0711CB56"/>
    <w:rsid w:val="07425F65"/>
    <w:rsid w:val="07AAA0FF"/>
    <w:rsid w:val="07CD11B4"/>
    <w:rsid w:val="07E3A4F3"/>
    <w:rsid w:val="07EF7899"/>
    <w:rsid w:val="083FC170"/>
    <w:rsid w:val="0874D283"/>
    <w:rsid w:val="08E801EF"/>
    <w:rsid w:val="0902BD13"/>
    <w:rsid w:val="0912868A"/>
    <w:rsid w:val="09983051"/>
    <w:rsid w:val="09B6C247"/>
    <w:rsid w:val="09DCAC2A"/>
    <w:rsid w:val="09EB23DF"/>
    <w:rsid w:val="0A358844"/>
    <w:rsid w:val="0A4ED4BF"/>
    <w:rsid w:val="0A9B935C"/>
    <w:rsid w:val="0ADCC64E"/>
    <w:rsid w:val="0B84088D"/>
    <w:rsid w:val="0C13BC55"/>
    <w:rsid w:val="0C1840F1"/>
    <w:rsid w:val="0C5557BE"/>
    <w:rsid w:val="0C6B31A6"/>
    <w:rsid w:val="0CBCCE89"/>
    <w:rsid w:val="0CC9A48E"/>
    <w:rsid w:val="0D013875"/>
    <w:rsid w:val="0D236F2A"/>
    <w:rsid w:val="0EA77284"/>
    <w:rsid w:val="0EDE8319"/>
    <w:rsid w:val="0EE9BC7D"/>
    <w:rsid w:val="0FC718DF"/>
    <w:rsid w:val="0FCBAB24"/>
    <w:rsid w:val="10141981"/>
    <w:rsid w:val="101FF289"/>
    <w:rsid w:val="1062AC17"/>
    <w:rsid w:val="107905FF"/>
    <w:rsid w:val="10ABC670"/>
    <w:rsid w:val="10C782F1"/>
    <w:rsid w:val="10E04578"/>
    <w:rsid w:val="10F9A1D0"/>
    <w:rsid w:val="1110F71A"/>
    <w:rsid w:val="1132C03E"/>
    <w:rsid w:val="11A33F8F"/>
    <w:rsid w:val="11B33505"/>
    <w:rsid w:val="11BCB810"/>
    <w:rsid w:val="11E87441"/>
    <w:rsid w:val="1215E087"/>
    <w:rsid w:val="1259B896"/>
    <w:rsid w:val="1446CDAE"/>
    <w:rsid w:val="153F8D34"/>
    <w:rsid w:val="158E7BC2"/>
    <w:rsid w:val="158FB99C"/>
    <w:rsid w:val="15F08252"/>
    <w:rsid w:val="1631CDC1"/>
    <w:rsid w:val="1653F1F6"/>
    <w:rsid w:val="172173ED"/>
    <w:rsid w:val="1771EFD3"/>
    <w:rsid w:val="17B11BE5"/>
    <w:rsid w:val="17B7C0D9"/>
    <w:rsid w:val="17BB751E"/>
    <w:rsid w:val="17E7C767"/>
    <w:rsid w:val="1803236E"/>
    <w:rsid w:val="18531D0E"/>
    <w:rsid w:val="18B6B3AB"/>
    <w:rsid w:val="1904F5C8"/>
    <w:rsid w:val="193985BF"/>
    <w:rsid w:val="1961259D"/>
    <w:rsid w:val="1973CAEB"/>
    <w:rsid w:val="197D51CC"/>
    <w:rsid w:val="19DBD26B"/>
    <w:rsid w:val="1A9A51D5"/>
    <w:rsid w:val="1B10A302"/>
    <w:rsid w:val="1B5840A0"/>
    <w:rsid w:val="1B8B39BB"/>
    <w:rsid w:val="1B91BF67"/>
    <w:rsid w:val="1B9860B8"/>
    <w:rsid w:val="1BAB076C"/>
    <w:rsid w:val="1BE1564B"/>
    <w:rsid w:val="1C6CDA75"/>
    <w:rsid w:val="1C923325"/>
    <w:rsid w:val="1CE0C5EF"/>
    <w:rsid w:val="1D3F53AF"/>
    <w:rsid w:val="1D85145B"/>
    <w:rsid w:val="1DE5AAEB"/>
    <w:rsid w:val="1DEE4E5A"/>
    <w:rsid w:val="1E2D11F1"/>
    <w:rsid w:val="1EB2D127"/>
    <w:rsid w:val="1F148428"/>
    <w:rsid w:val="1F22EC21"/>
    <w:rsid w:val="1F932991"/>
    <w:rsid w:val="1FFB7AB9"/>
    <w:rsid w:val="2013853A"/>
    <w:rsid w:val="2049F695"/>
    <w:rsid w:val="20A7CEF2"/>
    <w:rsid w:val="20B321D2"/>
    <w:rsid w:val="20D18E15"/>
    <w:rsid w:val="2150DA95"/>
    <w:rsid w:val="22621A25"/>
    <w:rsid w:val="229C548F"/>
    <w:rsid w:val="22BFB2B5"/>
    <w:rsid w:val="22E8A575"/>
    <w:rsid w:val="23753D02"/>
    <w:rsid w:val="23F2EFE7"/>
    <w:rsid w:val="247FEEF3"/>
    <w:rsid w:val="24B25091"/>
    <w:rsid w:val="24C791B0"/>
    <w:rsid w:val="24C8FC12"/>
    <w:rsid w:val="24CC5B28"/>
    <w:rsid w:val="24FECDC8"/>
    <w:rsid w:val="250A3B6A"/>
    <w:rsid w:val="25207610"/>
    <w:rsid w:val="256A9DF3"/>
    <w:rsid w:val="259D06DE"/>
    <w:rsid w:val="25BA0077"/>
    <w:rsid w:val="260AABBA"/>
    <w:rsid w:val="262DF27B"/>
    <w:rsid w:val="26DBAB95"/>
    <w:rsid w:val="26F5E4F6"/>
    <w:rsid w:val="27F9A197"/>
    <w:rsid w:val="282436CB"/>
    <w:rsid w:val="28B5C943"/>
    <w:rsid w:val="291FA24A"/>
    <w:rsid w:val="293787AB"/>
    <w:rsid w:val="2A02518B"/>
    <w:rsid w:val="2A553105"/>
    <w:rsid w:val="2A74C309"/>
    <w:rsid w:val="2AA46CE9"/>
    <w:rsid w:val="2AA79E70"/>
    <w:rsid w:val="2ACEF918"/>
    <w:rsid w:val="2B89F908"/>
    <w:rsid w:val="2B8D068C"/>
    <w:rsid w:val="2B9C69C8"/>
    <w:rsid w:val="2C9D6905"/>
    <w:rsid w:val="2CB1F53D"/>
    <w:rsid w:val="2D524225"/>
    <w:rsid w:val="2D71BA0F"/>
    <w:rsid w:val="2DFA424F"/>
    <w:rsid w:val="2E1FC1AA"/>
    <w:rsid w:val="2E22738A"/>
    <w:rsid w:val="2E84068F"/>
    <w:rsid w:val="2E91CD32"/>
    <w:rsid w:val="2EEB8BE3"/>
    <w:rsid w:val="2F11B226"/>
    <w:rsid w:val="2FB009EB"/>
    <w:rsid w:val="2FCA8555"/>
    <w:rsid w:val="304511AA"/>
    <w:rsid w:val="30C9403D"/>
    <w:rsid w:val="30FC15ED"/>
    <w:rsid w:val="312A70D1"/>
    <w:rsid w:val="313B9C23"/>
    <w:rsid w:val="31417649"/>
    <w:rsid w:val="31976D63"/>
    <w:rsid w:val="31C80C4E"/>
    <w:rsid w:val="31DDCC93"/>
    <w:rsid w:val="32251935"/>
    <w:rsid w:val="32B1FB4A"/>
    <w:rsid w:val="32B873AE"/>
    <w:rsid w:val="332E6BA1"/>
    <w:rsid w:val="33837C80"/>
    <w:rsid w:val="339A1AA8"/>
    <w:rsid w:val="33B6B873"/>
    <w:rsid w:val="344DC0CD"/>
    <w:rsid w:val="3460EC19"/>
    <w:rsid w:val="34C347BE"/>
    <w:rsid w:val="34E0C29A"/>
    <w:rsid w:val="34E675CD"/>
    <w:rsid w:val="350D6B4D"/>
    <w:rsid w:val="3586F2FA"/>
    <w:rsid w:val="35CAD46D"/>
    <w:rsid w:val="35E135A7"/>
    <w:rsid w:val="360CDB4F"/>
    <w:rsid w:val="362E0F47"/>
    <w:rsid w:val="36D0FB4E"/>
    <w:rsid w:val="36F56050"/>
    <w:rsid w:val="370756F1"/>
    <w:rsid w:val="3743D1A4"/>
    <w:rsid w:val="374E2ADF"/>
    <w:rsid w:val="37A1D9A7"/>
    <w:rsid w:val="37B7EF3F"/>
    <w:rsid w:val="37D32475"/>
    <w:rsid w:val="37DA5EC0"/>
    <w:rsid w:val="37EB5EE7"/>
    <w:rsid w:val="383B2802"/>
    <w:rsid w:val="38499080"/>
    <w:rsid w:val="388744ED"/>
    <w:rsid w:val="389F89AD"/>
    <w:rsid w:val="397AD0B0"/>
    <w:rsid w:val="39C25C36"/>
    <w:rsid w:val="3A823B24"/>
    <w:rsid w:val="3A926AD2"/>
    <w:rsid w:val="3B1F684B"/>
    <w:rsid w:val="3B76C33B"/>
    <w:rsid w:val="3B9A1267"/>
    <w:rsid w:val="3BA00FC5"/>
    <w:rsid w:val="3C0C6D8B"/>
    <w:rsid w:val="3C2E21E6"/>
    <w:rsid w:val="3CB46C53"/>
    <w:rsid w:val="3CFCA10B"/>
    <w:rsid w:val="3D2F2053"/>
    <w:rsid w:val="3D4025F5"/>
    <w:rsid w:val="3D4F89E2"/>
    <w:rsid w:val="3DAED842"/>
    <w:rsid w:val="3DD7D4D4"/>
    <w:rsid w:val="3E17F0B6"/>
    <w:rsid w:val="3E595144"/>
    <w:rsid w:val="3E9A18D7"/>
    <w:rsid w:val="3F58A0D1"/>
    <w:rsid w:val="3F5B415B"/>
    <w:rsid w:val="3F726C0D"/>
    <w:rsid w:val="3F856A0E"/>
    <w:rsid w:val="3F96BC78"/>
    <w:rsid w:val="3FBCDD82"/>
    <w:rsid w:val="419AB542"/>
    <w:rsid w:val="41CC7069"/>
    <w:rsid w:val="41EB6CAA"/>
    <w:rsid w:val="424BAB63"/>
    <w:rsid w:val="42523143"/>
    <w:rsid w:val="4273AB1F"/>
    <w:rsid w:val="427BEA98"/>
    <w:rsid w:val="42AC24CB"/>
    <w:rsid w:val="42CA62F4"/>
    <w:rsid w:val="434552E6"/>
    <w:rsid w:val="434EB3F5"/>
    <w:rsid w:val="438A9F39"/>
    <w:rsid w:val="43C484C8"/>
    <w:rsid w:val="43D2E448"/>
    <w:rsid w:val="43E6E916"/>
    <w:rsid w:val="44533C28"/>
    <w:rsid w:val="44B4FB96"/>
    <w:rsid w:val="45A89788"/>
    <w:rsid w:val="45DE165F"/>
    <w:rsid w:val="4662BD15"/>
    <w:rsid w:val="46671792"/>
    <w:rsid w:val="467C721E"/>
    <w:rsid w:val="46862A64"/>
    <w:rsid w:val="46C3301A"/>
    <w:rsid w:val="46DD56CD"/>
    <w:rsid w:val="46E121BA"/>
    <w:rsid w:val="46EE3039"/>
    <w:rsid w:val="46F6BCDF"/>
    <w:rsid w:val="47053192"/>
    <w:rsid w:val="472ED78D"/>
    <w:rsid w:val="4731422A"/>
    <w:rsid w:val="478A0E32"/>
    <w:rsid w:val="47FA7970"/>
    <w:rsid w:val="4809410A"/>
    <w:rsid w:val="48104998"/>
    <w:rsid w:val="48535017"/>
    <w:rsid w:val="48654B19"/>
    <w:rsid w:val="4891D7D5"/>
    <w:rsid w:val="48A4E0E6"/>
    <w:rsid w:val="493C3F53"/>
    <w:rsid w:val="49E94CC1"/>
    <w:rsid w:val="4A0FD177"/>
    <w:rsid w:val="4A1327A1"/>
    <w:rsid w:val="4A156117"/>
    <w:rsid w:val="4A181A8A"/>
    <w:rsid w:val="4A2F9E2B"/>
    <w:rsid w:val="4A3C4194"/>
    <w:rsid w:val="4A8B3174"/>
    <w:rsid w:val="4AC1FEE4"/>
    <w:rsid w:val="4BA42A9B"/>
    <w:rsid w:val="4C1D4634"/>
    <w:rsid w:val="4C7D04C0"/>
    <w:rsid w:val="4D07115F"/>
    <w:rsid w:val="4D244FBD"/>
    <w:rsid w:val="4D254B4A"/>
    <w:rsid w:val="4D8936CC"/>
    <w:rsid w:val="4E060B79"/>
    <w:rsid w:val="4F2E1221"/>
    <w:rsid w:val="4F88CBAB"/>
    <w:rsid w:val="50393709"/>
    <w:rsid w:val="504E557F"/>
    <w:rsid w:val="50563925"/>
    <w:rsid w:val="50627A79"/>
    <w:rsid w:val="509E033E"/>
    <w:rsid w:val="50D49D59"/>
    <w:rsid w:val="515151AB"/>
    <w:rsid w:val="518157CC"/>
    <w:rsid w:val="51910877"/>
    <w:rsid w:val="522443F3"/>
    <w:rsid w:val="5237816D"/>
    <w:rsid w:val="5250EEFE"/>
    <w:rsid w:val="525C7392"/>
    <w:rsid w:val="526331AB"/>
    <w:rsid w:val="5273A871"/>
    <w:rsid w:val="5355B93D"/>
    <w:rsid w:val="538EDAC7"/>
    <w:rsid w:val="539BF24C"/>
    <w:rsid w:val="53A794A2"/>
    <w:rsid w:val="53AAAB93"/>
    <w:rsid w:val="53C92A98"/>
    <w:rsid w:val="53CAB4AC"/>
    <w:rsid w:val="53DA926C"/>
    <w:rsid w:val="53DB7966"/>
    <w:rsid w:val="53E17A7A"/>
    <w:rsid w:val="54EC9E03"/>
    <w:rsid w:val="5500160D"/>
    <w:rsid w:val="5526877E"/>
    <w:rsid w:val="557126FD"/>
    <w:rsid w:val="55A84F53"/>
    <w:rsid w:val="56245419"/>
    <w:rsid w:val="567D3FCA"/>
    <w:rsid w:val="56D70BD9"/>
    <w:rsid w:val="56F9E973"/>
    <w:rsid w:val="571A50B7"/>
    <w:rsid w:val="57D56304"/>
    <w:rsid w:val="5832935E"/>
    <w:rsid w:val="5843B5E3"/>
    <w:rsid w:val="58BF052A"/>
    <w:rsid w:val="59015FA5"/>
    <w:rsid w:val="590CFA4A"/>
    <w:rsid w:val="5A4CD339"/>
    <w:rsid w:val="5A840525"/>
    <w:rsid w:val="5A9D4DCC"/>
    <w:rsid w:val="5AD72974"/>
    <w:rsid w:val="5B405D0A"/>
    <w:rsid w:val="5B60FB7D"/>
    <w:rsid w:val="5BAB79B2"/>
    <w:rsid w:val="5BE41C12"/>
    <w:rsid w:val="5BF455AB"/>
    <w:rsid w:val="5CB7A431"/>
    <w:rsid w:val="5CBCA345"/>
    <w:rsid w:val="5CC3B14D"/>
    <w:rsid w:val="5CE280F7"/>
    <w:rsid w:val="5D1359C9"/>
    <w:rsid w:val="5D14F32B"/>
    <w:rsid w:val="5D319EB4"/>
    <w:rsid w:val="5D3B75BE"/>
    <w:rsid w:val="5D9AC295"/>
    <w:rsid w:val="5E3AA37D"/>
    <w:rsid w:val="5E9EAE5C"/>
    <w:rsid w:val="5EAF75CF"/>
    <w:rsid w:val="5EC6C089"/>
    <w:rsid w:val="5ECF22E1"/>
    <w:rsid w:val="5EE020D4"/>
    <w:rsid w:val="5EEA9754"/>
    <w:rsid w:val="5F14AB41"/>
    <w:rsid w:val="5F5D5807"/>
    <w:rsid w:val="5F7C6E5E"/>
    <w:rsid w:val="5FBF99A6"/>
    <w:rsid w:val="5FD58094"/>
    <w:rsid w:val="6008AABC"/>
    <w:rsid w:val="6038786C"/>
    <w:rsid w:val="609310D4"/>
    <w:rsid w:val="60BDF8A9"/>
    <w:rsid w:val="6109809B"/>
    <w:rsid w:val="613E78D4"/>
    <w:rsid w:val="618EDF49"/>
    <w:rsid w:val="62AD828A"/>
    <w:rsid w:val="62EABDE9"/>
    <w:rsid w:val="62F33729"/>
    <w:rsid w:val="63BC62D4"/>
    <w:rsid w:val="6445E7C9"/>
    <w:rsid w:val="6485D67F"/>
    <w:rsid w:val="64997E27"/>
    <w:rsid w:val="64B12BE9"/>
    <w:rsid w:val="651F8C08"/>
    <w:rsid w:val="656788C6"/>
    <w:rsid w:val="65DDBA89"/>
    <w:rsid w:val="65EF6283"/>
    <w:rsid w:val="66505E3E"/>
    <w:rsid w:val="6699FA3A"/>
    <w:rsid w:val="66D082CC"/>
    <w:rsid w:val="66DEF04A"/>
    <w:rsid w:val="67353500"/>
    <w:rsid w:val="684A7955"/>
    <w:rsid w:val="685440AD"/>
    <w:rsid w:val="68CA1B1A"/>
    <w:rsid w:val="6911A635"/>
    <w:rsid w:val="69404972"/>
    <w:rsid w:val="69509095"/>
    <w:rsid w:val="695BFFF0"/>
    <w:rsid w:val="6977614B"/>
    <w:rsid w:val="699C57BF"/>
    <w:rsid w:val="69CB8AB4"/>
    <w:rsid w:val="6A2B48E7"/>
    <w:rsid w:val="6B454344"/>
    <w:rsid w:val="6B92D6FC"/>
    <w:rsid w:val="6BA2C347"/>
    <w:rsid w:val="6BCD0AD1"/>
    <w:rsid w:val="6C3EB416"/>
    <w:rsid w:val="6C600CDB"/>
    <w:rsid w:val="6CC0A94C"/>
    <w:rsid w:val="6CF5C44D"/>
    <w:rsid w:val="6D3269E6"/>
    <w:rsid w:val="6D5D1F2D"/>
    <w:rsid w:val="6D6DEFEE"/>
    <w:rsid w:val="6D8CD146"/>
    <w:rsid w:val="6DAC40BE"/>
    <w:rsid w:val="6DDE2E43"/>
    <w:rsid w:val="6DE81CDA"/>
    <w:rsid w:val="6E365A22"/>
    <w:rsid w:val="6E3AC097"/>
    <w:rsid w:val="6E572FF3"/>
    <w:rsid w:val="6E9980C9"/>
    <w:rsid w:val="6F2B18EF"/>
    <w:rsid w:val="6F4848A1"/>
    <w:rsid w:val="6F5C27BB"/>
    <w:rsid w:val="6F94CD53"/>
    <w:rsid w:val="6FAEF4D1"/>
    <w:rsid w:val="70639163"/>
    <w:rsid w:val="7074D256"/>
    <w:rsid w:val="70DFCD88"/>
    <w:rsid w:val="71241618"/>
    <w:rsid w:val="713E516E"/>
    <w:rsid w:val="71F9A0E4"/>
    <w:rsid w:val="72099D86"/>
    <w:rsid w:val="7240B6DE"/>
    <w:rsid w:val="72ACAEEB"/>
    <w:rsid w:val="72DADBE4"/>
    <w:rsid w:val="734228D4"/>
    <w:rsid w:val="736BD311"/>
    <w:rsid w:val="74621E58"/>
    <w:rsid w:val="747AC926"/>
    <w:rsid w:val="747D8F20"/>
    <w:rsid w:val="74A79A13"/>
    <w:rsid w:val="74BB9329"/>
    <w:rsid w:val="757B0A4B"/>
    <w:rsid w:val="75AF8EE4"/>
    <w:rsid w:val="75EFA4F9"/>
    <w:rsid w:val="75FE7ADD"/>
    <w:rsid w:val="7614E55C"/>
    <w:rsid w:val="7621383B"/>
    <w:rsid w:val="76216CA2"/>
    <w:rsid w:val="76269832"/>
    <w:rsid w:val="76291C14"/>
    <w:rsid w:val="765492B8"/>
    <w:rsid w:val="769DC2A6"/>
    <w:rsid w:val="76B2F4A6"/>
    <w:rsid w:val="771068AD"/>
    <w:rsid w:val="77326BB4"/>
    <w:rsid w:val="776A8EB1"/>
    <w:rsid w:val="777C4E1B"/>
    <w:rsid w:val="7804AF3B"/>
    <w:rsid w:val="78304B8F"/>
    <w:rsid w:val="7837E884"/>
    <w:rsid w:val="789273DC"/>
    <w:rsid w:val="7903826C"/>
    <w:rsid w:val="7940AAE9"/>
    <w:rsid w:val="79A92567"/>
    <w:rsid w:val="79B8E9B3"/>
    <w:rsid w:val="79DBE263"/>
    <w:rsid w:val="7A330E54"/>
    <w:rsid w:val="7A730EE1"/>
    <w:rsid w:val="7AC16E20"/>
    <w:rsid w:val="7BCB6E40"/>
    <w:rsid w:val="7C0E6EE7"/>
    <w:rsid w:val="7C45D2A1"/>
    <w:rsid w:val="7C772F04"/>
    <w:rsid w:val="7C7760A9"/>
    <w:rsid w:val="7C953A56"/>
    <w:rsid w:val="7CC11F7B"/>
    <w:rsid w:val="7CDF49CF"/>
    <w:rsid w:val="7D8B27A1"/>
    <w:rsid w:val="7DC5F19E"/>
    <w:rsid w:val="7DD08A66"/>
    <w:rsid w:val="7E580A40"/>
    <w:rsid w:val="7E72C5D3"/>
    <w:rsid w:val="7F5BDB7A"/>
    <w:rsid w:val="7FA2E6FC"/>
    <w:rsid w:val="7FC3BA33"/>
    <w:rsid w:val="7FCE5387"/>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846E8"/>
  <w14:defaultImageDpi w14:val="32767"/>
  <w15:chartTrackingRefBased/>
  <w15:docId w15:val="{8F93C2E5-052F-0948-AEF6-908F8B5BDB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C4BAD"/>
    <w:rPr>
      <w:rFonts w:ascii="Times New Roman" w:eastAsia="Times New Roman" w:hAnsi="Times New Roman" w:cs="Times New Roman"/>
      <w:kern w:val="0"/>
      <w:lang w:eastAsia="pt-BR"/>
      <w14:ligatures w14:val="none"/>
    </w:rPr>
  </w:style>
  <w:style w:type="paragraph" w:styleId="Ttulo1">
    <w:name w:val="heading 1"/>
    <w:basedOn w:val="Normal"/>
    <w:next w:val="Normal"/>
    <w:link w:val="Ttulo1Char"/>
    <w:qFormat/>
    <w:rsid w:val="00B31918"/>
    <w:pPr>
      <w:keepNext/>
      <w:numPr>
        <w:numId w:val="9"/>
      </w:numPr>
      <w:spacing w:before="120" w:after="400"/>
      <w:ind w:left="431" w:hanging="431"/>
      <w:outlineLvl w:val="0"/>
    </w:pPr>
    <w:rPr>
      <w:rFonts w:ascii="Arial" w:hAnsi="Arial" w:cs="Arial"/>
      <w:b/>
      <w:bCs/>
      <w:caps/>
      <w:kern w:val="32"/>
      <w:szCs w:val="32"/>
      <w14:ligatures w14:val="standardContextual"/>
    </w:rPr>
  </w:style>
  <w:style w:type="paragraph" w:styleId="Ttulo2">
    <w:name w:val="heading 2"/>
    <w:basedOn w:val="Normal"/>
    <w:next w:val="Normal"/>
    <w:link w:val="Ttulo2Char"/>
    <w:unhideWhenUsed/>
    <w:qFormat/>
    <w:rsid w:val="00B31918"/>
    <w:pPr>
      <w:keepNext/>
      <w:keepLines/>
      <w:numPr>
        <w:ilvl w:val="1"/>
        <w:numId w:val="9"/>
      </w:numPr>
      <w:spacing w:before="240" w:after="480"/>
      <w:ind w:left="578" w:hanging="578"/>
      <w:outlineLvl w:val="1"/>
    </w:pPr>
    <w:rPr>
      <w:rFonts w:ascii="Calibri" w:eastAsiaTheme="majorEastAsia" w:hAnsi="Calibri" w:cs="Times New Roman (Títulos CS)"/>
      <w:caps/>
      <w:kern w:val="2"/>
      <w:szCs w:val="26"/>
      <w:lang w:eastAsia="en-US"/>
      <w14:ligatures w14:val="standardContextual"/>
    </w:rPr>
  </w:style>
  <w:style w:type="paragraph" w:styleId="Ttulo3">
    <w:name w:val="heading 3"/>
    <w:basedOn w:val="Corpodetexto"/>
    <w:next w:val="Normal"/>
    <w:link w:val="Ttulo3Char"/>
    <w:uiPriority w:val="9"/>
    <w:unhideWhenUsed/>
    <w:qFormat/>
    <w:rsid w:val="00577688"/>
    <w:pPr>
      <w:keepNext/>
      <w:keepLines/>
      <w:numPr>
        <w:ilvl w:val="2"/>
        <w:numId w:val="9"/>
      </w:numPr>
      <w:spacing w:before="200"/>
      <w:jc w:val="center"/>
      <w:outlineLvl w:val="2"/>
    </w:pPr>
    <w:rPr>
      <w:rFonts w:eastAsia="Times New Roman" w:cs="Times New Roman"/>
      <w:kern w:val="0"/>
      <w:lang w:eastAsia="pt-BR"/>
      <w14:ligatures w14:val="none"/>
    </w:rPr>
  </w:style>
  <w:style w:type="paragraph" w:styleId="Ttulo4">
    <w:name w:val="heading 4"/>
    <w:basedOn w:val="Normal"/>
    <w:next w:val="Normal"/>
    <w:link w:val="Ttulo4Char"/>
    <w:qFormat/>
    <w:rsid w:val="005A0DC9"/>
    <w:pPr>
      <w:widowControl w:val="0"/>
      <w:numPr>
        <w:ilvl w:val="3"/>
        <w:numId w:val="9"/>
      </w:numPr>
      <w:suppressAutoHyphens/>
      <w:autoSpaceDE w:val="0"/>
      <w:spacing w:before="439" w:after="60" w:line="360" w:lineRule="auto"/>
      <w:outlineLvl w:val="3"/>
    </w:pPr>
    <w:rPr>
      <w:rFonts w:ascii="Arial" w:eastAsia="Arial" w:hAnsi="Arial" w:cs="Arial"/>
      <w:b/>
      <w:bCs/>
      <w:kern w:val="1"/>
      <w:lang w:eastAsia="zh-CN" w:bidi="hi-IN"/>
      <w14:ligatures w14:val="standardContextual"/>
    </w:rPr>
  </w:style>
  <w:style w:type="paragraph" w:styleId="Ttulo5">
    <w:name w:val="heading 5"/>
    <w:basedOn w:val="Normal"/>
    <w:next w:val="Normal"/>
    <w:link w:val="Ttulo5Char"/>
    <w:uiPriority w:val="9"/>
    <w:semiHidden/>
    <w:unhideWhenUsed/>
    <w:qFormat/>
    <w:rsid w:val="00914BE9"/>
    <w:pPr>
      <w:keepNext/>
      <w:keepLines/>
      <w:numPr>
        <w:ilvl w:val="4"/>
        <w:numId w:val="9"/>
      </w:numPr>
      <w:spacing w:before="80" w:after="40"/>
      <w:outlineLvl w:val="4"/>
    </w:pPr>
    <w:rPr>
      <w:rFonts w:asciiTheme="minorHAnsi" w:eastAsiaTheme="majorEastAsia" w:hAnsiTheme="minorHAnsi" w:cstheme="majorBidi"/>
      <w:color w:val="0F4761" w:themeColor="accent1" w:themeShade="BF"/>
      <w:kern w:val="2"/>
      <w:lang w:eastAsia="en-US"/>
      <w14:ligatures w14:val="standardContextual"/>
    </w:rPr>
  </w:style>
  <w:style w:type="paragraph" w:styleId="Ttulo6">
    <w:name w:val="heading 6"/>
    <w:basedOn w:val="Normal"/>
    <w:next w:val="Normal"/>
    <w:link w:val="Ttulo6Char"/>
    <w:uiPriority w:val="9"/>
    <w:semiHidden/>
    <w:unhideWhenUsed/>
    <w:qFormat/>
    <w:rsid w:val="00914BE9"/>
    <w:pPr>
      <w:keepNext/>
      <w:keepLines/>
      <w:numPr>
        <w:ilvl w:val="5"/>
        <w:numId w:val="9"/>
      </w:numPr>
      <w:spacing w:before="40"/>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Ttulo7">
    <w:name w:val="heading 7"/>
    <w:basedOn w:val="Normal"/>
    <w:next w:val="Normal"/>
    <w:link w:val="Ttulo7Char"/>
    <w:uiPriority w:val="9"/>
    <w:semiHidden/>
    <w:unhideWhenUsed/>
    <w:qFormat/>
    <w:rsid w:val="00914BE9"/>
    <w:pPr>
      <w:keepNext/>
      <w:keepLines/>
      <w:numPr>
        <w:ilvl w:val="6"/>
        <w:numId w:val="9"/>
      </w:numPr>
      <w:spacing w:before="40"/>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Ttulo8">
    <w:name w:val="heading 8"/>
    <w:basedOn w:val="Normal"/>
    <w:next w:val="Normal"/>
    <w:link w:val="Ttulo8Char"/>
    <w:uiPriority w:val="9"/>
    <w:semiHidden/>
    <w:unhideWhenUsed/>
    <w:qFormat/>
    <w:rsid w:val="00914BE9"/>
    <w:pPr>
      <w:keepNext/>
      <w:keepLines/>
      <w:numPr>
        <w:ilvl w:val="7"/>
        <w:numId w:val="9"/>
      </w:numPr>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Ttulo9">
    <w:name w:val="heading 9"/>
    <w:basedOn w:val="Normal"/>
    <w:next w:val="Normal"/>
    <w:link w:val="Ttulo9Char"/>
    <w:uiPriority w:val="9"/>
    <w:semiHidden/>
    <w:unhideWhenUsed/>
    <w:qFormat/>
    <w:rsid w:val="00914BE9"/>
    <w:pPr>
      <w:keepNext/>
      <w:keepLines/>
      <w:numPr>
        <w:ilvl w:val="8"/>
        <w:numId w:val="9"/>
      </w:numPr>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B31918"/>
    <w:rPr>
      <w:rFonts w:ascii="Arial" w:eastAsia="Times New Roman" w:hAnsi="Arial" w:cs="Arial"/>
      <w:b/>
      <w:bCs/>
      <w:caps/>
      <w:kern w:val="32"/>
      <w:szCs w:val="32"/>
      <w:lang w:eastAsia="pt-BR"/>
    </w:rPr>
  </w:style>
  <w:style w:type="paragraph" w:customStyle="1" w:styleId="PRE">
    <w:name w:val="PRE"/>
    <w:basedOn w:val="Normal"/>
    <w:qFormat/>
    <w:rsid w:val="00CD76E9"/>
    <w:pPr>
      <w:pageBreakBefore/>
      <w:suppressAutoHyphens/>
      <w:spacing w:after="560"/>
      <w:jc w:val="center"/>
    </w:pPr>
    <w:rPr>
      <w:b/>
      <w:bCs/>
      <w:color w:val="000000"/>
      <w:kern w:val="2"/>
      <w:sz w:val="28"/>
      <w14:ligatures w14:val="standardContextual"/>
    </w:rPr>
  </w:style>
  <w:style w:type="paragraph" w:styleId="Rodap">
    <w:name w:val="footer"/>
    <w:basedOn w:val="Normal"/>
    <w:link w:val="RodapChar"/>
    <w:qFormat/>
    <w:rsid w:val="00204A50"/>
    <w:pPr>
      <w:tabs>
        <w:tab w:val="center" w:pos="4252"/>
        <w:tab w:val="right" w:pos="8504"/>
      </w:tabs>
      <w:jc w:val="both"/>
    </w:pPr>
    <w:rPr>
      <w:rFonts w:ascii="Arial" w:eastAsiaTheme="minorHAnsi" w:hAnsi="Arial" w:cstheme="minorBidi"/>
      <w:kern w:val="2"/>
      <w:lang w:eastAsia="en-US"/>
      <w14:ligatures w14:val="standardContextual"/>
    </w:rPr>
  </w:style>
  <w:style w:type="character" w:customStyle="1" w:styleId="RodapChar">
    <w:name w:val="Rodapé Char"/>
    <w:basedOn w:val="Fontepargpadro"/>
    <w:link w:val="Rodap"/>
    <w:rsid w:val="00204A50"/>
    <w:rPr>
      <w:rFonts w:ascii="Arial" w:hAnsi="Arial"/>
    </w:rPr>
  </w:style>
  <w:style w:type="paragraph" w:customStyle="1" w:styleId="TiTFig">
    <w:name w:val="TiT_Fig"/>
    <w:basedOn w:val="Legenda"/>
    <w:qFormat/>
    <w:rsid w:val="00F93311"/>
    <w:pPr>
      <w:keepNext/>
      <w:suppressLineNumbers/>
      <w:suppressAutoHyphens/>
      <w:snapToGrid w:val="0"/>
      <w:spacing w:after="0"/>
      <w:jc w:val="center"/>
    </w:pPr>
    <w:rPr>
      <w:rFonts w:ascii="Times New Roman" w:eastAsia="Calibri" w:hAnsi="Times New Roman" w:cs="Times New Roman"/>
      <w:i w:val="0"/>
      <w:iCs w:val="0"/>
      <w:smallCaps/>
      <w:color w:val="auto"/>
      <w:sz w:val="20"/>
      <w:szCs w:val="20"/>
      <w:lang w:eastAsia="zh-CN"/>
    </w:rPr>
  </w:style>
  <w:style w:type="paragraph" w:styleId="Legenda">
    <w:name w:val="caption"/>
    <w:basedOn w:val="Normal"/>
    <w:next w:val="Normal"/>
    <w:uiPriority w:val="35"/>
    <w:semiHidden/>
    <w:unhideWhenUsed/>
    <w:qFormat/>
    <w:rsid w:val="00F93311"/>
    <w:pPr>
      <w:spacing w:after="200"/>
    </w:pPr>
    <w:rPr>
      <w:rFonts w:asciiTheme="minorHAnsi" w:eastAsiaTheme="minorHAnsi" w:hAnsiTheme="minorHAnsi" w:cstheme="minorBidi"/>
      <w:i/>
      <w:iCs/>
      <w:color w:val="0E2841" w:themeColor="text2"/>
      <w:kern w:val="2"/>
      <w:sz w:val="18"/>
      <w:szCs w:val="18"/>
      <w:lang w:eastAsia="en-US"/>
      <w14:ligatures w14:val="standardContextual"/>
    </w:rPr>
  </w:style>
  <w:style w:type="paragraph" w:styleId="Ttulo">
    <w:name w:val="Title"/>
    <w:aliases w:val="Título 1.1"/>
    <w:basedOn w:val="Normal"/>
    <w:next w:val="Normal"/>
    <w:link w:val="TtuloChar"/>
    <w:uiPriority w:val="10"/>
    <w:qFormat/>
    <w:rsid w:val="00F93311"/>
    <w:pPr>
      <w:suppressAutoHyphens/>
      <w:spacing w:line="276" w:lineRule="auto"/>
      <w:outlineLvl w:val="0"/>
    </w:pPr>
    <w:rPr>
      <w:bCs/>
      <w:kern w:val="28"/>
      <w:szCs w:val="32"/>
      <w:lang w:eastAsia="zh-CN"/>
      <w14:ligatures w14:val="standardContextual"/>
    </w:rPr>
  </w:style>
  <w:style w:type="character" w:customStyle="1" w:styleId="TtuloChar">
    <w:name w:val="Título Char"/>
    <w:aliases w:val="Título 1.1 Char"/>
    <w:link w:val="Ttulo"/>
    <w:uiPriority w:val="10"/>
    <w:rsid w:val="00F93311"/>
    <w:rPr>
      <w:rFonts w:ascii="Times New Roman" w:eastAsia="Times New Roman" w:hAnsi="Times New Roman" w:cs="Times New Roman"/>
      <w:bCs/>
      <w:kern w:val="28"/>
      <w:szCs w:val="32"/>
      <w:lang w:eastAsia="zh-CN"/>
    </w:rPr>
  </w:style>
  <w:style w:type="character" w:customStyle="1" w:styleId="Ttulo2Char">
    <w:name w:val="Título 2 Char"/>
    <w:basedOn w:val="Fontepargpadro"/>
    <w:link w:val="Ttulo2"/>
    <w:rsid w:val="00B31918"/>
    <w:rPr>
      <w:rFonts w:ascii="Calibri" w:eastAsiaTheme="majorEastAsia" w:hAnsi="Calibri" w:cs="Times New Roman (Títulos CS)"/>
      <w:caps/>
      <w:szCs w:val="26"/>
    </w:rPr>
  </w:style>
  <w:style w:type="paragraph" w:customStyle="1" w:styleId="Figpos">
    <w:name w:val="Fig_pos"/>
    <w:basedOn w:val="Corpodetexto"/>
    <w:next w:val="Normal"/>
    <w:link w:val="FigposChar"/>
    <w:qFormat/>
    <w:rsid w:val="000B5F42"/>
    <w:pPr>
      <w:spacing w:line="240" w:lineRule="auto"/>
      <w:jc w:val="center"/>
    </w:pPr>
    <w:rPr>
      <w:rFonts w:eastAsiaTheme="minorEastAsia"/>
      <w:noProof/>
      <w:sz w:val="16"/>
      <w:szCs w:val="22"/>
      <w:lang w:eastAsia="pt-BR"/>
    </w:rPr>
  </w:style>
  <w:style w:type="character" w:customStyle="1" w:styleId="FigposChar">
    <w:name w:val="Fig_pos Char"/>
    <w:basedOn w:val="CorpodetextoChar"/>
    <w:link w:val="Figpos"/>
    <w:rsid w:val="000B5F42"/>
    <w:rPr>
      <w:rFonts w:ascii="Times New Roman" w:eastAsiaTheme="minorEastAsia" w:hAnsi="Times New Roman"/>
      <w:noProof/>
      <w:sz w:val="16"/>
      <w:szCs w:val="22"/>
      <w:lang w:eastAsia="pt-BR"/>
    </w:rPr>
  </w:style>
  <w:style w:type="paragraph" w:styleId="Corpodetexto">
    <w:name w:val="Body Text"/>
    <w:basedOn w:val="Normal"/>
    <w:link w:val="CorpodetextoChar"/>
    <w:uiPriority w:val="99"/>
    <w:unhideWhenUsed/>
    <w:rsid w:val="00212FB9"/>
    <w:pPr>
      <w:spacing w:before="120" w:after="120" w:line="360" w:lineRule="auto"/>
      <w:ind w:firstLine="851"/>
      <w:jc w:val="both"/>
    </w:pPr>
    <w:rPr>
      <w:rFonts w:eastAsiaTheme="minorHAnsi" w:cstheme="minorBidi"/>
      <w:kern w:val="2"/>
      <w:lang w:eastAsia="en-US"/>
      <w14:ligatures w14:val="standardContextual"/>
    </w:rPr>
  </w:style>
  <w:style w:type="character" w:customStyle="1" w:styleId="CorpodetextoChar">
    <w:name w:val="Corpo de texto Char"/>
    <w:basedOn w:val="Fontepargpadro"/>
    <w:link w:val="Corpodetexto"/>
    <w:uiPriority w:val="99"/>
    <w:rsid w:val="00212FB9"/>
    <w:rPr>
      <w:rFonts w:ascii="Times New Roman" w:hAnsi="Times New Roman"/>
    </w:rPr>
  </w:style>
  <w:style w:type="paragraph" w:customStyle="1" w:styleId="Folhaderosto">
    <w:name w:val="Folha de rosto"/>
    <w:basedOn w:val="Corpodetexto"/>
    <w:next w:val="Normal"/>
    <w:qFormat/>
    <w:rsid w:val="005A0DC9"/>
    <w:pPr>
      <w:ind w:left="3969"/>
    </w:pPr>
    <w:rPr>
      <w:rFonts w:eastAsia="Times New Roman" w:cs="Times New Roman"/>
      <w:lang w:eastAsia="pt-BR"/>
    </w:rPr>
  </w:style>
  <w:style w:type="paragraph" w:customStyle="1" w:styleId="Fonte">
    <w:name w:val="Fonte"/>
    <w:basedOn w:val="Normal"/>
    <w:next w:val="Corpodetexto"/>
    <w:qFormat/>
    <w:rsid w:val="00B50C3C"/>
    <w:pPr>
      <w:autoSpaceDE w:val="0"/>
      <w:autoSpaceDN w:val="0"/>
      <w:adjustRightInd w:val="0"/>
      <w:spacing w:after="240"/>
      <w:contextualSpacing/>
    </w:pPr>
    <w:rPr>
      <w:rFonts w:ascii="Arial" w:eastAsiaTheme="minorHAnsi" w:hAnsi="Arial"/>
      <w:kern w:val="2"/>
      <w:sz w:val="20"/>
      <w:szCs w:val="22"/>
      <w:shd w:val="clear" w:color="auto" w:fill="FFFFFF"/>
      <w:lang w:eastAsia="en-US"/>
      <w14:ligatures w14:val="standardContextual"/>
    </w:rPr>
  </w:style>
  <w:style w:type="paragraph" w:customStyle="1" w:styleId="Fontetabelasefiguras">
    <w:name w:val="Fonte_tabelas e figuras"/>
    <w:basedOn w:val="Normal"/>
    <w:next w:val="Normal"/>
    <w:qFormat/>
    <w:rsid w:val="005A0DC9"/>
    <w:pPr>
      <w:spacing w:after="284"/>
    </w:pPr>
    <w:rPr>
      <w:rFonts w:eastAsiaTheme="minorEastAsia"/>
      <w:smallCaps/>
      <w:kern w:val="2"/>
      <w:sz w:val="20"/>
      <w:szCs w:val="22"/>
      <w:lang w:eastAsia="en-US"/>
      <w14:ligatures w14:val="standardContextual"/>
    </w:rPr>
  </w:style>
  <w:style w:type="paragraph" w:customStyle="1" w:styleId="Notarodap">
    <w:name w:val="Nota_rodapé"/>
    <w:basedOn w:val="Textodenotaderodap"/>
    <w:qFormat/>
    <w:rsid w:val="005A0DC9"/>
    <w:rPr>
      <w:rFonts w:ascii="Times New Roman" w:eastAsiaTheme="minorEastAsia" w:hAnsi="Times New Roman" w:cs="Times New Roman"/>
      <w:szCs w:val="22"/>
    </w:rPr>
  </w:style>
  <w:style w:type="paragraph" w:styleId="Textodenotaderodap">
    <w:name w:val="footnote text"/>
    <w:basedOn w:val="Normal"/>
    <w:link w:val="TextodenotaderodapChar"/>
    <w:uiPriority w:val="99"/>
    <w:semiHidden/>
    <w:unhideWhenUsed/>
    <w:rsid w:val="005A0DC9"/>
    <w:rPr>
      <w:rFonts w:asciiTheme="minorHAnsi" w:eastAsiaTheme="minorHAnsi" w:hAnsiTheme="minorHAnsi" w:cstheme="minorBidi"/>
      <w:kern w:val="2"/>
      <w:sz w:val="20"/>
      <w:szCs w:val="20"/>
      <w:lang w:eastAsia="en-US"/>
      <w14:ligatures w14:val="standardContextual"/>
    </w:rPr>
  </w:style>
  <w:style w:type="character" w:customStyle="1" w:styleId="TextodenotaderodapChar">
    <w:name w:val="Texto de nota de rodapé Char"/>
    <w:basedOn w:val="Fontepargpadro"/>
    <w:link w:val="Textodenotaderodap"/>
    <w:uiPriority w:val="99"/>
    <w:semiHidden/>
    <w:rsid w:val="005A0DC9"/>
    <w:rPr>
      <w:sz w:val="20"/>
      <w:szCs w:val="20"/>
    </w:rPr>
  </w:style>
  <w:style w:type="paragraph" w:customStyle="1" w:styleId="Notatabelas">
    <w:name w:val="Nota_tabelas"/>
    <w:basedOn w:val="Fontetabelasefiguras"/>
    <w:qFormat/>
    <w:rsid w:val="005A0DC9"/>
    <w:pPr>
      <w:spacing w:after="0"/>
    </w:pPr>
  </w:style>
  <w:style w:type="paragraph" w:customStyle="1" w:styleId="Resumo">
    <w:name w:val="Resumo"/>
    <w:basedOn w:val="Normal"/>
    <w:qFormat/>
    <w:rsid w:val="005A0DC9"/>
    <w:pPr>
      <w:spacing w:after="200" w:line="276" w:lineRule="auto"/>
      <w:jc w:val="both"/>
    </w:pPr>
    <w:rPr>
      <w:kern w:val="2"/>
      <w14:ligatures w14:val="standardContextual"/>
    </w:rPr>
  </w:style>
  <w:style w:type="paragraph" w:customStyle="1" w:styleId="LOCALDATA">
    <w:name w:val="LOCAL_DATA"/>
    <w:basedOn w:val="Normal"/>
    <w:qFormat/>
    <w:rsid w:val="005A0DC9"/>
    <w:pPr>
      <w:widowControl w:val="0"/>
      <w:suppressAutoHyphens/>
      <w:autoSpaceDE w:val="0"/>
      <w:spacing w:before="3402"/>
      <w:contextualSpacing/>
      <w:jc w:val="center"/>
    </w:pPr>
    <w:rPr>
      <w:b/>
      <w:kern w:val="1"/>
      <w:szCs w:val="28"/>
      <w:lang w:eastAsia="zh-CN" w:bidi="hi-IN"/>
      <w14:ligatures w14:val="standardContextual"/>
    </w:rPr>
  </w:style>
  <w:style w:type="paragraph" w:customStyle="1" w:styleId="NOMEAUTOR">
    <w:name w:val="NOME_AUTOR"/>
    <w:basedOn w:val="Normal"/>
    <w:qFormat/>
    <w:rsid w:val="005A0DC9"/>
    <w:pPr>
      <w:widowControl w:val="0"/>
      <w:suppressAutoHyphens/>
      <w:autoSpaceDE w:val="0"/>
      <w:spacing w:after="3402"/>
      <w:jc w:val="center"/>
    </w:pPr>
    <w:rPr>
      <w:b/>
      <w:kern w:val="1"/>
      <w:lang w:eastAsia="zh-CN" w:bidi="hi-IN"/>
      <w14:ligatures w14:val="standardContextual"/>
    </w:rPr>
  </w:style>
  <w:style w:type="paragraph" w:customStyle="1" w:styleId="ORIENTADOR">
    <w:name w:val="ORIENTADOR"/>
    <w:basedOn w:val="Normal"/>
    <w:qFormat/>
    <w:rsid w:val="005A0DC9"/>
    <w:pPr>
      <w:spacing w:before="1320"/>
      <w:contextualSpacing/>
      <w:jc w:val="center"/>
    </w:pPr>
    <w:rPr>
      <w:bCs/>
      <w:color w:val="000000"/>
      <w:kern w:val="2"/>
      <w:szCs w:val="28"/>
      <w14:ligatures w14:val="standardContextual"/>
    </w:rPr>
  </w:style>
  <w:style w:type="paragraph" w:customStyle="1" w:styleId="PRETEXT">
    <w:name w:val="PRE_TEXT"/>
    <w:basedOn w:val="Normal"/>
    <w:qFormat/>
    <w:rsid w:val="00CD76E9"/>
    <w:pPr>
      <w:spacing w:after="1701"/>
      <w:jc w:val="center"/>
    </w:pPr>
    <w:rPr>
      <w:b/>
      <w:bCs/>
      <w:kern w:val="2"/>
      <w:szCs w:val="28"/>
      <w:lang w:eastAsia="en-US"/>
      <w14:ligatures w14:val="standardContextual"/>
    </w:rPr>
  </w:style>
  <w:style w:type="paragraph" w:customStyle="1" w:styleId="TFigura">
    <w:name w:val="TFigura"/>
    <w:basedOn w:val="Corpodetexto"/>
    <w:qFormat/>
    <w:rsid w:val="00B50C3C"/>
    <w:pPr>
      <w:keepNext/>
      <w:spacing w:after="0" w:line="240" w:lineRule="auto"/>
      <w:ind w:firstLine="0"/>
      <w:jc w:val="left"/>
    </w:pPr>
    <w:rPr>
      <w:rFonts w:ascii="Arial" w:eastAsia="Times New Roman" w:hAnsi="Arial" w:cs="Times New Roman"/>
      <w:bCs/>
      <w:kern w:val="20"/>
      <w:sz w:val="20"/>
      <w:lang w:eastAsia="pt-BR" w:bidi="hi-IN"/>
    </w:rPr>
  </w:style>
  <w:style w:type="paragraph" w:customStyle="1" w:styleId="TITCAPA">
    <w:name w:val="TIT_CAPA"/>
    <w:basedOn w:val="Normal"/>
    <w:qFormat/>
    <w:rsid w:val="005A0DC9"/>
    <w:pPr>
      <w:spacing w:before="567" w:after="3402"/>
      <w:contextualSpacing/>
      <w:jc w:val="center"/>
    </w:pPr>
    <w:rPr>
      <w:b/>
      <w:bCs/>
      <w:color w:val="000000"/>
      <w:kern w:val="2"/>
      <w:szCs w:val="28"/>
      <w14:ligatures w14:val="standardContextual"/>
    </w:rPr>
  </w:style>
  <w:style w:type="character" w:customStyle="1" w:styleId="Ttulo3Char">
    <w:name w:val="Título 3 Char"/>
    <w:basedOn w:val="Fontepargpadro"/>
    <w:link w:val="Ttulo3"/>
    <w:uiPriority w:val="9"/>
    <w:rsid w:val="00577688"/>
    <w:rPr>
      <w:rFonts w:ascii="Times New Roman" w:eastAsia="Times New Roman" w:hAnsi="Times New Roman" w:cs="Times New Roman"/>
      <w:kern w:val="0"/>
      <w:lang w:eastAsia="pt-BR"/>
      <w14:ligatures w14:val="none"/>
    </w:rPr>
  </w:style>
  <w:style w:type="character" w:customStyle="1" w:styleId="Ttulo4Char">
    <w:name w:val="Título 4 Char"/>
    <w:basedOn w:val="Fontepargpadro"/>
    <w:link w:val="Ttulo4"/>
    <w:rsid w:val="005A0DC9"/>
    <w:rPr>
      <w:rFonts w:ascii="Arial" w:eastAsia="Arial" w:hAnsi="Arial" w:cs="Arial"/>
      <w:b/>
      <w:bCs/>
      <w:kern w:val="1"/>
      <w:lang w:eastAsia="zh-CN" w:bidi="hi-IN"/>
    </w:rPr>
  </w:style>
  <w:style w:type="paragraph" w:customStyle="1" w:styleId="TTabela">
    <w:name w:val="TTabela"/>
    <w:basedOn w:val="Corpodetexto"/>
    <w:qFormat/>
    <w:rsid w:val="0077745A"/>
    <w:pPr>
      <w:keepNext/>
      <w:spacing w:line="240" w:lineRule="auto"/>
      <w:ind w:firstLine="0"/>
    </w:pPr>
    <w:rPr>
      <w:rFonts w:ascii="Arial" w:eastAsia="Times New Roman" w:hAnsi="Arial" w:cs="Times New Roman"/>
      <w:kern w:val="22"/>
      <w:sz w:val="20"/>
      <w:lang w:eastAsia="pt-BR" w:bidi="hi-IN"/>
    </w:rPr>
  </w:style>
  <w:style w:type="paragraph" w:customStyle="1" w:styleId="TITTRAB">
    <w:name w:val="TIT_TRAB"/>
    <w:basedOn w:val="Normal"/>
    <w:qFormat/>
    <w:rsid w:val="00DA5C94"/>
    <w:pPr>
      <w:spacing w:after="5103"/>
      <w:jc w:val="center"/>
    </w:pPr>
    <w:rPr>
      <w:rFonts w:ascii="Arial" w:hAnsi="Arial" w:cs="Arial"/>
      <w:b/>
      <w:kern w:val="2"/>
      <w:szCs w:val="28"/>
      <w14:ligatures w14:val="standardContextual"/>
    </w:rPr>
  </w:style>
  <w:style w:type="paragraph" w:customStyle="1" w:styleId="TextoTabela">
    <w:name w:val="Texto Tabela"/>
    <w:basedOn w:val="Normal"/>
    <w:qFormat/>
    <w:rsid w:val="002B26A1"/>
    <w:pPr>
      <w:widowControl w:val="0"/>
      <w:autoSpaceDE w:val="0"/>
      <w:autoSpaceDN w:val="0"/>
      <w:jc w:val="center"/>
    </w:pPr>
    <w:rPr>
      <w:rFonts w:cs="Arial"/>
      <w:b/>
      <w:smallCaps/>
      <w:color w:val="000000" w:themeColor="text1" w:themeShade="BF"/>
      <w:sz w:val="20"/>
      <w:szCs w:val="16"/>
      <w:lang w:val="pt-PT"/>
    </w:rPr>
  </w:style>
  <w:style w:type="character" w:customStyle="1" w:styleId="Ttulo5Char">
    <w:name w:val="Título 5 Char"/>
    <w:basedOn w:val="Fontepargpadro"/>
    <w:link w:val="Ttulo5"/>
    <w:uiPriority w:val="9"/>
    <w:semiHidden/>
    <w:rsid w:val="00914BE9"/>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14BE9"/>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14BE9"/>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14BE9"/>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14BE9"/>
    <w:rPr>
      <w:rFonts w:eastAsiaTheme="majorEastAsia" w:cstheme="majorBidi"/>
      <w:color w:val="272727" w:themeColor="text1" w:themeTint="D8"/>
    </w:rPr>
  </w:style>
  <w:style w:type="paragraph" w:styleId="Subttulo">
    <w:name w:val="Subtitle"/>
    <w:basedOn w:val="Normal"/>
    <w:next w:val="Normal"/>
    <w:link w:val="SubttuloChar"/>
    <w:uiPriority w:val="11"/>
    <w:qFormat/>
    <w:rsid w:val="00914BE9"/>
    <w:pPr>
      <w:numPr>
        <w:ilvl w:val="1"/>
      </w:numPr>
      <w:spacing w:after="16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tuloChar">
    <w:name w:val="Subtítulo Char"/>
    <w:basedOn w:val="Fontepargpadro"/>
    <w:link w:val="Subttulo"/>
    <w:uiPriority w:val="11"/>
    <w:rsid w:val="00914BE9"/>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1D7187"/>
    <w:pPr>
      <w:spacing w:before="240" w:after="240"/>
      <w:ind w:left="2268"/>
      <w:jc w:val="both"/>
    </w:pPr>
    <w:rPr>
      <w:rFonts w:eastAsiaTheme="minorHAnsi" w:cstheme="minorBidi"/>
      <w:iCs/>
      <w:kern w:val="2"/>
      <w:sz w:val="20"/>
      <w:lang w:eastAsia="en-US"/>
      <w14:ligatures w14:val="standardContextual"/>
    </w:rPr>
  </w:style>
  <w:style w:type="character" w:customStyle="1" w:styleId="CitaoChar">
    <w:name w:val="Citação Char"/>
    <w:basedOn w:val="Fontepargpadro"/>
    <w:link w:val="Citao"/>
    <w:uiPriority w:val="29"/>
    <w:rsid w:val="001D7187"/>
    <w:rPr>
      <w:rFonts w:ascii="Times New Roman" w:hAnsi="Times New Roman"/>
      <w:iCs/>
      <w:sz w:val="20"/>
    </w:rPr>
  </w:style>
  <w:style w:type="paragraph" w:styleId="PargrafodaLista">
    <w:name w:val="List Paragraph"/>
    <w:basedOn w:val="Normal"/>
    <w:uiPriority w:val="34"/>
    <w:qFormat/>
    <w:rsid w:val="00914BE9"/>
    <w:pPr>
      <w:ind w:left="720"/>
      <w:contextualSpacing/>
    </w:pPr>
    <w:rPr>
      <w:rFonts w:asciiTheme="minorHAnsi" w:eastAsiaTheme="minorHAnsi" w:hAnsiTheme="minorHAnsi" w:cstheme="minorBidi"/>
      <w:kern w:val="2"/>
      <w:lang w:eastAsia="en-US"/>
      <w14:ligatures w14:val="standardContextual"/>
    </w:rPr>
  </w:style>
  <w:style w:type="character" w:styleId="nfaseIntensa">
    <w:name w:val="Intense Emphasis"/>
    <w:basedOn w:val="Fontepargpadro"/>
    <w:uiPriority w:val="21"/>
    <w:qFormat/>
    <w:rsid w:val="00914BE9"/>
    <w:rPr>
      <w:i/>
      <w:iCs/>
      <w:color w:val="0F4761" w:themeColor="accent1" w:themeShade="BF"/>
    </w:rPr>
  </w:style>
  <w:style w:type="paragraph" w:styleId="CitaoIntensa">
    <w:name w:val="Intense Quote"/>
    <w:basedOn w:val="Normal"/>
    <w:next w:val="Normal"/>
    <w:link w:val="CitaoIntensaChar"/>
    <w:uiPriority w:val="30"/>
    <w:qFormat/>
    <w:rsid w:val="00914BE9"/>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lang w:eastAsia="en-US"/>
      <w14:ligatures w14:val="standardContextual"/>
    </w:rPr>
  </w:style>
  <w:style w:type="character" w:customStyle="1" w:styleId="CitaoIntensaChar">
    <w:name w:val="Citação Intensa Char"/>
    <w:basedOn w:val="Fontepargpadro"/>
    <w:link w:val="CitaoIntensa"/>
    <w:uiPriority w:val="30"/>
    <w:rsid w:val="00914BE9"/>
    <w:rPr>
      <w:i/>
      <w:iCs/>
      <w:color w:val="0F4761" w:themeColor="accent1" w:themeShade="BF"/>
    </w:rPr>
  </w:style>
  <w:style w:type="character" w:styleId="RefernciaIntensa">
    <w:name w:val="Intense Reference"/>
    <w:basedOn w:val="Fontepargpadro"/>
    <w:uiPriority w:val="32"/>
    <w:qFormat/>
    <w:rsid w:val="00914BE9"/>
    <w:rPr>
      <w:b/>
      <w:bCs/>
      <w:smallCaps/>
      <w:color w:val="0F4761" w:themeColor="accent1" w:themeShade="BF"/>
      <w:spacing w:val="5"/>
    </w:rPr>
  </w:style>
  <w:style w:type="paragraph" w:customStyle="1" w:styleId="Estilo1atlas">
    <w:name w:val="Estilo1_atlas"/>
    <w:basedOn w:val="Ttulo1"/>
    <w:qFormat/>
    <w:rsid w:val="00CC0D82"/>
    <w:pPr>
      <w:numPr>
        <w:numId w:val="0"/>
      </w:numPr>
      <w:spacing w:after="567"/>
    </w:pPr>
  </w:style>
  <w:style w:type="numbering" w:customStyle="1" w:styleId="Listaatual1">
    <w:name w:val="Lista atual1"/>
    <w:uiPriority w:val="99"/>
    <w:rsid w:val="00CC0D82"/>
    <w:pPr>
      <w:numPr>
        <w:numId w:val="12"/>
      </w:numPr>
    </w:pPr>
  </w:style>
  <w:style w:type="paragraph" w:customStyle="1" w:styleId="p1">
    <w:name w:val="p1"/>
    <w:basedOn w:val="Normal"/>
    <w:rsid w:val="00554527"/>
    <w:pPr>
      <w:spacing w:before="100" w:beforeAutospacing="1" w:after="100" w:afterAutospacing="1"/>
    </w:pPr>
  </w:style>
  <w:style w:type="character" w:customStyle="1" w:styleId="s1">
    <w:name w:val="s1"/>
    <w:basedOn w:val="Fontepargpadro"/>
    <w:rsid w:val="00554527"/>
  </w:style>
  <w:style w:type="paragraph" w:styleId="Reviso">
    <w:name w:val="Revision"/>
    <w:hidden/>
    <w:uiPriority w:val="99"/>
    <w:semiHidden/>
    <w:rsid w:val="00E07D6D"/>
    <w:rPr>
      <w:rFonts w:ascii="Times New Roman" w:eastAsia="Times New Roman" w:hAnsi="Times New Roman" w:cs="Times New Roman"/>
      <w:kern w:val="0"/>
      <w:lang w:eastAsia="pt-BR"/>
      <w14:ligatures w14:val="none"/>
    </w:rPr>
  </w:style>
  <w:style w:type="character" w:styleId="Refdecomentrio">
    <w:name w:val="annotation reference"/>
    <w:basedOn w:val="Fontepargpadro"/>
    <w:uiPriority w:val="99"/>
    <w:semiHidden/>
    <w:unhideWhenUsed/>
    <w:rsid w:val="00E454C7"/>
    <w:rPr>
      <w:sz w:val="16"/>
      <w:szCs w:val="16"/>
    </w:rPr>
  </w:style>
  <w:style w:type="paragraph" w:styleId="Textodecomentrio">
    <w:name w:val="annotation text"/>
    <w:basedOn w:val="Normal"/>
    <w:link w:val="TextodecomentrioChar"/>
    <w:uiPriority w:val="99"/>
    <w:semiHidden/>
    <w:unhideWhenUsed/>
    <w:rsid w:val="00E454C7"/>
    <w:rPr>
      <w:sz w:val="20"/>
      <w:szCs w:val="20"/>
    </w:rPr>
  </w:style>
  <w:style w:type="character" w:customStyle="1" w:styleId="TextodecomentrioChar">
    <w:name w:val="Texto de comentário Char"/>
    <w:basedOn w:val="Fontepargpadro"/>
    <w:link w:val="Textodecomentrio"/>
    <w:uiPriority w:val="99"/>
    <w:semiHidden/>
    <w:rsid w:val="00E454C7"/>
    <w:rPr>
      <w:rFonts w:ascii="Times New Roman" w:eastAsia="Times New Roman" w:hAnsi="Times New Roman" w:cs="Times New Roman"/>
      <w:kern w:val="0"/>
      <w:sz w:val="20"/>
      <w:szCs w:val="20"/>
      <w:lang w:eastAsia="pt-BR"/>
      <w14:ligatures w14:val="none"/>
    </w:rPr>
  </w:style>
  <w:style w:type="paragraph" w:styleId="Assuntodocomentrio">
    <w:name w:val="annotation subject"/>
    <w:basedOn w:val="Textodecomentrio"/>
    <w:next w:val="Textodecomentrio"/>
    <w:link w:val="AssuntodocomentrioChar"/>
    <w:uiPriority w:val="99"/>
    <w:semiHidden/>
    <w:unhideWhenUsed/>
    <w:rsid w:val="00E454C7"/>
    <w:rPr>
      <w:b/>
      <w:bCs/>
    </w:rPr>
  </w:style>
  <w:style w:type="character" w:customStyle="1" w:styleId="AssuntodocomentrioChar">
    <w:name w:val="Assunto do comentário Char"/>
    <w:basedOn w:val="TextodecomentrioChar"/>
    <w:link w:val="Assuntodocomentrio"/>
    <w:uiPriority w:val="99"/>
    <w:semiHidden/>
    <w:rsid w:val="00E454C7"/>
    <w:rPr>
      <w:rFonts w:ascii="Times New Roman" w:eastAsia="Times New Roman" w:hAnsi="Times New Roman" w:cs="Times New Roman"/>
      <w:b/>
      <w:bCs/>
      <w:kern w:val="0"/>
      <w:sz w:val="20"/>
      <w:szCs w:val="20"/>
      <w:lang w:eastAsia="pt-BR"/>
      <w14:ligatures w14:val="none"/>
    </w:rPr>
  </w:style>
  <w:style w:type="numbering" w:customStyle="1" w:styleId="Listaatual2">
    <w:name w:val="Lista atual2"/>
    <w:uiPriority w:val="99"/>
    <w:rsid w:val="00C648D0"/>
    <w:pPr>
      <w:numPr>
        <w:numId w:val="13"/>
      </w:numPr>
    </w:pPr>
  </w:style>
  <w:style w:type="paragraph" w:styleId="CabealhodoSumrio">
    <w:name w:val="TOC Heading"/>
    <w:basedOn w:val="Ttulo1"/>
    <w:next w:val="Normal"/>
    <w:uiPriority w:val="39"/>
    <w:unhideWhenUsed/>
    <w:qFormat/>
    <w:rsid w:val="00DA5C94"/>
    <w:pPr>
      <w:keepLines/>
      <w:numPr>
        <w:numId w:val="0"/>
      </w:numPr>
      <w:spacing w:before="480" w:after="0" w:line="276" w:lineRule="auto"/>
      <w:outlineLvl w:val="9"/>
    </w:pPr>
    <w:rPr>
      <w:rFonts w:asciiTheme="majorHAnsi" w:eastAsiaTheme="majorEastAsia" w:hAnsiTheme="majorHAnsi" w:cstheme="majorBidi"/>
      <w:color w:val="0F4761" w:themeColor="accent1" w:themeShade="BF"/>
      <w:kern w:val="0"/>
      <w:sz w:val="28"/>
      <w:szCs w:val="28"/>
      <w14:ligatures w14:val="none"/>
    </w:rPr>
  </w:style>
  <w:style w:type="paragraph" w:styleId="Sumrio1">
    <w:name w:val="toc 1"/>
    <w:basedOn w:val="Normal"/>
    <w:next w:val="Normal"/>
    <w:autoRedefine/>
    <w:uiPriority w:val="39"/>
    <w:unhideWhenUsed/>
    <w:rsid w:val="00DA5C94"/>
    <w:pPr>
      <w:spacing w:before="120" w:after="120"/>
    </w:pPr>
    <w:rPr>
      <w:rFonts w:asciiTheme="minorHAnsi" w:hAnsiTheme="minorHAnsi"/>
      <w:b/>
      <w:bCs/>
      <w:caps/>
      <w:sz w:val="20"/>
      <w:szCs w:val="20"/>
    </w:rPr>
  </w:style>
  <w:style w:type="paragraph" w:styleId="Sumrio2">
    <w:name w:val="toc 2"/>
    <w:basedOn w:val="Normal"/>
    <w:next w:val="Normal"/>
    <w:autoRedefine/>
    <w:uiPriority w:val="39"/>
    <w:unhideWhenUsed/>
    <w:rsid w:val="00DA5C94"/>
    <w:pPr>
      <w:ind w:left="240"/>
    </w:pPr>
    <w:rPr>
      <w:rFonts w:asciiTheme="minorHAnsi" w:hAnsiTheme="minorHAnsi"/>
      <w:smallCaps/>
      <w:sz w:val="20"/>
      <w:szCs w:val="20"/>
    </w:rPr>
  </w:style>
  <w:style w:type="character" w:styleId="Hyperlink">
    <w:name w:val="Hyperlink"/>
    <w:basedOn w:val="Fontepargpadro"/>
    <w:uiPriority w:val="99"/>
    <w:unhideWhenUsed/>
    <w:rsid w:val="00DA5C94"/>
    <w:rPr>
      <w:color w:val="467886" w:themeColor="hyperlink"/>
      <w:u w:val="single"/>
    </w:rPr>
  </w:style>
  <w:style w:type="paragraph" w:styleId="Sumrio3">
    <w:name w:val="toc 3"/>
    <w:basedOn w:val="Normal"/>
    <w:next w:val="Normal"/>
    <w:autoRedefine/>
    <w:uiPriority w:val="39"/>
    <w:semiHidden/>
    <w:unhideWhenUsed/>
    <w:rsid w:val="00DA5C94"/>
    <w:pPr>
      <w:ind w:left="480"/>
    </w:pPr>
    <w:rPr>
      <w:rFonts w:asciiTheme="minorHAnsi" w:hAnsiTheme="minorHAnsi"/>
      <w:i/>
      <w:iCs/>
      <w:sz w:val="20"/>
      <w:szCs w:val="20"/>
    </w:rPr>
  </w:style>
  <w:style w:type="paragraph" w:styleId="Sumrio4">
    <w:name w:val="toc 4"/>
    <w:basedOn w:val="Normal"/>
    <w:next w:val="Normal"/>
    <w:autoRedefine/>
    <w:uiPriority w:val="39"/>
    <w:semiHidden/>
    <w:unhideWhenUsed/>
    <w:rsid w:val="00DA5C94"/>
    <w:pPr>
      <w:ind w:left="720"/>
    </w:pPr>
    <w:rPr>
      <w:rFonts w:asciiTheme="minorHAnsi" w:hAnsiTheme="minorHAnsi"/>
      <w:sz w:val="18"/>
      <w:szCs w:val="18"/>
    </w:rPr>
  </w:style>
  <w:style w:type="paragraph" w:styleId="Sumrio5">
    <w:name w:val="toc 5"/>
    <w:basedOn w:val="Normal"/>
    <w:next w:val="Normal"/>
    <w:autoRedefine/>
    <w:uiPriority w:val="39"/>
    <w:semiHidden/>
    <w:unhideWhenUsed/>
    <w:rsid w:val="00DA5C94"/>
    <w:pPr>
      <w:ind w:left="960"/>
    </w:pPr>
    <w:rPr>
      <w:rFonts w:asciiTheme="minorHAnsi" w:hAnsiTheme="minorHAnsi"/>
      <w:sz w:val="18"/>
      <w:szCs w:val="18"/>
    </w:rPr>
  </w:style>
  <w:style w:type="paragraph" w:styleId="Sumrio6">
    <w:name w:val="toc 6"/>
    <w:basedOn w:val="Normal"/>
    <w:next w:val="Normal"/>
    <w:autoRedefine/>
    <w:uiPriority w:val="39"/>
    <w:semiHidden/>
    <w:unhideWhenUsed/>
    <w:rsid w:val="00DA5C94"/>
    <w:pPr>
      <w:ind w:left="1200"/>
    </w:pPr>
    <w:rPr>
      <w:rFonts w:asciiTheme="minorHAnsi" w:hAnsiTheme="minorHAnsi"/>
      <w:sz w:val="18"/>
      <w:szCs w:val="18"/>
    </w:rPr>
  </w:style>
  <w:style w:type="paragraph" w:styleId="Sumrio7">
    <w:name w:val="toc 7"/>
    <w:basedOn w:val="Normal"/>
    <w:next w:val="Normal"/>
    <w:autoRedefine/>
    <w:uiPriority w:val="39"/>
    <w:semiHidden/>
    <w:unhideWhenUsed/>
    <w:rsid w:val="00DA5C94"/>
    <w:pPr>
      <w:ind w:left="1440"/>
    </w:pPr>
    <w:rPr>
      <w:rFonts w:asciiTheme="minorHAnsi" w:hAnsiTheme="minorHAnsi"/>
      <w:sz w:val="18"/>
      <w:szCs w:val="18"/>
    </w:rPr>
  </w:style>
  <w:style w:type="paragraph" w:styleId="Sumrio8">
    <w:name w:val="toc 8"/>
    <w:basedOn w:val="Normal"/>
    <w:next w:val="Normal"/>
    <w:autoRedefine/>
    <w:uiPriority w:val="39"/>
    <w:semiHidden/>
    <w:unhideWhenUsed/>
    <w:rsid w:val="00DA5C94"/>
    <w:pPr>
      <w:ind w:left="1680"/>
    </w:pPr>
    <w:rPr>
      <w:rFonts w:asciiTheme="minorHAnsi" w:hAnsiTheme="minorHAnsi"/>
      <w:sz w:val="18"/>
      <w:szCs w:val="18"/>
    </w:rPr>
  </w:style>
  <w:style w:type="paragraph" w:styleId="Sumrio9">
    <w:name w:val="toc 9"/>
    <w:basedOn w:val="Normal"/>
    <w:next w:val="Normal"/>
    <w:autoRedefine/>
    <w:uiPriority w:val="39"/>
    <w:semiHidden/>
    <w:unhideWhenUsed/>
    <w:rsid w:val="00DA5C94"/>
    <w:pPr>
      <w:ind w:left="1920"/>
    </w:pPr>
    <w:rPr>
      <w:rFonts w:asciiTheme="minorHAnsi" w:hAnsiTheme="minorHAnsi"/>
      <w:sz w:val="18"/>
      <w:szCs w:val="18"/>
    </w:rPr>
  </w:style>
  <w:style w:type="paragraph" w:styleId="Bibliografia">
    <w:name w:val="Bibliography"/>
    <w:basedOn w:val="Normal"/>
    <w:next w:val="Normal"/>
    <w:uiPriority w:val="37"/>
    <w:unhideWhenUsed/>
    <w:rsid w:val="00A4139C"/>
    <w:pPr>
      <w:spacing w:before="120" w:after="120"/>
    </w:pPr>
  </w:style>
  <w:style w:type="table" w:styleId="Tabelacomgrade">
    <w:name w:val="Table Grid"/>
    <w:basedOn w:val="Tabelanormal"/>
    <w:uiPriority w:val="59"/>
    <w:rsid w:val="00F51AE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bealho">
    <w:name w:val="header"/>
    <w:basedOn w:val="Normal"/>
    <w:link w:val="CabealhoChar"/>
    <w:uiPriority w:val="99"/>
    <w:unhideWhenUsed/>
    <w:rsid w:val="008D49DD"/>
    <w:pPr>
      <w:tabs>
        <w:tab w:val="center" w:pos="4252"/>
        <w:tab w:val="right" w:pos="8504"/>
      </w:tabs>
    </w:pPr>
  </w:style>
  <w:style w:type="character" w:customStyle="1" w:styleId="CabealhoChar">
    <w:name w:val="Cabeçalho Char"/>
    <w:basedOn w:val="Fontepargpadro"/>
    <w:link w:val="Cabealho"/>
    <w:uiPriority w:val="99"/>
    <w:rsid w:val="008D49DD"/>
    <w:rPr>
      <w:rFonts w:ascii="Times New Roman" w:eastAsia="Times New Roman" w:hAnsi="Times New Roman" w:cs="Times New Roman"/>
      <w:kern w:val="0"/>
      <w:lang w:eastAsia="pt-BR"/>
      <w14:ligatures w14:val="none"/>
    </w:rPr>
  </w:style>
  <w:style w:type="paragraph" w:customStyle="1" w:styleId="IDpaper-Title">
    <w:name w:val="IDpaper-Title"/>
    <w:basedOn w:val="Normal"/>
    <w:rsid w:val="00957CDD"/>
    <w:pPr>
      <w:widowControl w:val="0"/>
      <w:tabs>
        <w:tab w:val="left" w:pos="567"/>
      </w:tabs>
      <w:ind w:left="-397"/>
      <w:outlineLvl w:val="0"/>
    </w:pPr>
    <w:rPr>
      <w:rFonts w:ascii="Arial" w:hAnsi="Arial"/>
      <w:b/>
      <w:kern w:val="16"/>
      <w:szCs w:val="20"/>
      <w:lang w:val="en-GB" w:eastAsia="en-US"/>
    </w:rPr>
  </w:style>
  <w:style w:type="character" w:styleId="Refdenotaderodap">
    <w:name w:val="footnote reference"/>
    <w:basedOn w:val="Fontepargpadro"/>
    <w:uiPriority w:val="99"/>
    <w:semiHidden/>
    <w:unhideWhenUsed/>
    <w:rsid w:val="00D94E73"/>
    <w:rPr>
      <w:vertAlign w:val="superscript"/>
    </w:rPr>
  </w:style>
  <w:style w:type="paragraph" w:customStyle="1" w:styleId="Figura">
    <w:name w:val="Figura"/>
    <w:basedOn w:val="Normal"/>
    <w:next w:val="Fonte"/>
    <w:qFormat/>
    <w:rsid w:val="0077745A"/>
    <w:pPr>
      <w:keepNext/>
      <w:jc w:val="center"/>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0186751">
      <w:bodyDiv w:val="1"/>
      <w:marLeft w:val="0"/>
      <w:marRight w:val="0"/>
      <w:marTop w:val="0"/>
      <w:marBottom w:val="0"/>
      <w:divBdr>
        <w:top w:val="none" w:sz="0" w:space="0" w:color="auto"/>
        <w:left w:val="none" w:sz="0" w:space="0" w:color="auto"/>
        <w:bottom w:val="none" w:sz="0" w:space="0" w:color="auto"/>
        <w:right w:val="none" w:sz="0" w:space="0" w:color="auto"/>
      </w:divBdr>
    </w:div>
    <w:div w:id="390811234">
      <w:bodyDiv w:val="1"/>
      <w:marLeft w:val="0"/>
      <w:marRight w:val="0"/>
      <w:marTop w:val="0"/>
      <w:marBottom w:val="0"/>
      <w:divBdr>
        <w:top w:val="none" w:sz="0" w:space="0" w:color="auto"/>
        <w:left w:val="none" w:sz="0" w:space="0" w:color="auto"/>
        <w:bottom w:val="none" w:sz="0" w:space="0" w:color="auto"/>
        <w:right w:val="none" w:sz="0" w:space="0" w:color="auto"/>
      </w:divBdr>
    </w:div>
    <w:div w:id="854004449">
      <w:bodyDiv w:val="1"/>
      <w:marLeft w:val="0"/>
      <w:marRight w:val="0"/>
      <w:marTop w:val="0"/>
      <w:marBottom w:val="0"/>
      <w:divBdr>
        <w:top w:val="none" w:sz="0" w:space="0" w:color="auto"/>
        <w:left w:val="none" w:sz="0" w:space="0" w:color="auto"/>
        <w:bottom w:val="none" w:sz="0" w:space="0" w:color="auto"/>
        <w:right w:val="none" w:sz="0" w:space="0" w:color="auto"/>
      </w:divBdr>
    </w:div>
    <w:div w:id="1144472620">
      <w:bodyDiv w:val="1"/>
      <w:marLeft w:val="0"/>
      <w:marRight w:val="0"/>
      <w:marTop w:val="0"/>
      <w:marBottom w:val="0"/>
      <w:divBdr>
        <w:top w:val="none" w:sz="0" w:space="0" w:color="auto"/>
        <w:left w:val="none" w:sz="0" w:space="0" w:color="auto"/>
        <w:bottom w:val="none" w:sz="0" w:space="0" w:color="auto"/>
        <w:right w:val="none" w:sz="0" w:space="0" w:color="auto"/>
      </w:divBdr>
    </w:div>
    <w:div w:id="1194154842">
      <w:bodyDiv w:val="1"/>
      <w:marLeft w:val="0"/>
      <w:marRight w:val="0"/>
      <w:marTop w:val="0"/>
      <w:marBottom w:val="0"/>
      <w:divBdr>
        <w:top w:val="none" w:sz="0" w:space="0" w:color="auto"/>
        <w:left w:val="none" w:sz="0" w:space="0" w:color="auto"/>
        <w:bottom w:val="none" w:sz="0" w:space="0" w:color="auto"/>
        <w:right w:val="none" w:sz="0" w:space="0" w:color="auto"/>
      </w:divBdr>
    </w:div>
    <w:div w:id="1752043225">
      <w:bodyDiv w:val="1"/>
      <w:marLeft w:val="0"/>
      <w:marRight w:val="0"/>
      <w:marTop w:val="0"/>
      <w:marBottom w:val="0"/>
      <w:divBdr>
        <w:top w:val="none" w:sz="0" w:space="0" w:color="auto"/>
        <w:left w:val="none" w:sz="0" w:space="0" w:color="auto"/>
        <w:bottom w:val="none" w:sz="0" w:space="0" w:color="auto"/>
        <w:right w:val="none" w:sz="0" w:space="0" w:color="auto"/>
      </w:divBdr>
    </w:div>
    <w:div w:id="1954364949">
      <w:bodyDiv w:val="1"/>
      <w:marLeft w:val="0"/>
      <w:marRight w:val="0"/>
      <w:marTop w:val="0"/>
      <w:marBottom w:val="0"/>
      <w:divBdr>
        <w:top w:val="none" w:sz="0" w:space="0" w:color="auto"/>
        <w:left w:val="none" w:sz="0" w:space="0" w:color="auto"/>
        <w:bottom w:val="none" w:sz="0" w:space="0" w:color="auto"/>
        <w:right w:val="none" w:sz="0" w:space="0" w:color="auto"/>
      </w:divBdr>
    </w:div>
    <w:div w:id="2097313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9E1112-A4FB-F543-8388-DA9E94055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12212</Words>
  <Characters>65947</Characters>
  <Application>Microsoft Office Word</Application>
  <DocSecurity>0</DocSecurity>
  <Lines>549</Lines>
  <Paragraphs>156</Paragraphs>
  <ScaleCrop>false</ScaleCrop>
  <Company/>
  <LinksUpToDate>false</LinksUpToDate>
  <CharactersWithSpaces>78003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Elzira Oliveira</dc:creator>
  <cp:keywords/>
  <dc:description/>
  <cp:lastModifiedBy>Elzira Oliveira</cp:lastModifiedBy>
  <cp:revision>2</cp:revision>
  <dcterms:created xsi:type="dcterms:W3CDTF">2025-10-21T20:39:00Z</dcterms:created>
  <dcterms:modified xsi:type="dcterms:W3CDTF">2025-10-21T20:39:00Z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zotero-version="7.0.27"&gt;&lt;session id="ERhJQtUs"/&gt;&lt;style id="http://www.zotero.org/styles/planeta-zotero-abnt" locale="pt-BR" hasBibliography="1" bibliographyStyleHasBeenSet="1"/&gt;&lt;prefs&gt;&lt;pref name="fieldType" value="Field"/&gt;&lt;/prefs&gt;&lt;/</vt:lpwstr>
  </property>
  <property fmtid="{D5CDD505-2E9C-101B-9397-08002B2CF9AE}" pid="3" name="ZOTERO_PREF_2">
    <vt:lpwstr>data&gt;</vt:lpwstr>
  </property>
</Properties>
</file>